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058769" w14:textId="369A8F03" w:rsidR="00690A30" w:rsidRPr="001C127C" w:rsidRDefault="00690A30" w:rsidP="00690A30">
      <w:pPr>
        <w:spacing w:line="480" w:lineRule="auto"/>
        <w:rPr>
          <w:rFonts w:ascii="Times New Roman" w:hAnsi="Times New Roman" w:cs="Times New Roman"/>
        </w:rPr>
      </w:pPr>
      <w:r w:rsidRPr="001C127C">
        <w:rPr>
          <w:rFonts w:ascii="Times New Roman" w:hAnsi="Times New Roman" w:cs="Times New Roman"/>
        </w:rPr>
        <w:t>Supplementary Material</w:t>
      </w:r>
      <w:r w:rsidR="001C127C">
        <w:rPr>
          <w:rFonts w:ascii="Times New Roman" w:hAnsi="Times New Roman" w:cs="Times New Roman"/>
        </w:rPr>
        <w:t xml:space="preserve"> for:</w:t>
      </w:r>
    </w:p>
    <w:p w14:paraId="45A133B8" w14:textId="77777777" w:rsidR="002C1E5C" w:rsidRPr="00A47F55" w:rsidRDefault="002C1E5C" w:rsidP="002C1E5C">
      <w:pPr>
        <w:spacing w:line="480" w:lineRule="auto"/>
        <w:rPr>
          <w:rFonts w:ascii="Times New Roman" w:hAnsi="Times New Roman" w:cs="Times New Roman"/>
          <w:b/>
          <w:color w:val="000000" w:themeColor="text1"/>
        </w:rPr>
      </w:pPr>
      <w:r>
        <w:rPr>
          <w:rFonts w:ascii="Times New Roman" w:hAnsi="Times New Roman" w:cs="Times New Roman"/>
          <w:b/>
          <w:color w:val="000000" w:themeColor="text1"/>
        </w:rPr>
        <w:t>The</w:t>
      </w:r>
      <w:r w:rsidRPr="00A47F55">
        <w:rPr>
          <w:rFonts w:ascii="Times New Roman" w:hAnsi="Times New Roman" w:cs="Times New Roman"/>
          <w:b/>
          <w:color w:val="000000" w:themeColor="text1"/>
        </w:rPr>
        <w:t xml:space="preserve"> presence of a foreign microbial community promotes plant growth and reduces filtering of root fungi in the arctic-alpine plant </w:t>
      </w:r>
      <w:proofErr w:type="spellStart"/>
      <w:r w:rsidRPr="00A47F55">
        <w:rPr>
          <w:rFonts w:ascii="Times New Roman" w:hAnsi="Times New Roman" w:cs="Times New Roman"/>
          <w:b/>
          <w:i/>
          <w:iCs/>
          <w:color w:val="000000" w:themeColor="text1"/>
        </w:rPr>
        <w:t>Silene</w:t>
      </w:r>
      <w:proofErr w:type="spellEnd"/>
      <w:r w:rsidRPr="00A47F55">
        <w:rPr>
          <w:rFonts w:ascii="Times New Roman" w:hAnsi="Times New Roman" w:cs="Times New Roman"/>
          <w:b/>
          <w:i/>
          <w:iCs/>
          <w:color w:val="000000" w:themeColor="text1"/>
        </w:rPr>
        <w:t xml:space="preserve"> </w:t>
      </w:r>
      <w:proofErr w:type="spellStart"/>
      <w:r w:rsidRPr="00A47F55">
        <w:rPr>
          <w:rFonts w:ascii="Times New Roman" w:hAnsi="Times New Roman" w:cs="Times New Roman"/>
          <w:b/>
          <w:i/>
          <w:iCs/>
          <w:color w:val="000000" w:themeColor="text1"/>
        </w:rPr>
        <w:t>acaulis</w:t>
      </w:r>
      <w:proofErr w:type="spellEnd"/>
      <w:r w:rsidRPr="00A47F55">
        <w:rPr>
          <w:rFonts w:ascii="Times New Roman" w:hAnsi="Times New Roman" w:cs="Times New Roman"/>
          <w:b/>
          <w:i/>
          <w:iCs/>
          <w:color w:val="000000" w:themeColor="text1"/>
        </w:rPr>
        <w:t>.</w:t>
      </w:r>
    </w:p>
    <w:p w14:paraId="15436F42" w14:textId="77777777" w:rsidR="002C1E5C" w:rsidRDefault="002C1E5C" w:rsidP="00690A30">
      <w:pPr>
        <w:spacing w:line="480" w:lineRule="auto"/>
        <w:rPr>
          <w:rFonts w:ascii="Times New Roman" w:hAnsi="Times New Roman" w:cs="Times New Roman"/>
          <w:color w:val="000000" w:themeColor="text1"/>
        </w:rPr>
      </w:pPr>
    </w:p>
    <w:p w14:paraId="0EEA2C87" w14:textId="77777777" w:rsidR="00690A30" w:rsidRPr="00B2098D" w:rsidRDefault="00690A30" w:rsidP="00690A30">
      <w:pPr>
        <w:spacing w:line="480" w:lineRule="auto"/>
        <w:rPr>
          <w:rFonts w:ascii="Times New Roman" w:hAnsi="Times New Roman" w:cs="Times New Roman"/>
          <w:color w:val="000000" w:themeColor="text1"/>
          <w:vertAlign w:val="superscript"/>
        </w:rPr>
      </w:pPr>
      <w:proofErr w:type="spellStart"/>
      <w:r w:rsidRPr="00B2098D">
        <w:rPr>
          <w:rFonts w:ascii="Times New Roman" w:hAnsi="Times New Roman" w:cs="Times New Roman"/>
          <w:color w:val="000000" w:themeColor="text1"/>
        </w:rPr>
        <w:t>Conor</w:t>
      </w:r>
      <w:proofErr w:type="spellEnd"/>
      <w:r w:rsidRPr="00B2098D">
        <w:rPr>
          <w:rFonts w:ascii="Times New Roman" w:hAnsi="Times New Roman" w:cs="Times New Roman"/>
          <w:color w:val="000000" w:themeColor="text1"/>
        </w:rPr>
        <w:t xml:space="preserve"> V. Meade</w:t>
      </w:r>
      <w:r w:rsidRPr="00B2098D">
        <w:rPr>
          <w:rFonts w:ascii="Times New Roman" w:hAnsi="Times New Roman" w:cs="Times New Roman"/>
          <w:color w:val="000000" w:themeColor="text1"/>
          <w:vertAlign w:val="superscript"/>
        </w:rPr>
        <w:t>1,</w:t>
      </w:r>
      <w:proofErr w:type="gramStart"/>
      <w:r w:rsidRPr="00B2098D">
        <w:rPr>
          <w:rFonts w:ascii="Times New Roman" w:hAnsi="Times New Roman" w:cs="Times New Roman"/>
          <w:color w:val="000000" w:themeColor="text1"/>
          <w:vertAlign w:val="superscript"/>
        </w:rPr>
        <w:t>2,a</w:t>
      </w:r>
      <w:proofErr w:type="gramEnd"/>
      <w:r w:rsidRPr="00B2098D">
        <w:rPr>
          <w:rFonts w:ascii="Times New Roman" w:hAnsi="Times New Roman" w:cs="Times New Roman"/>
          <w:color w:val="000000" w:themeColor="text1"/>
        </w:rPr>
        <w:t>, Clifton P. Bueno de Mesquita</w:t>
      </w:r>
      <w:r w:rsidRPr="00B2098D">
        <w:rPr>
          <w:rFonts w:ascii="Times New Roman" w:hAnsi="Times New Roman" w:cs="Times New Roman"/>
          <w:color w:val="000000" w:themeColor="text1"/>
          <w:vertAlign w:val="superscript"/>
        </w:rPr>
        <w:t>2,3,a</w:t>
      </w:r>
      <w:r w:rsidRPr="00B2098D">
        <w:rPr>
          <w:rFonts w:ascii="Times New Roman" w:hAnsi="Times New Roman" w:cs="Times New Roman"/>
          <w:color w:val="000000" w:themeColor="text1"/>
        </w:rPr>
        <w:t>, Steven K. Schmidt</w:t>
      </w:r>
      <w:r w:rsidRPr="00B2098D">
        <w:rPr>
          <w:rFonts w:ascii="Times New Roman" w:hAnsi="Times New Roman" w:cs="Times New Roman"/>
          <w:color w:val="000000" w:themeColor="text1"/>
          <w:vertAlign w:val="superscript"/>
        </w:rPr>
        <w:t>3</w:t>
      </w:r>
      <w:r w:rsidRPr="00B2098D">
        <w:rPr>
          <w:rFonts w:ascii="Times New Roman" w:hAnsi="Times New Roman" w:cs="Times New Roman"/>
          <w:color w:val="000000" w:themeColor="text1"/>
        </w:rPr>
        <w:t>, Katharine N. Suding</w:t>
      </w:r>
      <w:r w:rsidRPr="00B2098D">
        <w:rPr>
          <w:rFonts w:ascii="Times New Roman" w:hAnsi="Times New Roman" w:cs="Times New Roman"/>
          <w:color w:val="000000" w:themeColor="text1"/>
          <w:vertAlign w:val="superscript"/>
        </w:rPr>
        <w:t>2,3</w:t>
      </w:r>
    </w:p>
    <w:p w14:paraId="48BAFBD4" w14:textId="77777777" w:rsidR="00690A30" w:rsidRPr="00B2098D" w:rsidRDefault="00690A30" w:rsidP="00690A30">
      <w:pPr>
        <w:spacing w:line="480" w:lineRule="auto"/>
        <w:rPr>
          <w:rFonts w:ascii="Times New Roman" w:eastAsia="Times New Roman" w:hAnsi="Times New Roman" w:cs="Times New Roman"/>
          <w:color w:val="000000" w:themeColor="text1"/>
        </w:rPr>
      </w:pPr>
      <w:r w:rsidRPr="00B2098D">
        <w:rPr>
          <w:rFonts w:ascii="Times New Roman" w:eastAsia="Times New Roman" w:hAnsi="Times New Roman" w:cs="Times New Roman"/>
          <w:color w:val="000000" w:themeColor="text1"/>
          <w:vertAlign w:val="superscript"/>
        </w:rPr>
        <w:t>1</w:t>
      </w:r>
      <w:r w:rsidRPr="00B2098D">
        <w:rPr>
          <w:rFonts w:ascii="Times New Roman" w:eastAsia="Times New Roman" w:hAnsi="Times New Roman" w:cs="Times New Roman"/>
          <w:color w:val="000000" w:themeColor="text1"/>
        </w:rPr>
        <w:t>Biology Department, Maynooth University, W23 F2H6, Ireland</w:t>
      </w:r>
    </w:p>
    <w:p w14:paraId="485BC41D" w14:textId="77777777" w:rsidR="00690A30" w:rsidRPr="00B2098D" w:rsidRDefault="00690A30" w:rsidP="00690A30">
      <w:pPr>
        <w:spacing w:line="480" w:lineRule="auto"/>
        <w:rPr>
          <w:rFonts w:ascii="Times New Roman" w:eastAsia="Times New Roman" w:hAnsi="Times New Roman" w:cs="Times New Roman"/>
          <w:color w:val="000000" w:themeColor="text1"/>
        </w:rPr>
      </w:pPr>
      <w:r w:rsidRPr="00B2098D">
        <w:rPr>
          <w:rFonts w:ascii="Times New Roman" w:eastAsia="Times New Roman" w:hAnsi="Times New Roman" w:cs="Times New Roman"/>
          <w:color w:val="000000" w:themeColor="text1"/>
          <w:vertAlign w:val="superscript"/>
        </w:rPr>
        <w:t>2</w:t>
      </w:r>
      <w:r w:rsidRPr="00B2098D">
        <w:rPr>
          <w:rFonts w:ascii="Times New Roman" w:eastAsia="Times New Roman" w:hAnsi="Times New Roman" w:cs="Times New Roman"/>
          <w:color w:val="000000" w:themeColor="text1"/>
        </w:rPr>
        <w:t>Institute of Arctic and Alpine Research, University of Colorado, Boulder, CO, USA 80309-0450</w:t>
      </w:r>
    </w:p>
    <w:p w14:paraId="037F6D0C" w14:textId="77777777" w:rsidR="00690A30" w:rsidRPr="00B2098D" w:rsidRDefault="00690A30" w:rsidP="00690A30">
      <w:pPr>
        <w:spacing w:line="480" w:lineRule="auto"/>
        <w:rPr>
          <w:rFonts w:ascii="Times New Roman" w:eastAsia="Times New Roman" w:hAnsi="Times New Roman" w:cs="Times New Roman"/>
          <w:color w:val="000000" w:themeColor="text1"/>
        </w:rPr>
      </w:pPr>
      <w:r w:rsidRPr="00B2098D">
        <w:rPr>
          <w:rFonts w:ascii="Times New Roman" w:eastAsia="Times New Roman" w:hAnsi="Times New Roman" w:cs="Times New Roman"/>
          <w:color w:val="000000" w:themeColor="text1"/>
          <w:vertAlign w:val="superscript"/>
        </w:rPr>
        <w:t>3</w:t>
      </w:r>
      <w:r w:rsidRPr="00B2098D">
        <w:rPr>
          <w:rFonts w:ascii="Times New Roman" w:eastAsia="Times New Roman" w:hAnsi="Times New Roman" w:cs="Times New Roman"/>
          <w:color w:val="000000" w:themeColor="text1"/>
        </w:rPr>
        <w:t>Department of Ecology and Evolutionary Biology, University of Colorado, Boulder, CO, USA 80309-0334</w:t>
      </w:r>
    </w:p>
    <w:p w14:paraId="4A871709" w14:textId="77777777" w:rsidR="00690A30" w:rsidRPr="00B2098D" w:rsidRDefault="00690A30" w:rsidP="00690A30">
      <w:pPr>
        <w:spacing w:line="480" w:lineRule="auto"/>
        <w:rPr>
          <w:rFonts w:ascii="Times New Roman" w:eastAsia="Times New Roman" w:hAnsi="Times New Roman" w:cs="Times New Roman"/>
          <w:color w:val="000000" w:themeColor="text1"/>
        </w:rPr>
      </w:pPr>
      <w:r w:rsidRPr="00B2098D">
        <w:rPr>
          <w:rFonts w:ascii="Times New Roman" w:eastAsia="Times New Roman" w:hAnsi="Times New Roman" w:cs="Times New Roman"/>
          <w:color w:val="000000" w:themeColor="text1"/>
          <w:vertAlign w:val="superscript"/>
        </w:rPr>
        <w:t>a</w:t>
      </w:r>
      <w:r w:rsidRPr="00B2098D">
        <w:rPr>
          <w:rFonts w:ascii="Times New Roman" w:eastAsia="Times New Roman" w:hAnsi="Times New Roman" w:cs="Times New Roman"/>
          <w:color w:val="000000" w:themeColor="text1"/>
        </w:rPr>
        <w:t>These authors contributed equally to the work</w:t>
      </w:r>
      <w:bookmarkStart w:id="0" w:name="_GoBack"/>
      <w:bookmarkEnd w:id="0"/>
    </w:p>
    <w:p w14:paraId="3B8B9E85" w14:textId="77777777" w:rsidR="00690A30" w:rsidRDefault="00690A30" w:rsidP="00690A30">
      <w:pPr>
        <w:spacing w:line="480" w:lineRule="auto"/>
        <w:outlineLvl w:val="0"/>
        <w:rPr>
          <w:rStyle w:val="Hyperlink"/>
          <w:rFonts w:ascii="Times New Roman" w:eastAsia="Times New Roman" w:hAnsi="Times New Roman" w:cs="Times New Roman"/>
          <w:color w:val="000000" w:themeColor="text1"/>
        </w:rPr>
      </w:pPr>
      <w:r w:rsidRPr="00B2098D">
        <w:rPr>
          <w:rFonts w:ascii="Times New Roman" w:eastAsia="Times New Roman" w:hAnsi="Times New Roman" w:cs="Times New Roman"/>
          <w:color w:val="000000" w:themeColor="text1"/>
          <w:vertAlign w:val="superscript"/>
        </w:rPr>
        <w:t>*</w:t>
      </w:r>
      <w:r w:rsidRPr="00B2098D">
        <w:rPr>
          <w:rFonts w:ascii="Times New Roman" w:eastAsia="Times New Roman" w:hAnsi="Times New Roman" w:cs="Times New Roman"/>
          <w:color w:val="000000" w:themeColor="text1"/>
        </w:rPr>
        <w:t xml:space="preserve">Corresponding author: </w:t>
      </w:r>
      <w:hyperlink r:id="rId5" w:history="1">
        <w:r w:rsidRPr="00B2098D">
          <w:rPr>
            <w:rStyle w:val="Hyperlink"/>
            <w:rFonts w:ascii="Times New Roman" w:eastAsia="Times New Roman" w:hAnsi="Times New Roman" w:cs="Times New Roman"/>
            <w:color w:val="000000" w:themeColor="text1"/>
          </w:rPr>
          <w:t>Conor.V.Meade@mu.ie</w:t>
        </w:r>
      </w:hyperlink>
    </w:p>
    <w:p w14:paraId="1476AC5E" w14:textId="77777777" w:rsidR="00690A30" w:rsidRDefault="00690A30">
      <w:pPr>
        <w:rPr>
          <w:rFonts w:ascii="Times New Roman" w:hAnsi="Times New Roman" w:cs="Times New Roman"/>
          <w:b/>
          <w:bCs/>
        </w:rPr>
      </w:pPr>
      <w:r>
        <w:rPr>
          <w:rFonts w:ascii="Times New Roman" w:hAnsi="Times New Roman" w:cs="Times New Roman"/>
          <w:b/>
          <w:bCs/>
        </w:rPr>
        <w:br w:type="page"/>
      </w:r>
    </w:p>
    <w:p w14:paraId="1CF8D208" w14:textId="72E69F35" w:rsidR="00D36AF5" w:rsidRPr="00A751C1" w:rsidRDefault="004B7D5D" w:rsidP="00690A30">
      <w:pPr>
        <w:spacing w:line="480" w:lineRule="auto"/>
        <w:rPr>
          <w:rFonts w:ascii="Times New Roman" w:hAnsi="Times New Roman" w:cs="Times New Roman"/>
          <w:b/>
          <w:bCs/>
        </w:rPr>
      </w:pPr>
      <w:r w:rsidRPr="00A751C1">
        <w:rPr>
          <w:rFonts w:ascii="Times New Roman" w:hAnsi="Times New Roman" w:cs="Times New Roman"/>
          <w:b/>
          <w:bCs/>
        </w:rPr>
        <w:lastRenderedPageBreak/>
        <w:t xml:space="preserve">Appendix 1: </w:t>
      </w:r>
      <w:r w:rsidRPr="00A751C1">
        <w:rPr>
          <w:rFonts w:ascii="Times New Roman" w:hAnsi="Times New Roman" w:cs="Times New Roman"/>
          <w:b/>
          <w:bCs/>
          <w:i/>
          <w:iCs/>
        </w:rPr>
        <w:t xml:space="preserve">Silene acaulis </w:t>
      </w:r>
      <w:r w:rsidRPr="00A751C1">
        <w:rPr>
          <w:rFonts w:ascii="Times New Roman" w:hAnsi="Times New Roman" w:cs="Times New Roman"/>
          <w:b/>
          <w:bCs/>
        </w:rPr>
        <w:t>background information and genotype information.</w:t>
      </w:r>
    </w:p>
    <w:p w14:paraId="046B875A" w14:textId="306B0905" w:rsidR="004B7D5D" w:rsidRPr="00A751C1" w:rsidRDefault="004B7D5D" w:rsidP="00426AE4">
      <w:pPr>
        <w:spacing w:line="480" w:lineRule="auto"/>
        <w:rPr>
          <w:rFonts w:ascii="Times New Roman" w:hAnsi="Times New Roman" w:cs="Times New Roman"/>
        </w:rPr>
      </w:pPr>
      <w:r w:rsidRPr="00A751C1">
        <w:rPr>
          <w:rFonts w:ascii="Times New Roman" w:eastAsia="Times New Roman" w:hAnsi="Times New Roman" w:cs="Times New Roman"/>
          <w:color w:val="000000" w:themeColor="text1"/>
        </w:rPr>
        <w:t>Phylogeographic analysis identifies 5 principal haplotype refugia across the range of the species after the Pleistocene/Holocene transition: Beringia/Alaska; the Southwestern Rocky Mountains; Northeastern Canada; the Eastern Atlantic and Greenland; and South Central Europe; which together comprise a history of radiation and dispersal that began approximately 1 million years BP</w:t>
      </w:r>
      <w:r w:rsidR="00690A30">
        <w:rPr>
          <w:rFonts w:ascii="Times New Roman" w:eastAsia="Times New Roman" w:hAnsi="Times New Roman" w:cs="Times New Roman"/>
          <w:color w:val="000000" w:themeColor="text1"/>
        </w:rPr>
        <w:t xml:space="preserve"> </w:t>
      </w:r>
      <w:r w:rsidR="00690A30">
        <w:rPr>
          <w:rFonts w:ascii="Times New Roman" w:eastAsia="Times New Roman" w:hAnsi="Times New Roman" w:cs="Times New Roman"/>
          <w:color w:val="000000" w:themeColor="text1"/>
        </w:rPr>
        <w:fldChar w:fldCharType="begin" w:fldLock="1"/>
      </w:r>
      <w:r w:rsidR="001D3644">
        <w:rPr>
          <w:rFonts w:ascii="Times New Roman" w:eastAsia="Times New Roman" w:hAnsi="Times New Roman" w:cs="Times New Roman"/>
          <w:color w:val="000000" w:themeColor="text1"/>
        </w:rPr>
        <w:instrText>ADDIN CSL_CITATION {"citationItems":[{"id":"ITEM-1","itemData":{"DOI":"10.3732/ajb.1500072","ISSN":"00029122","abstract":"PREMISE OF THE STUDY: Many arctic-alpine species have vast geographic ranges, but these may encompass substantial gaps whose origins are poorly understood. Here we address the phylogeographic history of Silene acaulis, a perennial cushion plant with a circumpolar distribution except for a large gap in Siberia. METHODS: We assessed genetic variation in a range-wide sample of 103 populations using plastid DNA (pDNA) sequences and AFLPs (amplified fragment length polymorphisms). We constructed a haplotype network and performed Bayesian phylogenetic analyses based on plastid sequences. We visualized AFLP patterns using principal coordinate analysis, identified genetic groups using the program structure, and estimated genetic diversity and rarity indices by geographic region. KEY RESULTS: The history of the main pDNA lineages was estimated to span several glaciations. AFLP data revealed a distinct division between Beringia/ North America and Europe/East Greenland. These two regions shared only one of 17 pDNA haplotypes. Populations on opposite sides of the Siberian range gap (Ural Mountains and Chukotka) were genetically distinct and appear to have resulted from postglacial leading-edge colonizations. We inferred two refugia in North America (Beringia and the southern Rocky Mountains) and two in Europe (central-southern Europe and northern Europe/East Greenland). Patterns in the East Atlantic region suggested transoceanic long-distance dispersal events. C ONCLUSIONS: Silene acaulis has a highly dynamic history characterized by vicariance, regional extinction, and recolonization, with persistence in at least four refugia. Long-distance dispersal explains patterns across the Atlantic Ocean, but we found no evidence of dispersal across the Siberian range gap.","author":[{"dropping-particle":"","family":"Gussarova","given":"Galina","non-dropping-particle":"","parse-names":false,"suffix":""},{"dropping-particle":"","family":"Allen","given":"Geraldine A.","non-dropping-particle":"","parse-names":false,"suffix":""},{"dropping-particle":"","family":"Mikhaylova","given":"Yulia","non-dropping-particle":"","parse-names":false,"suffix":""},{"dropping-particle":"","family":"McCormick","given":"Laurie J.","non-dropping-particle":"","parse-names":false,"suffix":""},{"dropping-particle":"","family":"Mirré","given":"Virginia","non-dropping-particle":"","parse-names":false,"suffix":""},{"dropping-particle":"","family":"Marr","given":"Kendrick L.","non-dropping-particle":"","parse-names":false,"suffix":""},{"dropping-particle":"","family":"Hebda","given":"Richard J.","non-dropping-particle":"","parse-names":false,"suffix":""},{"dropping-particle":"","family":"Brochmann","given":"Christian","non-dropping-particle":"","parse-names":false,"suffix":""}],"container-title":"American Journal of Botany","id":"ITEM-1","issue":"10","issued":{"date-parts":[["2015","10","1"]]},"page":"1703-1720","publisher":"Botanical Society of America Inc.","title":"Vicariance, long-distance dispersal, and regional extinction-recolonization dynamics explain the disjunct circumpolar distribution of the arctic-alpine plant &lt;i&gt;Silene acaulis&lt;/i&gt;","type":"article-journal","volume":"102"},"uris":["http://www.mendeley.com/documents/?uuid=2275e31b-9fff-330f-b6e6-8c9516c58508"]}],"mendeley":{"formattedCitation":"(Gussarova et al. 2015)","plainTextFormattedCitation":"(Gussarova et al. 2015)","previouslyFormattedCitation":"(Gussarova et al. 2015)"},"properties":{"noteIndex":0},"schema":"https://github.com/citation-style-language/schema/raw/master/csl-citation.json"}</w:instrText>
      </w:r>
      <w:r w:rsidR="00690A30">
        <w:rPr>
          <w:rFonts w:ascii="Times New Roman" w:eastAsia="Times New Roman" w:hAnsi="Times New Roman" w:cs="Times New Roman"/>
          <w:color w:val="000000" w:themeColor="text1"/>
        </w:rPr>
        <w:fldChar w:fldCharType="separate"/>
      </w:r>
      <w:r w:rsidR="00426AE4" w:rsidRPr="00426AE4">
        <w:rPr>
          <w:rFonts w:ascii="Times New Roman" w:eastAsia="Times New Roman" w:hAnsi="Times New Roman" w:cs="Times New Roman"/>
          <w:noProof/>
          <w:color w:val="000000" w:themeColor="text1"/>
        </w:rPr>
        <w:t>(Gussarova et al. 2015)</w:t>
      </w:r>
      <w:r w:rsidR="00690A30">
        <w:rPr>
          <w:rFonts w:ascii="Times New Roman" w:eastAsia="Times New Roman" w:hAnsi="Times New Roman" w:cs="Times New Roman"/>
          <w:color w:val="000000" w:themeColor="text1"/>
        </w:rPr>
        <w:fldChar w:fldCharType="end"/>
      </w:r>
      <w:r w:rsidRPr="00A751C1">
        <w:rPr>
          <w:rFonts w:ascii="Times New Roman" w:eastAsia="Times New Roman" w:hAnsi="Times New Roman" w:cs="Times New Roman"/>
          <w:color w:val="000000" w:themeColor="text1"/>
        </w:rPr>
        <w:t xml:space="preserve">. The current range of </w:t>
      </w:r>
      <w:r w:rsidRPr="00A751C1">
        <w:rPr>
          <w:rFonts w:ascii="Times New Roman" w:eastAsia="Times New Roman" w:hAnsi="Times New Roman" w:cs="Times New Roman"/>
          <w:i/>
          <w:color w:val="000000" w:themeColor="text1"/>
        </w:rPr>
        <w:t>S. acaulis</w:t>
      </w:r>
      <w:r w:rsidRPr="00A751C1">
        <w:rPr>
          <w:rFonts w:ascii="Times New Roman" w:eastAsia="Times New Roman" w:hAnsi="Times New Roman" w:cs="Times New Roman"/>
          <w:color w:val="000000" w:themeColor="text1"/>
        </w:rPr>
        <w:t xml:space="preserve"> extends over diverse geological and soil environments, creating a complex selective landscape for the species metapopulation. In addition, while populations in the northern arctic range of </w:t>
      </w:r>
      <w:r w:rsidRPr="00A751C1">
        <w:rPr>
          <w:rFonts w:ascii="Times New Roman" w:eastAsia="Times New Roman" w:hAnsi="Times New Roman" w:cs="Times New Roman"/>
          <w:i/>
          <w:color w:val="000000" w:themeColor="text1"/>
        </w:rPr>
        <w:t>S. acaulis</w:t>
      </w:r>
      <w:r w:rsidRPr="00A751C1">
        <w:rPr>
          <w:rFonts w:ascii="Times New Roman" w:eastAsia="Times New Roman" w:hAnsi="Times New Roman" w:cs="Times New Roman"/>
          <w:color w:val="000000" w:themeColor="text1"/>
        </w:rPr>
        <w:t xml:space="preserve"> are relatively abundant and contiguous, many southern populations persist in isolation, restricted to sky-island habitats where cold conditions prevail in otherwise temperate landscapes. Adult plants mature to form dome-shaped cushions that are self-protective against both freezing and wind-desiccation, and strong stress-tolerance capacity combined with repeated seasonal dieback allow established plants to survive for several hundred years </w:t>
      </w:r>
      <w:r w:rsidRPr="00A751C1">
        <w:rPr>
          <w:rFonts w:ascii="Times New Roman" w:eastAsia="Times New Roman" w:hAnsi="Times New Roman" w:cs="Times New Roman"/>
          <w:color w:val="000000" w:themeColor="text1"/>
        </w:rPr>
        <w:fldChar w:fldCharType="begin" w:fldLock="1"/>
      </w:r>
      <w:r w:rsidR="001D3644">
        <w:rPr>
          <w:rFonts w:ascii="Times New Roman" w:eastAsia="Times New Roman" w:hAnsi="Times New Roman" w:cs="Times New Roman"/>
          <w:color w:val="000000" w:themeColor="text1"/>
        </w:rPr>
        <w:instrText>ADDIN CSL_CITATION {"citationItems":[{"id":"ITEM-1","itemData":{"DOI":"10.2307/2446413","ISBN":"0002-9122","ISSN":"00029122","PMID":"21684962","abstract":"Alpine plants often appear to have long life-spans as an adaptation to harsh and unpredictable environmental conditions, yet many lack reliable indicators of age that would make it possible to determine their true longevity. Their extended life-spans also pose problems for measuring lifetime reproductive success, a key component of breeding system evolution in species such as the gynodioecious cushion plant Silene acaulis. For a population of S. acaulis in south-central Alaska, we applied a recently derived analytical approach using size-based population projection matrices that allowed us to estimate: (1) the relationship between cushion diameter and age; and (2) lifetime reproductive success through seed production by females relative to hermaphrodites. Because of a combination of slow growth, frequent shrinkage, and extremely high adult survival, we estimate that the largest cushions in our study population exceed 300 yr in age, and some may live substantially longer, despite the seemingly inhospitable alpine environment they inhabit. Females are estimated to produce 4.4 times as many offspring via seed production over the course of their lives as do hermaphrodites, a difference that is more than sufficient to assure the persistence of females despite their inability to transmit genes through pollen. These results highlight the utility of size-based projection matrices for studying the life histories of herbaceous perennials whose life-span and lifetime reproductive success cannot be determined easily by any other means.","author":[{"dropping-particle":"","family":"Morris","given":"William F.","non-dropping-particle":"","parse-names":false,"suffix":""},{"dropping-particle":"","family":"Doak","given":"Daniel F.","non-dropping-particle":"","parse-names":false,"suffix":""}],"container-title":"American Journal of Botany","id":"ITEM-1","issue":"6","issued":{"date-parts":[["1998"]]},"page":"784-793","title":"Life history of the long-lived gynodioecious cushion plant &lt;i&gt;Silene acaulis&lt;/i&gt; (Caryophyllaceae), inferred from size-based population projection matrices","type":"article-journal","volume":"85"},"uris":["http://www.mendeley.com/documents/?uuid=b933bdc8-9ee5-45d6-9605-06d79ceb92ea","http://www.mendeley.com/documents/?uuid=fa28c6f1-8569-4c0f-a087-ad3c08a7810d"]}],"mendeley":{"formattedCitation":"(Morris and Doak 1998)","plainTextFormattedCitation":"(Morris and Doak 1998)","previouslyFormattedCitation":"(Morris and Doak 1998)"},"properties":{"noteIndex":0},"schema":"https://github.com/citation-style-language/schema/raw/master/csl-citation.json"}</w:instrText>
      </w:r>
      <w:r w:rsidRPr="00A751C1">
        <w:rPr>
          <w:rFonts w:ascii="Times New Roman" w:eastAsia="Times New Roman" w:hAnsi="Times New Roman" w:cs="Times New Roman"/>
          <w:color w:val="000000" w:themeColor="text1"/>
        </w:rPr>
        <w:fldChar w:fldCharType="separate"/>
      </w:r>
      <w:r w:rsidR="00426AE4" w:rsidRPr="00426AE4">
        <w:rPr>
          <w:rFonts w:ascii="Times New Roman" w:eastAsia="Times New Roman" w:hAnsi="Times New Roman" w:cs="Times New Roman"/>
          <w:noProof/>
          <w:color w:val="000000" w:themeColor="text1"/>
        </w:rPr>
        <w:t>(Morris and Doak 1998)</w:t>
      </w:r>
      <w:r w:rsidRPr="00A751C1">
        <w:rPr>
          <w:rFonts w:ascii="Times New Roman" w:eastAsia="Times New Roman" w:hAnsi="Times New Roman" w:cs="Times New Roman"/>
          <w:color w:val="000000" w:themeColor="text1"/>
        </w:rPr>
        <w:fldChar w:fldCharType="end"/>
      </w:r>
      <w:r w:rsidRPr="00A751C1">
        <w:rPr>
          <w:rFonts w:ascii="Times New Roman" w:eastAsia="Times New Roman" w:hAnsi="Times New Roman" w:cs="Times New Roman"/>
          <w:color w:val="000000" w:themeColor="text1"/>
        </w:rPr>
        <w:t>. However, although seedling germination rates are nominally high, annual recruitment of seedlings into stable adult populations is very limited, and is associated with rapid initial accumulation of above-ground biomass in surviving seedlings (Doak &amp; Morris, 2010).</w:t>
      </w:r>
    </w:p>
    <w:p w14:paraId="2C344391" w14:textId="77777777" w:rsidR="004B7D5D" w:rsidRPr="00A751C1" w:rsidRDefault="004B7D5D" w:rsidP="00690A30">
      <w:pPr>
        <w:spacing w:line="480" w:lineRule="auto"/>
        <w:rPr>
          <w:rFonts w:ascii="Times New Roman" w:eastAsia="Times New Roman" w:hAnsi="Times New Roman" w:cs="Times New Roman"/>
          <w:color w:val="000000" w:themeColor="text1"/>
        </w:rPr>
      </w:pPr>
    </w:p>
    <w:p w14:paraId="6C10CA2B" w14:textId="4FFBCA3F" w:rsidR="004B7D5D" w:rsidRDefault="004B7D5D" w:rsidP="00690A30">
      <w:pPr>
        <w:spacing w:line="480" w:lineRule="auto"/>
        <w:rPr>
          <w:rFonts w:ascii="Times New Roman" w:hAnsi="Times New Roman" w:cs="Times New Roman"/>
          <w:i/>
        </w:rPr>
      </w:pPr>
      <w:r w:rsidRPr="00D57200">
        <w:rPr>
          <w:rFonts w:ascii="Times New Roman" w:hAnsi="Times New Roman" w:cs="Times New Roman"/>
          <w:i/>
        </w:rPr>
        <w:t>DNA Sequencing – Plant Markers</w:t>
      </w:r>
    </w:p>
    <w:p w14:paraId="7010F88F" w14:textId="46B11DC7" w:rsidR="0053147C" w:rsidRPr="0053147C" w:rsidRDefault="004B7D5D" w:rsidP="00690A30">
      <w:pPr>
        <w:spacing w:line="480" w:lineRule="auto"/>
        <w:rPr>
          <w:rFonts w:ascii="Times New Roman" w:hAnsi="Times New Roman" w:cs="Times New Roman"/>
        </w:rPr>
      </w:pPr>
      <w:r w:rsidRPr="00D57200">
        <w:rPr>
          <w:rFonts w:ascii="Times New Roman" w:hAnsi="Times New Roman" w:cs="Times New Roman"/>
        </w:rPr>
        <w:t xml:space="preserve">Validation of genetic identity for the target plant populations was completed using the chloroplast matK and </w:t>
      </w:r>
      <w:r w:rsidRPr="00D57200">
        <w:rPr>
          <w:rFonts w:ascii="Times New Roman" w:hAnsi="Times New Roman" w:cs="Times New Roman"/>
          <w:i/>
        </w:rPr>
        <w:t>trn</w:t>
      </w:r>
      <w:r w:rsidRPr="00D57200">
        <w:rPr>
          <w:rFonts w:ascii="Times New Roman" w:hAnsi="Times New Roman" w:cs="Times New Roman"/>
        </w:rPr>
        <w:t>L</w:t>
      </w:r>
      <w:r w:rsidRPr="00D57200">
        <w:rPr>
          <w:rFonts w:ascii="Times New Roman" w:hAnsi="Times New Roman" w:cs="Times New Roman"/>
          <w:vertAlign w:val="superscript"/>
        </w:rPr>
        <w:t>(UAA)</w:t>
      </w:r>
      <w:r w:rsidRPr="00D57200">
        <w:rPr>
          <w:rFonts w:ascii="Times New Roman" w:hAnsi="Times New Roman" w:cs="Times New Roman"/>
        </w:rPr>
        <w:t xml:space="preserve"> intron barcode loci.</w:t>
      </w:r>
      <w:r w:rsidR="0053147C">
        <w:rPr>
          <w:rFonts w:ascii="Times New Roman" w:hAnsi="Times New Roman" w:cs="Times New Roman"/>
        </w:rPr>
        <w:t xml:space="preserve"> </w:t>
      </w:r>
      <w:r w:rsidR="0053147C" w:rsidRPr="0053147C">
        <w:rPr>
          <w:rFonts w:ascii="Times New Roman" w:hAnsi="Times New Roman" w:cs="Times New Roman"/>
        </w:rPr>
        <w:t>A common sterile sampling protocol was used at both sites for the collection of</w:t>
      </w:r>
      <w:r w:rsidR="0053147C">
        <w:rPr>
          <w:rFonts w:ascii="Times New Roman" w:hAnsi="Times New Roman" w:cs="Times New Roman"/>
        </w:rPr>
        <w:t xml:space="preserve"> g</w:t>
      </w:r>
      <w:r w:rsidR="0053147C" w:rsidRPr="00D57200">
        <w:rPr>
          <w:rFonts w:ascii="Times New Roman" w:hAnsi="Times New Roman" w:cs="Times New Roman"/>
        </w:rPr>
        <w:t>reen shoot tissue from 20 individual</w:t>
      </w:r>
      <w:r w:rsidR="0053147C">
        <w:rPr>
          <w:rFonts w:ascii="Times New Roman" w:hAnsi="Times New Roman" w:cs="Times New Roman"/>
        </w:rPr>
        <w:t xml:space="preserve"> adult</w:t>
      </w:r>
      <w:r w:rsidR="0053147C" w:rsidRPr="00D57200">
        <w:rPr>
          <w:rFonts w:ascii="Times New Roman" w:hAnsi="Times New Roman" w:cs="Times New Roman"/>
        </w:rPr>
        <w:t xml:space="preserve"> plant</w:t>
      </w:r>
      <w:r w:rsidR="0053147C">
        <w:rPr>
          <w:rFonts w:ascii="Times New Roman" w:hAnsi="Times New Roman" w:cs="Times New Roman"/>
        </w:rPr>
        <w:t xml:space="preserve">s </w:t>
      </w:r>
      <w:r w:rsidR="0053147C" w:rsidRPr="00D57200">
        <w:rPr>
          <w:rFonts w:ascii="Times New Roman" w:hAnsi="Times New Roman" w:cs="Times New Roman"/>
        </w:rPr>
        <w:t>in each population</w:t>
      </w:r>
      <w:r w:rsidR="0053147C" w:rsidRPr="0053147C">
        <w:rPr>
          <w:rFonts w:ascii="Times New Roman" w:hAnsi="Times New Roman" w:cs="Times New Roman"/>
        </w:rPr>
        <w:t>. At the Ben Bulben site in Ireland, adult plants comprising a single-plant rosette of between 10 and 20 cm diameter were identified along a 2</w:t>
      </w:r>
      <w:r w:rsidR="00690A30">
        <w:rPr>
          <w:rFonts w:ascii="Times New Roman" w:hAnsi="Times New Roman" w:cs="Times New Roman"/>
        </w:rPr>
        <w:t xml:space="preserve"> </w:t>
      </w:r>
      <w:r w:rsidR="0053147C" w:rsidRPr="0053147C">
        <w:rPr>
          <w:rFonts w:ascii="Times New Roman" w:hAnsi="Times New Roman" w:cs="Times New Roman"/>
        </w:rPr>
        <w:t xml:space="preserve">km southeast-northwest transect </w:t>
      </w:r>
      <w:r w:rsidR="0053147C" w:rsidRPr="0053147C">
        <w:rPr>
          <w:rFonts w:ascii="Times New Roman" w:hAnsi="Times New Roman" w:cs="Times New Roman"/>
        </w:rPr>
        <w:lastRenderedPageBreak/>
        <w:t>beginning at the Glencarbury mine rubble quarry, 480</w:t>
      </w:r>
      <w:r w:rsidR="0053147C">
        <w:rPr>
          <w:rFonts w:ascii="Times New Roman" w:hAnsi="Times New Roman" w:cs="Times New Roman"/>
        </w:rPr>
        <w:t xml:space="preserve"> </w:t>
      </w:r>
      <w:r w:rsidR="0053147C" w:rsidRPr="0053147C">
        <w:rPr>
          <w:rFonts w:ascii="Times New Roman" w:hAnsi="Times New Roman" w:cs="Times New Roman"/>
        </w:rPr>
        <w:t>m</w:t>
      </w:r>
      <w:r w:rsidR="0053147C">
        <w:rPr>
          <w:rFonts w:ascii="Times New Roman" w:hAnsi="Times New Roman" w:cs="Times New Roman"/>
        </w:rPr>
        <w:t>.</w:t>
      </w:r>
      <w:r w:rsidR="0053147C" w:rsidRPr="0053147C">
        <w:rPr>
          <w:rFonts w:ascii="Times New Roman" w:hAnsi="Times New Roman" w:cs="Times New Roman"/>
        </w:rPr>
        <w:t>a</w:t>
      </w:r>
      <w:r w:rsidR="0053147C">
        <w:rPr>
          <w:rFonts w:ascii="Times New Roman" w:hAnsi="Times New Roman" w:cs="Times New Roman"/>
        </w:rPr>
        <w:t>.</w:t>
      </w:r>
      <w:r w:rsidR="0053147C" w:rsidRPr="0053147C">
        <w:rPr>
          <w:rFonts w:ascii="Times New Roman" w:hAnsi="Times New Roman" w:cs="Times New Roman"/>
        </w:rPr>
        <w:t>s</w:t>
      </w:r>
      <w:r w:rsidR="0053147C">
        <w:rPr>
          <w:rFonts w:ascii="Times New Roman" w:hAnsi="Times New Roman" w:cs="Times New Roman"/>
        </w:rPr>
        <w:t>.</w:t>
      </w:r>
      <w:r w:rsidR="0053147C" w:rsidRPr="0053147C">
        <w:rPr>
          <w:rFonts w:ascii="Times New Roman" w:hAnsi="Times New Roman" w:cs="Times New Roman"/>
        </w:rPr>
        <w:t>l</w:t>
      </w:r>
      <w:r w:rsidR="0053147C">
        <w:rPr>
          <w:rFonts w:ascii="Times New Roman" w:hAnsi="Times New Roman" w:cs="Times New Roman"/>
        </w:rPr>
        <w:t>.</w:t>
      </w:r>
      <w:r w:rsidR="0053147C" w:rsidRPr="0053147C">
        <w:rPr>
          <w:rFonts w:ascii="Times New Roman" w:hAnsi="Times New Roman" w:cs="Times New Roman"/>
        </w:rPr>
        <w:t xml:space="preserve"> and ending at the saddle between BenWiskin and Slievmore at 540</w:t>
      </w:r>
      <w:r w:rsidR="0053147C">
        <w:rPr>
          <w:rFonts w:ascii="Times New Roman" w:hAnsi="Times New Roman" w:cs="Times New Roman"/>
        </w:rPr>
        <w:t xml:space="preserve"> </w:t>
      </w:r>
      <w:r w:rsidR="0053147C" w:rsidRPr="0053147C">
        <w:rPr>
          <w:rFonts w:ascii="Times New Roman" w:hAnsi="Times New Roman" w:cs="Times New Roman"/>
        </w:rPr>
        <w:t>m</w:t>
      </w:r>
      <w:r w:rsidR="0053147C">
        <w:rPr>
          <w:rFonts w:ascii="Times New Roman" w:hAnsi="Times New Roman" w:cs="Times New Roman"/>
        </w:rPr>
        <w:t>.</w:t>
      </w:r>
      <w:r w:rsidR="0053147C" w:rsidRPr="0053147C">
        <w:rPr>
          <w:rFonts w:ascii="Times New Roman" w:hAnsi="Times New Roman" w:cs="Times New Roman"/>
        </w:rPr>
        <w:t>a</w:t>
      </w:r>
      <w:r w:rsidR="0053147C">
        <w:rPr>
          <w:rFonts w:ascii="Times New Roman" w:hAnsi="Times New Roman" w:cs="Times New Roman"/>
        </w:rPr>
        <w:t>.</w:t>
      </w:r>
      <w:r w:rsidR="0053147C" w:rsidRPr="0053147C">
        <w:rPr>
          <w:rFonts w:ascii="Times New Roman" w:hAnsi="Times New Roman" w:cs="Times New Roman"/>
        </w:rPr>
        <w:t>s</w:t>
      </w:r>
      <w:r w:rsidR="0053147C">
        <w:rPr>
          <w:rFonts w:ascii="Times New Roman" w:hAnsi="Times New Roman" w:cs="Times New Roman"/>
        </w:rPr>
        <w:t>.</w:t>
      </w:r>
      <w:r w:rsidR="0053147C" w:rsidRPr="0053147C">
        <w:rPr>
          <w:rFonts w:ascii="Times New Roman" w:hAnsi="Times New Roman" w:cs="Times New Roman"/>
        </w:rPr>
        <w:t>l. At an interval of minimum 50</w:t>
      </w:r>
      <w:r w:rsidR="0053147C">
        <w:rPr>
          <w:rFonts w:ascii="Times New Roman" w:hAnsi="Times New Roman" w:cs="Times New Roman"/>
        </w:rPr>
        <w:t xml:space="preserve"> </w:t>
      </w:r>
      <w:r w:rsidR="0053147C" w:rsidRPr="0053147C">
        <w:rPr>
          <w:rFonts w:ascii="Times New Roman" w:hAnsi="Times New Roman" w:cs="Times New Roman"/>
        </w:rPr>
        <w:t>m apart, identified sexually mature plants were checked for disease. Wearing sterile nitrile gloves and using a pre-sterilised stainless steel spatula, the central root was loosened and removed, and the entire plant placed in a labelled sterile polyethylene collection bag with silica gel desiccant. At</w:t>
      </w:r>
      <w:r w:rsidR="0053147C">
        <w:rPr>
          <w:rFonts w:ascii="Times New Roman" w:hAnsi="Times New Roman" w:cs="Times New Roman"/>
        </w:rPr>
        <w:t xml:space="preserve"> the</w:t>
      </w:r>
      <w:r w:rsidR="0053147C" w:rsidRPr="0053147C">
        <w:rPr>
          <w:rFonts w:ascii="Times New Roman" w:hAnsi="Times New Roman" w:cs="Times New Roman"/>
        </w:rPr>
        <w:t xml:space="preserve"> Niwot Ridge LTER</w:t>
      </w:r>
      <w:r w:rsidR="0053147C">
        <w:rPr>
          <w:rFonts w:ascii="Times New Roman" w:hAnsi="Times New Roman" w:cs="Times New Roman"/>
        </w:rPr>
        <w:t xml:space="preserve"> site in Colorado</w:t>
      </w:r>
      <w:r w:rsidR="0053147C" w:rsidRPr="0053147C">
        <w:rPr>
          <w:rFonts w:ascii="Times New Roman" w:hAnsi="Times New Roman" w:cs="Times New Roman"/>
        </w:rPr>
        <w:t>, sampling was completed using the same protocol along a 2</w:t>
      </w:r>
      <w:r w:rsidR="0053147C">
        <w:rPr>
          <w:rFonts w:ascii="Times New Roman" w:hAnsi="Times New Roman" w:cs="Times New Roman"/>
        </w:rPr>
        <w:t xml:space="preserve"> </w:t>
      </w:r>
      <w:r w:rsidR="0053147C" w:rsidRPr="0053147C">
        <w:rPr>
          <w:rFonts w:ascii="Times New Roman" w:hAnsi="Times New Roman" w:cs="Times New Roman"/>
        </w:rPr>
        <w:t>km east-west transect beginning at the LTER Tundra lab, at 3528</w:t>
      </w:r>
      <w:r w:rsidR="0053147C">
        <w:rPr>
          <w:rFonts w:ascii="Times New Roman" w:hAnsi="Times New Roman" w:cs="Times New Roman"/>
        </w:rPr>
        <w:t xml:space="preserve"> </w:t>
      </w:r>
      <w:r w:rsidR="0053147C" w:rsidRPr="0053147C">
        <w:rPr>
          <w:rFonts w:ascii="Times New Roman" w:hAnsi="Times New Roman" w:cs="Times New Roman"/>
        </w:rPr>
        <w:t>m</w:t>
      </w:r>
      <w:r w:rsidR="0053147C">
        <w:rPr>
          <w:rFonts w:ascii="Times New Roman" w:hAnsi="Times New Roman" w:cs="Times New Roman"/>
        </w:rPr>
        <w:t>.</w:t>
      </w:r>
      <w:r w:rsidR="0053147C" w:rsidRPr="0053147C">
        <w:rPr>
          <w:rFonts w:ascii="Times New Roman" w:hAnsi="Times New Roman" w:cs="Times New Roman"/>
        </w:rPr>
        <w:t>a</w:t>
      </w:r>
      <w:r w:rsidR="0053147C">
        <w:rPr>
          <w:rFonts w:ascii="Times New Roman" w:hAnsi="Times New Roman" w:cs="Times New Roman"/>
        </w:rPr>
        <w:t>.</w:t>
      </w:r>
      <w:r w:rsidR="0053147C" w:rsidRPr="0053147C">
        <w:rPr>
          <w:rFonts w:ascii="Times New Roman" w:hAnsi="Times New Roman" w:cs="Times New Roman"/>
        </w:rPr>
        <w:t>s</w:t>
      </w:r>
      <w:r w:rsidR="0053147C">
        <w:rPr>
          <w:rFonts w:ascii="Times New Roman" w:hAnsi="Times New Roman" w:cs="Times New Roman"/>
        </w:rPr>
        <w:t>.</w:t>
      </w:r>
      <w:r w:rsidR="0053147C" w:rsidRPr="0053147C">
        <w:rPr>
          <w:rFonts w:ascii="Times New Roman" w:hAnsi="Times New Roman" w:cs="Times New Roman"/>
        </w:rPr>
        <w:t>l</w:t>
      </w:r>
      <w:r w:rsidR="0053147C">
        <w:rPr>
          <w:rFonts w:ascii="Times New Roman" w:hAnsi="Times New Roman" w:cs="Times New Roman"/>
        </w:rPr>
        <w:t>.</w:t>
      </w:r>
      <w:r w:rsidR="0053147C" w:rsidRPr="0053147C">
        <w:rPr>
          <w:rFonts w:ascii="Times New Roman" w:hAnsi="Times New Roman" w:cs="Times New Roman"/>
        </w:rPr>
        <w:t xml:space="preserve"> and ending at the D-1 </w:t>
      </w:r>
      <w:r w:rsidR="0053147C">
        <w:rPr>
          <w:rFonts w:ascii="Times New Roman" w:hAnsi="Times New Roman" w:cs="Times New Roman"/>
        </w:rPr>
        <w:t>meteorological</w:t>
      </w:r>
      <w:r w:rsidR="0053147C" w:rsidRPr="0053147C">
        <w:rPr>
          <w:rFonts w:ascii="Times New Roman" w:hAnsi="Times New Roman" w:cs="Times New Roman"/>
        </w:rPr>
        <w:t xml:space="preserve"> station at 3739</w:t>
      </w:r>
      <w:r w:rsidR="0053147C">
        <w:rPr>
          <w:rFonts w:ascii="Times New Roman" w:hAnsi="Times New Roman" w:cs="Times New Roman"/>
        </w:rPr>
        <w:t xml:space="preserve"> </w:t>
      </w:r>
      <w:r w:rsidR="0053147C" w:rsidRPr="0053147C">
        <w:rPr>
          <w:rFonts w:ascii="Times New Roman" w:hAnsi="Times New Roman" w:cs="Times New Roman"/>
        </w:rPr>
        <w:t>m</w:t>
      </w:r>
      <w:r w:rsidR="0053147C">
        <w:rPr>
          <w:rFonts w:ascii="Times New Roman" w:hAnsi="Times New Roman" w:cs="Times New Roman"/>
        </w:rPr>
        <w:t>.</w:t>
      </w:r>
      <w:r w:rsidR="0053147C" w:rsidRPr="0053147C">
        <w:rPr>
          <w:rFonts w:ascii="Times New Roman" w:hAnsi="Times New Roman" w:cs="Times New Roman"/>
        </w:rPr>
        <w:t>a</w:t>
      </w:r>
      <w:r w:rsidR="0053147C">
        <w:rPr>
          <w:rFonts w:ascii="Times New Roman" w:hAnsi="Times New Roman" w:cs="Times New Roman"/>
        </w:rPr>
        <w:t>.</w:t>
      </w:r>
      <w:r w:rsidR="0053147C" w:rsidRPr="0053147C">
        <w:rPr>
          <w:rFonts w:ascii="Times New Roman" w:hAnsi="Times New Roman" w:cs="Times New Roman"/>
        </w:rPr>
        <w:t>s</w:t>
      </w:r>
      <w:r w:rsidR="0053147C">
        <w:rPr>
          <w:rFonts w:ascii="Times New Roman" w:hAnsi="Times New Roman" w:cs="Times New Roman"/>
        </w:rPr>
        <w:t>.</w:t>
      </w:r>
      <w:r w:rsidR="0053147C" w:rsidRPr="0053147C">
        <w:rPr>
          <w:rFonts w:ascii="Times New Roman" w:hAnsi="Times New Roman" w:cs="Times New Roman"/>
        </w:rPr>
        <w:t>l.</w:t>
      </w:r>
    </w:p>
    <w:p w14:paraId="5B28D22C" w14:textId="6DDBB234" w:rsidR="004B7D5D" w:rsidRPr="00A751C1" w:rsidRDefault="001705B9" w:rsidP="00690A30">
      <w:pPr>
        <w:spacing w:line="480" w:lineRule="auto"/>
        <w:ind w:firstLine="720"/>
        <w:rPr>
          <w:rFonts w:ascii="Times New Roman" w:hAnsi="Times New Roman" w:cs="Times New Roman"/>
        </w:rPr>
      </w:pPr>
      <w:r>
        <w:rPr>
          <w:rFonts w:ascii="Times New Roman" w:hAnsi="Times New Roman" w:cs="Times New Roman"/>
        </w:rPr>
        <w:t xml:space="preserve">Green shoot tissue </w:t>
      </w:r>
      <w:r w:rsidR="004B7D5D" w:rsidRPr="00D57200">
        <w:rPr>
          <w:rFonts w:ascii="Times New Roman" w:hAnsi="Times New Roman" w:cs="Times New Roman"/>
        </w:rPr>
        <w:t>was desiccated for 96 hours with silica gel crystals (Sigma 10087). For each sample, whole genome DNA was extracted from 50 mg of dried tissue using the Qiagen Plant DNeasy kit (Qiagen 69104). Specimen identity was validated via PCR amplification with MatK-5'</w:t>
      </w:r>
      <w:r w:rsidR="004B7D5D" w:rsidRPr="00D57200">
        <w:rPr>
          <w:rFonts w:ascii="Times New Roman" w:hAnsi="Times New Roman" w:cs="Times New Roman"/>
          <w:i/>
        </w:rPr>
        <w:t>trn</w:t>
      </w:r>
      <w:r w:rsidR="004B7D5D" w:rsidRPr="00D57200">
        <w:rPr>
          <w:rFonts w:ascii="Times New Roman" w:hAnsi="Times New Roman" w:cs="Times New Roman"/>
        </w:rPr>
        <w:t xml:space="preserve">K primers '390F' (Cuenoud </w:t>
      </w:r>
      <w:r w:rsidR="004B7D5D" w:rsidRPr="00D57200">
        <w:rPr>
          <w:rFonts w:ascii="Times New Roman" w:hAnsi="Times New Roman" w:cs="Times New Roman"/>
          <w:i/>
          <w:iCs/>
        </w:rPr>
        <w:t xml:space="preserve">et al., </w:t>
      </w:r>
      <w:r w:rsidR="004B7D5D" w:rsidRPr="00D57200">
        <w:rPr>
          <w:rFonts w:ascii="Times New Roman" w:hAnsi="Times New Roman" w:cs="Times New Roman"/>
        </w:rPr>
        <w:t>2002) and '1440R'</w:t>
      </w:r>
      <w:r w:rsidR="00426AE4">
        <w:rPr>
          <w:rFonts w:ascii="Times New Roman" w:hAnsi="Times New Roman" w:cs="Times New Roman"/>
        </w:rPr>
        <w:t xml:space="preserve"> </w:t>
      </w:r>
      <w:r w:rsidR="00426AE4">
        <w:rPr>
          <w:rFonts w:ascii="Times New Roman" w:hAnsi="Times New Roman" w:cs="Times New Roman"/>
        </w:rPr>
        <w:fldChar w:fldCharType="begin" w:fldLock="1"/>
      </w:r>
      <w:r w:rsidR="001D3644">
        <w:rPr>
          <w:rFonts w:ascii="Times New Roman" w:hAnsi="Times New Roman" w:cs="Times New Roman"/>
        </w:rPr>
        <w:instrText>ADDIN CSL_CITATION {"citationItems":[{"id":"ITEM-1","itemData":{"DOI":"10.3732/ajb.93.3.399","ISSN":"0002-9122","abstract":"Caryophyllaceae is a principally holarctic family including around 2200 species often classified into the three subfamilies Alsinoideae, Caryophylloideae, and Paronychioideae. Complex and possibly homoplasious morphological characters within the family make taxa difficult to delimit and diagnose. To explore part of the morphological evolution within the family, we investigated the phylogeny of the Caryophyllaceae by means of analyzing plastid and nuclear sequence data with parsimony and Bayesian methods. We describe a mode of tracing a stable phylogenetic signal in ITS sequences, and a significant common signal is shared with the plastid data. Parsimony and Bayesian analyses yield some differences in tree resolution. None of the subfamilies appear monophyletic, but the monophyly of the Caryophylloideae is not contradicted. Alsinoideae are paraphyletic, with Arenaria subg. Eremogone and Minuartia subg. Spergella more closely related to the Caryophylloideae. There is strong support for the inclusion of Spergula-Spergularia in an Alsinoideae-Caryophylloideae clade. Putative synapomorphies for these groupings are twice as many stamens as number of sepals and a caryophyllad-type of embryogeny. Paronychioideae form a basal grade, where tribe Corrigioleae are sister to the rest of the family. Free styles and capsules with simple teeth are possibly plesiomorphic for the family.","author":[{"dropping-particle":"","family":"Fior","given":"S.","non-dropping-particle":"","parse-names":false,"suffix":""},{"dropping-particle":"","family":"Karis","given":"P. O.","non-dropping-particle":"","parse-names":false,"suffix":""},{"dropping-particle":"","family":"Casazza","given":"G.","non-dropping-particle":"","parse-names":false,"suffix":""},{"dropping-particle":"","family":"Minuto","given":"L.","non-dropping-particle":"","parse-names":false,"suffix":""},{"dropping-particle":"","family":"Sala","given":"F.","non-dropping-particle":"","parse-names":false,"suffix":""}],"container-title":"American Journal of Botany","id":"ITEM-1","issue":"3","issued":{"date-parts":[["2006","3","1"]]},"page":"399-411","publisher":"John Wiley &amp; Sons, Ltd","title":"Molecular phylogeny of the Caryophyllaceae (Caryophyllales) inferred from chloroplast matK and nuclear rDNA ITS sequences","type":"article-journal","volume":"93"},"uris":["http://www.mendeley.com/documents/?uuid=e1489f34-7ed8-3b7d-8db1-76aa83383efd"]}],"mendeley":{"formattedCitation":"(Fior et al. 2006)","plainTextFormattedCitation":"(Fior et al. 2006)","previouslyFormattedCitation":"(Fior et al. 2006)"},"properties":{"noteIndex":0},"schema":"https://github.com/citation-style-language/schema/raw/master/csl-citation.json"}</w:instrText>
      </w:r>
      <w:r w:rsidR="00426AE4">
        <w:rPr>
          <w:rFonts w:ascii="Times New Roman" w:hAnsi="Times New Roman" w:cs="Times New Roman"/>
        </w:rPr>
        <w:fldChar w:fldCharType="separate"/>
      </w:r>
      <w:r w:rsidR="00426AE4" w:rsidRPr="00426AE4">
        <w:rPr>
          <w:rFonts w:ascii="Times New Roman" w:hAnsi="Times New Roman" w:cs="Times New Roman"/>
          <w:noProof/>
        </w:rPr>
        <w:t>(Fior et al. 2006)</w:t>
      </w:r>
      <w:r w:rsidR="00426AE4">
        <w:rPr>
          <w:rFonts w:ascii="Times New Roman" w:hAnsi="Times New Roman" w:cs="Times New Roman"/>
        </w:rPr>
        <w:fldChar w:fldCharType="end"/>
      </w:r>
      <w:r w:rsidR="004B7D5D" w:rsidRPr="00D57200">
        <w:rPr>
          <w:rFonts w:ascii="Times New Roman" w:hAnsi="Times New Roman" w:cs="Times New Roman"/>
        </w:rPr>
        <w:t xml:space="preserve">, and </w:t>
      </w:r>
      <w:r w:rsidR="004B7D5D" w:rsidRPr="00D57200">
        <w:rPr>
          <w:rFonts w:ascii="Times New Roman" w:hAnsi="Times New Roman" w:cs="Times New Roman"/>
          <w:i/>
        </w:rPr>
        <w:t>trn</w:t>
      </w:r>
      <w:r w:rsidR="004B7D5D" w:rsidRPr="00D57200">
        <w:rPr>
          <w:rFonts w:ascii="Times New Roman" w:hAnsi="Times New Roman" w:cs="Times New Roman"/>
        </w:rPr>
        <w:t>L</w:t>
      </w:r>
      <w:r w:rsidR="004B7D5D" w:rsidRPr="00D57200">
        <w:rPr>
          <w:rFonts w:ascii="Times New Roman" w:hAnsi="Times New Roman" w:cs="Times New Roman"/>
          <w:vertAlign w:val="superscript"/>
        </w:rPr>
        <w:t>(UAA)</w:t>
      </w:r>
      <w:r w:rsidR="004B7D5D" w:rsidRPr="00D57200">
        <w:rPr>
          <w:rFonts w:ascii="Times New Roman" w:hAnsi="Times New Roman" w:cs="Times New Roman"/>
        </w:rPr>
        <w:t xml:space="preserve"> intron primers 'TabC' and 'TabD' </w:t>
      </w:r>
      <w:r w:rsidR="004B7D5D" w:rsidRPr="00D57200">
        <w:rPr>
          <w:rFonts w:ascii="Times New Roman" w:hAnsi="Times New Roman" w:cs="Times New Roman"/>
        </w:rPr>
        <w:fldChar w:fldCharType="begin" w:fldLock="1"/>
      </w:r>
      <w:r w:rsidR="001D3644">
        <w:rPr>
          <w:rFonts w:ascii="Times New Roman" w:hAnsi="Times New Roman" w:cs="Times New Roman"/>
        </w:rPr>
        <w:instrText>ADDIN CSL_CITATION {"citationItems":[{"id":"ITEM-1","itemData":{"author":[{"dropping-particle":"","family":"Taberlet","given":"P","non-dropping-particle":"","parse-names":false,"suffix":""},{"dropping-particle":"","family":"Gielly","given":"L","non-dropping-particle":"","parse-names":false,"suffix":""},{"dropping-particle":"","family":"Pautou","given":"G","non-dropping-particle":"","parse-names":false,"suffix":""},{"dropping-particle":"","family":"Bouvet","given":"J","non-dropping-particle":"","parse-names":false,"suffix":""}],"container-title":"Plant Molecular Biology","id":"ITEM-1","issued":{"date-parts":[["1991"]]},"page":"1105-1109","title":"Universal primers for amplification of three non-coding regions of chloroplast DNA","type":"article-journal","volume":"17"},"uris":["http://www.mendeley.com/documents/?uuid=19d2b739-a6ce-4b23-82a6-eadad0c147a6","http://www.mendeley.com/documents/?uuid=556ac878-2c0b-4d60-89ae-895ffd9ca0bb"]}],"mendeley":{"formattedCitation":"(Taberlet et al. 1991)","plainTextFormattedCitation":"(Taberlet et al. 1991)","previouslyFormattedCitation":"(Taberlet et al. 1991)"},"properties":{"noteIndex":0},"schema":"https://github.com/citation-style-language/schema/raw/master/csl-citation.json"}</w:instrText>
      </w:r>
      <w:r w:rsidR="004B7D5D" w:rsidRPr="00D57200">
        <w:rPr>
          <w:rFonts w:ascii="Times New Roman" w:hAnsi="Times New Roman" w:cs="Times New Roman"/>
        </w:rPr>
        <w:fldChar w:fldCharType="separate"/>
      </w:r>
      <w:r w:rsidR="00426AE4" w:rsidRPr="00426AE4">
        <w:rPr>
          <w:rFonts w:ascii="Times New Roman" w:hAnsi="Times New Roman" w:cs="Times New Roman"/>
          <w:noProof/>
        </w:rPr>
        <w:t>(Taberlet et al. 1991)</w:t>
      </w:r>
      <w:r w:rsidR="004B7D5D" w:rsidRPr="00D57200">
        <w:rPr>
          <w:rFonts w:ascii="Times New Roman" w:hAnsi="Times New Roman" w:cs="Times New Roman"/>
        </w:rPr>
        <w:fldChar w:fldCharType="end"/>
      </w:r>
      <w:r w:rsidR="004B7D5D" w:rsidRPr="00D57200">
        <w:rPr>
          <w:rFonts w:ascii="Times New Roman" w:hAnsi="Times New Roman" w:cs="Times New Roman"/>
        </w:rPr>
        <w:t>. Sequence analysis was completed by GATC Biotech AG (Germany). Sequences were compiled, trimmed and concatenated using Geneious 9.1.3 (Biomatters Ltd.), and comparison of identity was completed using Neighbor-Joining algorithm applied in Mega 7.0.26</w:t>
      </w:r>
      <w:r w:rsidR="00426AE4">
        <w:rPr>
          <w:rFonts w:ascii="Times New Roman" w:hAnsi="Times New Roman" w:cs="Times New Roman"/>
        </w:rPr>
        <w:t xml:space="preserve"> </w:t>
      </w:r>
      <w:r w:rsidR="00426AE4">
        <w:rPr>
          <w:rFonts w:ascii="Times New Roman" w:hAnsi="Times New Roman" w:cs="Times New Roman"/>
        </w:rPr>
        <w:fldChar w:fldCharType="begin" w:fldLock="1"/>
      </w:r>
      <w:r w:rsidR="001D3644">
        <w:rPr>
          <w:rFonts w:ascii="Times New Roman" w:hAnsi="Times New Roman" w:cs="Times New Roman"/>
        </w:rPr>
        <w:instrText>ADDIN CSL_CITATION {"citationItems":[{"id":"ITEM-1","itemData":{"author":[{"dropping-particle":"","family":"Kumar","given":"Sudhir","non-dropping-particle":"","parse-names":false,"suffix":""},{"dropping-particle":"","family":"Stecher","given":"Glen","non-dropping-particle":"","parse-names":false,"suffix":""},{"dropping-particle":"","family":"Tamura","given":"Koichiro","non-dropping-particle":"","parse-names":false,"suffix":""}],"container-title":"Molecular Biology and Evolution","id":"ITEM-1","issue":"7","issued":{"date-parts":[["2016"]]},"page":"1870-1874","title":"MEGA7: Molecular Evolutionary Genetics Analysis Version 7.0 for Bigger Datasets","type":"article-journal","volume":"33"},"uris":["http://www.mendeley.com/documents/?uuid=f19a2ea2-8867-4c09-b197-1aa9a57887e0"]}],"mendeley":{"formattedCitation":"(Kumar et al. 2016)","plainTextFormattedCitation":"(Kumar et al. 2016)","previouslyFormattedCitation":"(Kumar et al. 2016)"},"properties":{"noteIndex":0},"schema":"https://github.com/citation-style-language/schema/raw/master/csl-citation.json"}</w:instrText>
      </w:r>
      <w:r w:rsidR="00426AE4">
        <w:rPr>
          <w:rFonts w:ascii="Times New Roman" w:hAnsi="Times New Roman" w:cs="Times New Roman"/>
        </w:rPr>
        <w:fldChar w:fldCharType="separate"/>
      </w:r>
      <w:r w:rsidR="00426AE4" w:rsidRPr="00426AE4">
        <w:rPr>
          <w:rFonts w:ascii="Times New Roman" w:hAnsi="Times New Roman" w:cs="Times New Roman"/>
          <w:noProof/>
        </w:rPr>
        <w:t>(Kumar et al. 2016)</w:t>
      </w:r>
      <w:r w:rsidR="00426AE4">
        <w:rPr>
          <w:rFonts w:ascii="Times New Roman" w:hAnsi="Times New Roman" w:cs="Times New Roman"/>
        </w:rPr>
        <w:fldChar w:fldCharType="end"/>
      </w:r>
      <w:r w:rsidR="004B7D5D" w:rsidRPr="00D57200">
        <w:rPr>
          <w:rFonts w:ascii="Times New Roman" w:hAnsi="Times New Roman" w:cs="Times New Roman"/>
        </w:rPr>
        <w:t xml:space="preserve">. A GenBank BLAST search of  consensus sequences was completed to confirm </w:t>
      </w:r>
      <w:r w:rsidR="004B7D5D" w:rsidRPr="00D57200">
        <w:rPr>
          <w:rFonts w:ascii="Times New Roman" w:hAnsi="Times New Roman" w:cs="Times New Roman"/>
          <w:i/>
        </w:rPr>
        <w:t xml:space="preserve">S. acaulis </w:t>
      </w:r>
      <w:r w:rsidR="004B7D5D" w:rsidRPr="00D57200">
        <w:rPr>
          <w:rFonts w:ascii="Times New Roman" w:hAnsi="Times New Roman" w:cs="Times New Roman"/>
        </w:rPr>
        <w:t>genetic identity among all samples.</w:t>
      </w:r>
    </w:p>
    <w:p w14:paraId="01C87DC0" w14:textId="3E589A04" w:rsidR="00A4584B" w:rsidRDefault="004B7D5D" w:rsidP="00690A30">
      <w:pPr>
        <w:spacing w:line="480" w:lineRule="auto"/>
        <w:rPr>
          <w:rFonts w:ascii="Times New Roman" w:hAnsi="Times New Roman" w:cs="Times New Roman"/>
        </w:rPr>
      </w:pPr>
      <w:r w:rsidRPr="00A751C1">
        <w:rPr>
          <w:rFonts w:ascii="Times New Roman" w:hAnsi="Times New Roman" w:cs="Times New Roman"/>
        </w:rPr>
        <w:tab/>
        <w:t xml:space="preserve">With the MatK sequence matrix trimmed to 783bp, and the trnL intron matrix trimmed to 616bp, a GenBank BLAST search of the consensus identity of each individual returned multiple &gt;99% content and length similarity hits for a range of </w:t>
      </w:r>
      <w:r w:rsidRPr="00A751C1">
        <w:rPr>
          <w:rFonts w:ascii="Times New Roman" w:hAnsi="Times New Roman" w:cs="Times New Roman"/>
          <w:i/>
        </w:rPr>
        <w:t>S. acaulis</w:t>
      </w:r>
      <w:r w:rsidRPr="00A751C1">
        <w:rPr>
          <w:rFonts w:ascii="Times New Roman" w:hAnsi="Times New Roman" w:cs="Times New Roman"/>
        </w:rPr>
        <w:t xml:space="preserve"> accessions from across Europe, the Arctic, and North America, unambiguously placing the two target ecotypes within the </w:t>
      </w:r>
      <w:r w:rsidRPr="00A751C1">
        <w:rPr>
          <w:rFonts w:ascii="Times New Roman" w:hAnsi="Times New Roman" w:cs="Times New Roman"/>
          <w:i/>
        </w:rPr>
        <w:t>S. acaulis</w:t>
      </w:r>
      <w:r w:rsidRPr="00A751C1">
        <w:rPr>
          <w:rFonts w:ascii="Times New Roman" w:hAnsi="Times New Roman" w:cs="Times New Roman"/>
        </w:rPr>
        <w:t xml:space="preserve"> metapopulation. Neighbor-Joining analysis of expanded data matrices for both loci that included accessions retrieved in the BLAST search reveal a shared, paraphyletic, haplotype array </w:t>
      </w:r>
      <w:r w:rsidRPr="00A751C1">
        <w:rPr>
          <w:rFonts w:ascii="Times New Roman" w:hAnsi="Times New Roman" w:cs="Times New Roman"/>
        </w:rPr>
        <w:lastRenderedPageBreak/>
        <w:t xml:space="preserve">among Irish, Colorado and Arctic populations that postdates divergence from basal </w:t>
      </w:r>
      <w:r w:rsidRPr="00A751C1">
        <w:rPr>
          <w:rFonts w:ascii="Times New Roman" w:hAnsi="Times New Roman" w:cs="Times New Roman"/>
          <w:i/>
        </w:rPr>
        <w:t xml:space="preserve">S. acaulis </w:t>
      </w:r>
      <w:r w:rsidRPr="00A751C1">
        <w:rPr>
          <w:rFonts w:ascii="Times New Roman" w:hAnsi="Times New Roman" w:cs="Times New Roman"/>
        </w:rPr>
        <w:t xml:space="preserve">populations in the European Alps [data not shown]. Evaluation of sequence overlap (in the trnL intron and trnL-F regions) to the </w:t>
      </w:r>
      <w:r w:rsidR="00690A30">
        <w:rPr>
          <w:rFonts w:ascii="Times New Roman" w:hAnsi="Times New Roman" w:cs="Times New Roman"/>
        </w:rPr>
        <w:fldChar w:fldCharType="begin" w:fldLock="1"/>
      </w:r>
      <w:r w:rsidR="001D3644">
        <w:rPr>
          <w:rFonts w:ascii="Times New Roman" w:hAnsi="Times New Roman" w:cs="Times New Roman"/>
        </w:rPr>
        <w:instrText>ADDIN CSL_CITATION {"citationItems":[{"id":"ITEM-1","itemData":{"DOI":"10.3732/ajb.1500072","ISSN":"00029122","abstract":"PREMISE OF THE STUDY: Many arctic-alpine species have vast geographic ranges, but these may encompass substantial gaps whose origins are poorly understood. Here we address the phylogeographic history of Silene acaulis, a perennial cushion plant with a circumpolar distribution except for a large gap in Siberia. METHODS: We assessed genetic variation in a range-wide sample of 103 populations using plastid DNA (pDNA) sequences and AFLPs (amplified fragment length polymorphisms). We constructed a haplotype network and performed Bayesian phylogenetic analyses based on plastid sequences. We visualized AFLP patterns using principal coordinate analysis, identified genetic groups using the program structure, and estimated genetic diversity and rarity indices by geographic region. KEY RESULTS: The history of the main pDNA lineages was estimated to span several glaciations. AFLP data revealed a distinct division between Beringia/ North America and Europe/East Greenland. These two regions shared only one of 17 pDNA haplotypes. Populations on opposite sides of the Siberian range gap (Ural Mountains and Chukotka) were genetically distinct and appear to have resulted from postglacial leading-edge colonizations. We inferred two refugia in North America (Beringia and the southern Rocky Mountains) and two in Europe (central-southern Europe and northern Europe/East Greenland). Patterns in the East Atlantic region suggested transoceanic long-distance dispersal events. C ONCLUSIONS: Silene acaulis has a highly dynamic history characterized by vicariance, regional extinction, and recolonization, with persistence in at least four refugia. Long-distance dispersal explains patterns across the Atlantic Ocean, but we found no evidence of dispersal across the Siberian range gap.","author":[{"dropping-particle":"","family":"Gussarova","given":"Galina","non-dropping-particle":"","parse-names":false,"suffix":""},{"dropping-particle":"","family":"Allen","given":"Geraldine A.","non-dropping-particle":"","parse-names":false,"suffix":""},{"dropping-particle":"","family":"Mikhaylova","given":"Yulia","non-dropping-particle":"","parse-names":false,"suffix":""},{"dropping-particle":"","family":"McCormick","given":"Laurie J.","non-dropping-particle":"","parse-names":false,"suffix":""},{"dropping-particle":"","family":"Mirré","given":"Virginia","non-dropping-particle":"","parse-names":false,"suffix":""},{"dropping-particle":"","family":"Marr","given":"Kendrick L.","non-dropping-particle":"","parse-names":false,"suffix":""},{"dropping-particle":"","family":"Hebda","given":"Richard J.","non-dropping-particle":"","parse-names":false,"suffix":""},{"dropping-particle":"","family":"Brochmann","given":"Christian","non-dropping-particle":"","parse-names":false,"suffix":""}],"container-title":"American Journal of Botany","id":"ITEM-1","issue":"10","issued":{"date-parts":[["2015","10","1"]]},"page":"1703-1720","publisher":"Botanical Society of America Inc.","title":"Vicariance, long-distance dispersal, and regional extinction-recolonization dynamics explain the disjunct circumpolar distribution of the arctic-alpine plant &lt;i&gt;Silene acaulis&lt;/i&gt;","type":"article-journal","volume":"102"},"uris":["http://www.mendeley.com/documents/?uuid=2275e31b-9fff-330f-b6e6-8c9516c58508"]}],"mendeley":{"formattedCitation":"(Gussarova et al. 2015)","manualFormatting":"Gussarova et al., (2015)","plainTextFormattedCitation":"(Gussarova et al. 2015)","previouslyFormattedCitation":"(Gussarova et al. 2015)"},"properties":{"noteIndex":0},"schema":"https://github.com/citation-style-language/schema/raw/master/csl-citation.json"}</w:instrText>
      </w:r>
      <w:r w:rsidR="00690A30">
        <w:rPr>
          <w:rFonts w:ascii="Times New Roman" w:hAnsi="Times New Roman" w:cs="Times New Roman"/>
        </w:rPr>
        <w:fldChar w:fldCharType="separate"/>
      </w:r>
      <w:r w:rsidR="00690A30" w:rsidRPr="00690A30">
        <w:rPr>
          <w:rFonts w:ascii="Times New Roman" w:hAnsi="Times New Roman" w:cs="Times New Roman"/>
          <w:noProof/>
        </w:rPr>
        <w:t xml:space="preserve">Gussarova et al., </w:t>
      </w:r>
      <w:r w:rsidR="00690A30">
        <w:rPr>
          <w:rFonts w:ascii="Times New Roman" w:hAnsi="Times New Roman" w:cs="Times New Roman"/>
          <w:noProof/>
        </w:rPr>
        <w:t>(</w:t>
      </w:r>
      <w:r w:rsidR="00690A30" w:rsidRPr="00690A30">
        <w:rPr>
          <w:rFonts w:ascii="Times New Roman" w:hAnsi="Times New Roman" w:cs="Times New Roman"/>
          <w:noProof/>
        </w:rPr>
        <w:t>2015)</w:t>
      </w:r>
      <w:r w:rsidR="00690A30">
        <w:rPr>
          <w:rFonts w:ascii="Times New Roman" w:hAnsi="Times New Roman" w:cs="Times New Roman"/>
        </w:rPr>
        <w:fldChar w:fldCharType="end"/>
      </w:r>
      <w:r w:rsidR="00690A30">
        <w:rPr>
          <w:rFonts w:ascii="Times New Roman" w:hAnsi="Times New Roman" w:cs="Times New Roman"/>
        </w:rPr>
        <w:t xml:space="preserve"> </w:t>
      </w:r>
      <w:r w:rsidRPr="00A751C1">
        <w:rPr>
          <w:rFonts w:ascii="Times New Roman" w:hAnsi="Times New Roman" w:cs="Times New Roman"/>
          <w:i/>
        </w:rPr>
        <w:t>S. acaulis</w:t>
      </w:r>
      <w:r w:rsidRPr="00A751C1">
        <w:rPr>
          <w:rFonts w:ascii="Times New Roman" w:hAnsi="Times New Roman" w:cs="Times New Roman"/>
        </w:rPr>
        <w:t xml:space="preserve"> dataset identified the Irish haplotypes as ‘L’ and ‘K’, part of the Northeastern Atlantic group, and the Colorado haplotypes as ‘J’, part of the Southwestern Rocky Mountains group. No unique or private haplotypes were observed in either site.</w:t>
      </w:r>
    </w:p>
    <w:p w14:paraId="69CF077B" w14:textId="77777777" w:rsidR="00426AE4" w:rsidRDefault="00426AE4" w:rsidP="00690A30">
      <w:pPr>
        <w:spacing w:line="480" w:lineRule="auto"/>
        <w:rPr>
          <w:rFonts w:ascii="Times New Roman" w:hAnsi="Times New Roman" w:cs="Times New Roman"/>
        </w:rPr>
      </w:pPr>
    </w:p>
    <w:p w14:paraId="671C69B6" w14:textId="0BF1C4CC" w:rsidR="00A4584B" w:rsidRDefault="00A4584B" w:rsidP="00690A30">
      <w:pPr>
        <w:spacing w:line="480" w:lineRule="auto"/>
        <w:rPr>
          <w:rFonts w:ascii="Times New Roman" w:hAnsi="Times New Roman" w:cs="Times New Roman"/>
        </w:rPr>
      </w:pPr>
      <w:r>
        <w:rPr>
          <w:rFonts w:ascii="Times New Roman" w:hAnsi="Times New Roman" w:cs="Times New Roman"/>
        </w:rPr>
        <w:t>References:</w:t>
      </w:r>
    </w:p>
    <w:p w14:paraId="1513B1FD" w14:textId="1DE24885" w:rsidR="001D3644" w:rsidRPr="001D3644" w:rsidRDefault="00A4584B" w:rsidP="001D3644">
      <w:pPr>
        <w:widowControl w:val="0"/>
        <w:autoSpaceDE w:val="0"/>
        <w:autoSpaceDN w:val="0"/>
        <w:adjustRightInd w:val="0"/>
        <w:spacing w:line="480" w:lineRule="auto"/>
        <w:ind w:left="480" w:hanging="480"/>
        <w:rPr>
          <w:rFonts w:ascii="Times New Roman" w:hAnsi="Times New Roman" w:cs="Times New Roman"/>
          <w:noProof/>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sidR="001D3644" w:rsidRPr="001D3644">
        <w:rPr>
          <w:rFonts w:ascii="Times New Roman" w:hAnsi="Times New Roman" w:cs="Times New Roman"/>
          <w:noProof/>
        </w:rPr>
        <w:t>Fior S, Karis PO, Casazza G, et al. 2006. Molecular phylogeny of the Caryophyllaceae (Caryophyllales) inferred from chloroplast matK and nuclear rDNA ITS sequences. Am J Bot 93:399–411. https://doi.org/10.3732/ajb.93.3.399</w:t>
      </w:r>
    </w:p>
    <w:p w14:paraId="2FA000B7" w14:textId="77777777" w:rsidR="001D3644" w:rsidRPr="001D3644" w:rsidRDefault="001D3644" w:rsidP="001D3644">
      <w:pPr>
        <w:widowControl w:val="0"/>
        <w:autoSpaceDE w:val="0"/>
        <w:autoSpaceDN w:val="0"/>
        <w:adjustRightInd w:val="0"/>
        <w:spacing w:line="480" w:lineRule="auto"/>
        <w:ind w:left="480" w:hanging="480"/>
        <w:rPr>
          <w:rFonts w:ascii="Times New Roman" w:hAnsi="Times New Roman" w:cs="Times New Roman"/>
          <w:noProof/>
        </w:rPr>
      </w:pPr>
      <w:r w:rsidRPr="001D3644">
        <w:rPr>
          <w:rFonts w:ascii="Times New Roman" w:hAnsi="Times New Roman" w:cs="Times New Roman"/>
          <w:noProof/>
        </w:rPr>
        <w:t xml:space="preserve">Gussarova G, Allen GA, Mikhaylova Y, et al. 2015. Vicariance, long-distance dispersal, and regional extinction-recolonization dynamics explain the disjunct circumpolar distribution of the arctic-alpine plant </w:t>
      </w:r>
      <w:r w:rsidRPr="001D3644">
        <w:rPr>
          <w:rFonts w:ascii="Times New Roman" w:hAnsi="Times New Roman" w:cs="Times New Roman"/>
          <w:i/>
          <w:iCs/>
          <w:noProof/>
        </w:rPr>
        <w:t>Silene acaulis</w:t>
      </w:r>
      <w:r w:rsidRPr="001D3644">
        <w:rPr>
          <w:rFonts w:ascii="Times New Roman" w:hAnsi="Times New Roman" w:cs="Times New Roman"/>
          <w:noProof/>
        </w:rPr>
        <w:t>. Am J Bot 102:1703–1720. https://doi.org/10.3732/ajb.1500072</w:t>
      </w:r>
    </w:p>
    <w:p w14:paraId="28484319" w14:textId="77777777" w:rsidR="001D3644" w:rsidRPr="001D3644" w:rsidRDefault="001D3644" w:rsidP="001D3644">
      <w:pPr>
        <w:widowControl w:val="0"/>
        <w:autoSpaceDE w:val="0"/>
        <w:autoSpaceDN w:val="0"/>
        <w:adjustRightInd w:val="0"/>
        <w:spacing w:line="480" w:lineRule="auto"/>
        <w:ind w:left="480" w:hanging="480"/>
        <w:rPr>
          <w:rFonts w:ascii="Times New Roman" w:hAnsi="Times New Roman" w:cs="Times New Roman"/>
          <w:noProof/>
        </w:rPr>
      </w:pPr>
      <w:r w:rsidRPr="001D3644">
        <w:rPr>
          <w:rFonts w:ascii="Times New Roman" w:hAnsi="Times New Roman" w:cs="Times New Roman"/>
          <w:noProof/>
        </w:rPr>
        <w:t>Kumar S, Stecher G, Tamura K. 2016. MEGA7: Molecular Evolutionary Genetics Analysis Version 7.0 for Bigger Datasets. Mol Biol Evol 33:1870–1874</w:t>
      </w:r>
    </w:p>
    <w:p w14:paraId="7742EF05" w14:textId="77777777" w:rsidR="001D3644" w:rsidRPr="001D3644" w:rsidRDefault="001D3644" w:rsidP="001D3644">
      <w:pPr>
        <w:widowControl w:val="0"/>
        <w:autoSpaceDE w:val="0"/>
        <w:autoSpaceDN w:val="0"/>
        <w:adjustRightInd w:val="0"/>
        <w:spacing w:line="480" w:lineRule="auto"/>
        <w:ind w:left="480" w:hanging="480"/>
        <w:rPr>
          <w:rFonts w:ascii="Times New Roman" w:hAnsi="Times New Roman" w:cs="Times New Roman"/>
          <w:noProof/>
        </w:rPr>
      </w:pPr>
      <w:r w:rsidRPr="001D3644">
        <w:rPr>
          <w:rFonts w:ascii="Times New Roman" w:hAnsi="Times New Roman" w:cs="Times New Roman"/>
          <w:noProof/>
        </w:rPr>
        <w:t xml:space="preserve">Morris WF, Doak DF. 1998. Life history of the long-lived gynodioecious cushion plant </w:t>
      </w:r>
      <w:r w:rsidRPr="001D3644">
        <w:rPr>
          <w:rFonts w:ascii="Times New Roman" w:hAnsi="Times New Roman" w:cs="Times New Roman"/>
          <w:i/>
          <w:iCs/>
          <w:noProof/>
        </w:rPr>
        <w:t>Silene acaulis</w:t>
      </w:r>
      <w:r w:rsidRPr="001D3644">
        <w:rPr>
          <w:rFonts w:ascii="Times New Roman" w:hAnsi="Times New Roman" w:cs="Times New Roman"/>
          <w:noProof/>
        </w:rPr>
        <w:t xml:space="preserve"> (Caryophyllaceae), inferred from size-based population projection matrices. Am J Bot 85:784–793. https://doi.org/10.2307/2446413</w:t>
      </w:r>
    </w:p>
    <w:p w14:paraId="5DD883F5" w14:textId="77777777" w:rsidR="001D3644" w:rsidRPr="001D3644" w:rsidRDefault="001D3644" w:rsidP="001D3644">
      <w:pPr>
        <w:widowControl w:val="0"/>
        <w:autoSpaceDE w:val="0"/>
        <w:autoSpaceDN w:val="0"/>
        <w:adjustRightInd w:val="0"/>
        <w:spacing w:line="480" w:lineRule="auto"/>
        <w:ind w:left="480" w:hanging="480"/>
        <w:rPr>
          <w:rFonts w:ascii="Times New Roman" w:hAnsi="Times New Roman" w:cs="Times New Roman"/>
          <w:noProof/>
        </w:rPr>
      </w:pPr>
      <w:r w:rsidRPr="001D3644">
        <w:rPr>
          <w:rFonts w:ascii="Times New Roman" w:hAnsi="Times New Roman" w:cs="Times New Roman"/>
          <w:noProof/>
        </w:rPr>
        <w:t>Taberlet P, Gielly L, Pautou G, Bouvet J. 1991. Universal primers for amplification of three non-coding regions of chloroplast DNA. Plant Mol Biol 17:1105–1109</w:t>
      </w:r>
    </w:p>
    <w:p w14:paraId="3353CF3F" w14:textId="564B32A2" w:rsidR="009C0420" w:rsidRDefault="00A4584B" w:rsidP="001D3644">
      <w:pPr>
        <w:widowControl w:val="0"/>
        <w:autoSpaceDE w:val="0"/>
        <w:autoSpaceDN w:val="0"/>
        <w:adjustRightInd w:val="0"/>
        <w:spacing w:line="480" w:lineRule="auto"/>
        <w:ind w:left="480" w:hanging="480"/>
        <w:rPr>
          <w:rFonts w:ascii="Times New Roman" w:hAnsi="Times New Roman" w:cs="Times New Roman"/>
        </w:rPr>
      </w:pPr>
      <w:r>
        <w:rPr>
          <w:rFonts w:ascii="Times New Roman" w:hAnsi="Times New Roman" w:cs="Times New Roman"/>
        </w:rPr>
        <w:fldChar w:fldCharType="end"/>
      </w:r>
    </w:p>
    <w:p w14:paraId="488D1633" w14:textId="3368D81C" w:rsidR="00A90108" w:rsidRDefault="009C0420" w:rsidP="00A14B40">
      <w:pPr>
        <w:spacing w:line="480" w:lineRule="auto"/>
        <w:rPr>
          <w:rFonts w:ascii="Times New Roman" w:hAnsi="Times New Roman" w:cs="Times New Roman"/>
          <w:b/>
          <w:bCs/>
        </w:rPr>
      </w:pPr>
      <w:r>
        <w:rPr>
          <w:rFonts w:ascii="Times New Roman" w:hAnsi="Times New Roman" w:cs="Times New Roman"/>
        </w:rPr>
        <w:br w:type="page"/>
      </w:r>
      <w:r>
        <w:rPr>
          <w:rFonts w:ascii="Times New Roman" w:hAnsi="Times New Roman" w:cs="Times New Roman"/>
          <w:b/>
          <w:bCs/>
        </w:rPr>
        <w:lastRenderedPageBreak/>
        <w:t>Appendix 2: Photographs of the study organism</w:t>
      </w:r>
      <w:r w:rsidR="0038000B">
        <w:rPr>
          <w:rFonts w:ascii="Times New Roman" w:hAnsi="Times New Roman" w:cs="Times New Roman"/>
          <w:b/>
          <w:bCs/>
        </w:rPr>
        <w:t>s</w:t>
      </w:r>
      <w:r>
        <w:rPr>
          <w:rFonts w:ascii="Times New Roman" w:hAnsi="Times New Roman" w:cs="Times New Roman"/>
          <w:b/>
          <w:bCs/>
        </w:rPr>
        <w:t>.</w:t>
      </w:r>
    </w:p>
    <w:p w14:paraId="58376956" w14:textId="7D3A70BC" w:rsidR="00A90108" w:rsidRDefault="000261B9" w:rsidP="00A14B40">
      <w:pPr>
        <w:spacing w:line="480" w:lineRule="auto"/>
        <w:rPr>
          <w:rFonts w:ascii="Times New Roman" w:hAnsi="Times New Roman" w:cs="Times New Roman"/>
          <w:b/>
          <w:bCs/>
        </w:rPr>
      </w:pPr>
      <w:r>
        <w:rPr>
          <w:rFonts w:ascii="Times New Roman" w:hAnsi="Times New Roman" w:cs="Times New Roman"/>
          <w:b/>
          <w:bCs/>
          <w:noProof/>
        </w:rPr>
        <w:drawing>
          <wp:inline distT="0" distB="0" distL="0" distR="0" wp14:anchorId="26FCDB82" wp14:editId="70FC7959">
            <wp:extent cx="5016500" cy="7747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 Fig 1.png"/>
                    <pic:cNvPicPr/>
                  </pic:nvPicPr>
                  <pic:blipFill>
                    <a:blip r:embed="rId6">
                      <a:extLst>
                        <a:ext uri="{28A0092B-C50C-407E-A947-70E740481C1C}">
                          <a14:useLocalDpi xmlns:a14="http://schemas.microsoft.com/office/drawing/2010/main" val="0"/>
                        </a:ext>
                      </a:extLst>
                    </a:blip>
                    <a:stretch>
                      <a:fillRect/>
                    </a:stretch>
                  </pic:blipFill>
                  <pic:spPr>
                    <a:xfrm>
                      <a:off x="0" y="0"/>
                      <a:ext cx="5016500" cy="7747000"/>
                    </a:xfrm>
                    <a:prstGeom prst="rect">
                      <a:avLst/>
                    </a:prstGeom>
                  </pic:spPr>
                </pic:pic>
              </a:graphicData>
            </a:graphic>
          </wp:inline>
        </w:drawing>
      </w:r>
    </w:p>
    <w:p w14:paraId="64AD1204" w14:textId="12FF82FE" w:rsidR="00635CE6" w:rsidRDefault="00A90108" w:rsidP="00A14B40">
      <w:pPr>
        <w:spacing w:line="480" w:lineRule="auto"/>
        <w:rPr>
          <w:rFonts w:ascii="Times New Roman" w:hAnsi="Times New Roman" w:cs="Times New Roman"/>
          <w:noProof/>
        </w:rPr>
      </w:pPr>
      <w:r>
        <w:rPr>
          <w:rFonts w:ascii="Times New Roman" w:hAnsi="Times New Roman" w:cs="Times New Roman"/>
          <w:noProof/>
        </w:rPr>
        <w:lastRenderedPageBreak/>
        <w:t>Photographs of</w:t>
      </w:r>
      <w:r w:rsidR="00931B82">
        <w:rPr>
          <w:rFonts w:ascii="Times New Roman" w:hAnsi="Times New Roman" w:cs="Times New Roman"/>
          <w:noProof/>
        </w:rPr>
        <w:t xml:space="preserve"> </w:t>
      </w:r>
      <w:r>
        <w:rPr>
          <w:rFonts w:ascii="Times New Roman" w:hAnsi="Times New Roman" w:cs="Times New Roman"/>
          <w:noProof/>
        </w:rPr>
        <w:t xml:space="preserve"> </w:t>
      </w:r>
      <w:r>
        <w:rPr>
          <w:rFonts w:ascii="Times New Roman" w:hAnsi="Times New Roman" w:cs="Times New Roman"/>
          <w:i/>
          <w:iCs/>
          <w:noProof/>
        </w:rPr>
        <w:t>Silene acaulis</w:t>
      </w:r>
      <w:r w:rsidR="00931B82">
        <w:rPr>
          <w:rFonts w:ascii="Times New Roman" w:hAnsi="Times New Roman" w:cs="Times New Roman"/>
          <w:i/>
          <w:iCs/>
          <w:noProof/>
        </w:rPr>
        <w:t xml:space="preserve"> </w:t>
      </w:r>
      <w:r w:rsidR="00931B82">
        <w:rPr>
          <w:rFonts w:ascii="Times New Roman" w:hAnsi="Times New Roman" w:cs="Times New Roman"/>
          <w:iCs/>
          <w:noProof/>
        </w:rPr>
        <w:t>plants used in the present study</w:t>
      </w:r>
      <w:r>
        <w:rPr>
          <w:rFonts w:ascii="Times New Roman" w:hAnsi="Times New Roman" w:cs="Times New Roman"/>
          <w:noProof/>
        </w:rPr>
        <w:t xml:space="preserve">. a) </w:t>
      </w:r>
      <w:r w:rsidR="000261B9">
        <w:rPr>
          <w:rFonts w:ascii="Times New Roman" w:hAnsi="Times New Roman" w:cs="Times New Roman"/>
          <w:noProof/>
        </w:rPr>
        <w:t xml:space="preserve">Ireland </w:t>
      </w:r>
      <w:r>
        <w:rPr>
          <w:rFonts w:ascii="Times New Roman" w:hAnsi="Times New Roman" w:cs="Times New Roman"/>
          <w:noProof/>
        </w:rPr>
        <w:t xml:space="preserve">seedling </w:t>
      </w:r>
      <w:r w:rsidR="00596D68">
        <w:rPr>
          <w:rFonts w:ascii="Times New Roman" w:hAnsi="Times New Roman" w:cs="Times New Roman"/>
          <w:noProof/>
        </w:rPr>
        <w:t xml:space="preserve">growing </w:t>
      </w:r>
      <w:r>
        <w:rPr>
          <w:rFonts w:ascii="Times New Roman" w:hAnsi="Times New Roman" w:cs="Times New Roman"/>
          <w:noProof/>
        </w:rPr>
        <w:t xml:space="preserve">in </w:t>
      </w:r>
      <w:r w:rsidR="00596D68">
        <w:rPr>
          <w:rFonts w:ascii="Times New Roman" w:hAnsi="Times New Roman" w:cs="Times New Roman"/>
          <w:noProof/>
        </w:rPr>
        <w:t xml:space="preserve">the </w:t>
      </w:r>
      <w:r w:rsidR="00492412">
        <w:rPr>
          <w:rFonts w:ascii="Times New Roman" w:hAnsi="Times New Roman" w:cs="Times New Roman"/>
          <w:noProof/>
        </w:rPr>
        <w:t xml:space="preserve">alpine room of the </w:t>
      </w:r>
      <w:r>
        <w:rPr>
          <w:rFonts w:ascii="Times New Roman" w:hAnsi="Times New Roman" w:cs="Times New Roman"/>
          <w:noProof/>
        </w:rPr>
        <w:t>greenhouse</w:t>
      </w:r>
      <w:r w:rsidR="00596D68">
        <w:rPr>
          <w:rFonts w:ascii="Times New Roman" w:hAnsi="Times New Roman" w:cs="Times New Roman"/>
          <w:noProof/>
        </w:rPr>
        <w:t xml:space="preserve"> at the University of Colorado Boulder</w:t>
      </w:r>
      <w:r w:rsidR="000261B9">
        <w:rPr>
          <w:rFonts w:ascii="Times New Roman" w:hAnsi="Times New Roman" w:cs="Times New Roman"/>
          <w:noProof/>
        </w:rPr>
        <w:t>.</w:t>
      </w:r>
      <w:r w:rsidR="00596D68">
        <w:rPr>
          <w:rFonts w:ascii="Times New Roman" w:hAnsi="Times New Roman" w:cs="Times New Roman"/>
          <w:noProof/>
        </w:rPr>
        <w:t xml:space="preserve"> </w:t>
      </w:r>
      <w:r>
        <w:rPr>
          <w:rFonts w:ascii="Times New Roman" w:hAnsi="Times New Roman" w:cs="Times New Roman"/>
          <w:noProof/>
        </w:rPr>
        <w:t xml:space="preserve">b) </w:t>
      </w:r>
      <w:r w:rsidR="000261B9">
        <w:rPr>
          <w:rFonts w:ascii="Times New Roman" w:hAnsi="Times New Roman" w:cs="Times New Roman"/>
          <w:noProof/>
        </w:rPr>
        <w:t xml:space="preserve">Colorado </w:t>
      </w:r>
      <w:r>
        <w:rPr>
          <w:rFonts w:ascii="Times New Roman" w:hAnsi="Times New Roman" w:cs="Times New Roman"/>
          <w:noProof/>
        </w:rPr>
        <w:t>seedling in greenhouse</w:t>
      </w:r>
      <w:r w:rsidR="000261B9">
        <w:rPr>
          <w:rFonts w:ascii="Times New Roman" w:hAnsi="Times New Roman" w:cs="Times New Roman"/>
          <w:noProof/>
        </w:rPr>
        <w:t>.</w:t>
      </w:r>
      <w:r>
        <w:rPr>
          <w:rFonts w:ascii="Times New Roman" w:hAnsi="Times New Roman" w:cs="Times New Roman"/>
          <w:noProof/>
        </w:rPr>
        <w:t xml:space="preserve"> c) </w:t>
      </w:r>
      <w:r w:rsidR="00931B82">
        <w:rPr>
          <w:rFonts w:ascii="Times New Roman" w:hAnsi="Times New Roman" w:cs="Times New Roman"/>
          <w:noProof/>
        </w:rPr>
        <w:t>A</w:t>
      </w:r>
      <w:r>
        <w:rPr>
          <w:rFonts w:ascii="Times New Roman" w:hAnsi="Times New Roman" w:cs="Times New Roman"/>
          <w:noProof/>
        </w:rPr>
        <w:t>dult</w:t>
      </w:r>
      <w:r w:rsidR="00931B82">
        <w:rPr>
          <w:rFonts w:ascii="Times New Roman" w:hAnsi="Times New Roman" w:cs="Times New Roman"/>
          <w:noProof/>
        </w:rPr>
        <w:t xml:space="preserve"> </w:t>
      </w:r>
      <w:r w:rsidR="000261B9">
        <w:rPr>
          <w:rFonts w:ascii="Times New Roman" w:hAnsi="Times New Roman" w:cs="Times New Roman"/>
          <w:noProof/>
        </w:rPr>
        <w:t>Irish</w:t>
      </w:r>
      <w:r>
        <w:rPr>
          <w:rFonts w:ascii="Times New Roman" w:hAnsi="Times New Roman" w:cs="Times New Roman"/>
          <w:noProof/>
        </w:rPr>
        <w:t xml:space="preserve"> </w:t>
      </w:r>
      <w:r w:rsidR="00931B82">
        <w:rPr>
          <w:rFonts w:ascii="Times New Roman" w:hAnsi="Times New Roman" w:cs="Times New Roman"/>
          <w:noProof/>
        </w:rPr>
        <w:t xml:space="preserve">plant </w:t>
      </w:r>
      <w:r>
        <w:rPr>
          <w:rFonts w:ascii="Times New Roman" w:hAnsi="Times New Roman" w:cs="Times New Roman"/>
          <w:noProof/>
        </w:rPr>
        <w:t xml:space="preserve">in </w:t>
      </w:r>
      <w:r w:rsidR="00931B82">
        <w:rPr>
          <w:rFonts w:ascii="Times New Roman" w:hAnsi="Times New Roman" w:cs="Times New Roman"/>
          <w:noProof/>
        </w:rPr>
        <w:t xml:space="preserve">the </w:t>
      </w:r>
      <w:r>
        <w:rPr>
          <w:rFonts w:ascii="Times New Roman" w:hAnsi="Times New Roman" w:cs="Times New Roman"/>
          <w:noProof/>
        </w:rPr>
        <w:t>field</w:t>
      </w:r>
      <w:r w:rsidR="00931B82">
        <w:rPr>
          <w:rFonts w:ascii="Times New Roman" w:hAnsi="Times New Roman" w:cs="Times New Roman"/>
          <w:noProof/>
        </w:rPr>
        <w:t>, c</w:t>
      </w:r>
      <w:r w:rsidR="000261B9">
        <w:rPr>
          <w:rFonts w:ascii="Times New Roman" w:hAnsi="Times New Roman" w:cs="Times New Roman"/>
          <w:noProof/>
        </w:rPr>
        <w:t>. 500 masl at Ben Bulben Special Area of Conservation, Ireland. d) Adult Colorado plant in the field, c</w:t>
      </w:r>
      <w:r w:rsidR="00492412">
        <w:rPr>
          <w:rFonts w:ascii="Times New Roman" w:hAnsi="Times New Roman" w:cs="Times New Roman"/>
          <w:noProof/>
        </w:rPr>
        <w:t xml:space="preserve">3700 </w:t>
      </w:r>
      <w:r w:rsidR="00931B82">
        <w:rPr>
          <w:rFonts w:ascii="Times New Roman" w:hAnsi="Times New Roman" w:cs="Times New Roman"/>
          <w:noProof/>
        </w:rPr>
        <w:t>masl at Niwot Ridge LTER, Colorado, USA</w:t>
      </w:r>
      <w:r w:rsidR="000261B9">
        <w:rPr>
          <w:rFonts w:ascii="Times New Roman" w:hAnsi="Times New Roman" w:cs="Times New Roman"/>
          <w:noProof/>
        </w:rPr>
        <w:t>.</w:t>
      </w:r>
      <w:r>
        <w:rPr>
          <w:rFonts w:ascii="Times New Roman" w:hAnsi="Times New Roman" w:cs="Times New Roman"/>
          <w:noProof/>
        </w:rPr>
        <w:t xml:space="preserve"> </w:t>
      </w:r>
      <w:r w:rsidR="000261B9">
        <w:rPr>
          <w:rFonts w:ascii="Times New Roman" w:hAnsi="Times New Roman" w:cs="Times New Roman"/>
          <w:noProof/>
        </w:rPr>
        <w:t>e</w:t>
      </w:r>
      <w:r>
        <w:rPr>
          <w:rFonts w:ascii="Times New Roman" w:hAnsi="Times New Roman" w:cs="Times New Roman"/>
          <w:noProof/>
        </w:rPr>
        <w:t>)</w:t>
      </w:r>
      <w:r w:rsidR="000261B9">
        <w:rPr>
          <w:rFonts w:ascii="Times New Roman" w:hAnsi="Times New Roman" w:cs="Times New Roman"/>
          <w:noProof/>
        </w:rPr>
        <w:t xml:space="preserve"> Habitat setting with </w:t>
      </w:r>
      <w:r w:rsidR="000261B9" w:rsidRPr="00FF1CF4">
        <w:rPr>
          <w:rFonts w:ascii="Times New Roman" w:hAnsi="Times New Roman" w:cs="Times New Roman"/>
          <w:i/>
          <w:noProof/>
        </w:rPr>
        <w:t>Silene acaulis</w:t>
      </w:r>
      <w:r w:rsidR="000261B9">
        <w:rPr>
          <w:rFonts w:ascii="Times New Roman" w:hAnsi="Times New Roman" w:cs="Times New Roman"/>
          <w:noProof/>
        </w:rPr>
        <w:t xml:space="preserve">, foreground, adjacent to disused Glencarbury Mine access path, Ben Bulben, Ireland. f), Habitat setting with </w:t>
      </w:r>
      <w:r w:rsidR="000261B9" w:rsidRPr="00FF1CF4">
        <w:rPr>
          <w:rFonts w:ascii="Times New Roman" w:hAnsi="Times New Roman" w:cs="Times New Roman"/>
          <w:i/>
          <w:noProof/>
        </w:rPr>
        <w:t>Silene acaulis</w:t>
      </w:r>
      <w:r w:rsidR="000261B9">
        <w:rPr>
          <w:rFonts w:ascii="Times New Roman" w:hAnsi="Times New Roman" w:cs="Times New Roman"/>
          <w:noProof/>
        </w:rPr>
        <w:t>, foreground, near D1 station, Niwot Ridge, Colorado.</w:t>
      </w:r>
    </w:p>
    <w:p w14:paraId="0C8469B4" w14:textId="77777777" w:rsidR="00635CE6" w:rsidRDefault="00635CE6" w:rsidP="00A14B40">
      <w:pPr>
        <w:spacing w:line="480" w:lineRule="auto"/>
        <w:rPr>
          <w:rFonts w:ascii="Times New Roman" w:hAnsi="Times New Roman" w:cs="Times New Roman"/>
          <w:noProof/>
        </w:rPr>
      </w:pPr>
    </w:p>
    <w:p w14:paraId="22BA8A8C" w14:textId="77777777" w:rsidR="00635CE6" w:rsidRDefault="00635CE6" w:rsidP="00A14B40">
      <w:pPr>
        <w:spacing w:line="480" w:lineRule="auto"/>
        <w:rPr>
          <w:rFonts w:ascii="Times New Roman" w:hAnsi="Times New Roman" w:cs="Times New Roman"/>
          <w:noProof/>
        </w:rPr>
      </w:pPr>
    </w:p>
    <w:p w14:paraId="1CF11A72" w14:textId="5E98FFD7" w:rsidR="00A751C1" w:rsidRPr="00A751C1" w:rsidRDefault="00A751C1" w:rsidP="00A14B40">
      <w:pPr>
        <w:spacing w:line="480" w:lineRule="auto"/>
        <w:rPr>
          <w:rFonts w:ascii="Times New Roman" w:hAnsi="Times New Roman" w:cs="Times New Roman"/>
        </w:rPr>
      </w:pPr>
      <w:r w:rsidRPr="00A751C1">
        <w:rPr>
          <w:rFonts w:ascii="Times New Roman" w:hAnsi="Times New Roman" w:cs="Times New Roman"/>
        </w:rPr>
        <w:br w:type="page"/>
      </w:r>
    </w:p>
    <w:p w14:paraId="6565126F" w14:textId="2AE341E8" w:rsidR="00A751C1" w:rsidRPr="00A751C1" w:rsidRDefault="003457E2" w:rsidP="00690A30">
      <w:pPr>
        <w:keepNext/>
        <w:spacing w:line="480" w:lineRule="auto"/>
        <w:outlineLvl w:val="0"/>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6B64240A" wp14:editId="3196750A">
            <wp:extent cx="54864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71812AE0" w14:textId="29E104BF" w:rsidR="00A751C1" w:rsidRPr="00A751C1" w:rsidRDefault="00A751C1" w:rsidP="00690A30">
      <w:pPr>
        <w:pStyle w:val="Caption"/>
        <w:spacing w:line="480" w:lineRule="auto"/>
        <w:rPr>
          <w:rFonts w:ascii="Times New Roman" w:hAnsi="Times New Roman" w:cs="Times New Roman"/>
          <w:i w:val="0"/>
          <w:iCs w:val="0"/>
          <w:color w:val="000000" w:themeColor="text1"/>
          <w:sz w:val="24"/>
          <w:szCs w:val="24"/>
        </w:rPr>
      </w:pPr>
      <w:r w:rsidRPr="00A751C1">
        <w:rPr>
          <w:rFonts w:ascii="Times New Roman" w:hAnsi="Times New Roman" w:cs="Times New Roman"/>
          <w:i w:val="0"/>
          <w:iCs w:val="0"/>
          <w:color w:val="000000" w:themeColor="text1"/>
          <w:sz w:val="24"/>
          <w:szCs w:val="24"/>
        </w:rPr>
        <w:t>Supplementary Figure 1. Relative abundances</w:t>
      </w:r>
      <w:r w:rsidR="003457E2">
        <w:rPr>
          <w:rFonts w:ascii="Times New Roman" w:hAnsi="Times New Roman" w:cs="Times New Roman"/>
          <w:i w:val="0"/>
          <w:iCs w:val="0"/>
          <w:color w:val="000000" w:themeColor="text1"/>
          <w:sz w:val="24"/>
          <w:szCs w:val="24"/>
        </w:rPr>
        <w:t xml:space="preserve"> and OTU richness</w:t>
      </w:r>
      <w:r w:rsidRPr="00A751C1">
        <w:rPr>
          <w:rFonts w:ascii="Times New Roman" w:hAnsi="Times New Roman" w:cs="Times New Roman"/>
          <w:i w:val="0"/>
          <w:iCs w:val="0"/>
          <w:color w:val="000000" w:themeColor="text1"/>
          <w:sz w:val="24"/>
          <w:szCs w:val="24"/>
        </w:rPr>
        <w:t xml:space="preserve"> of </w:t>
      </w:r>
      <w:r w:rsidR="003457E2">
        <w:rPr>
          <w:rFonts w:ascii="Times New Roman" w:hAnsi="Times New Roman" w:cs="Times New Roman"/>
          <w:i w:val="0"/>
          <w:iCs w:val="0"/>
          <w:color w:val="000000" w:themeColor="text1"/>
          <w:sz w:val="24"/>
          <w:szCs w:val="24"/>
        </w:rPr>
        <w:t>f</w:t>
      </w:r>
      <w:r w:rsidRPr="00A751C1">
        <w:rPr>
          <w:rFonts w:ascii="Times New Roman" w:hAnsi="Times New Roman" w:cs="Times New Roman"/>
          <w:i w:val="0"/>
          <w:iCs w:val="0"/>
          <w:color w:val="000000" w:themeColor="text1"/>
          <w:sz w:val="24"/>
          <w:szCs w:val="24"/>
        </w:rPr>
        <w:t xml:space="preserve">ungal mutualists and </w:t>
      </w:r>
      <w:r w:rsidR="003457E2">
        <w:rPr>
          <w:rFonts w:ascii="Times New Roman" w:hAnsi="Times New Roman" w:cs="Times New Roman"/>
          <w:i w:val="0"/>
          <w:iCs w:val="0"/>
          <w:color w:val="000000" w:themeColor="text1"/>
          <w:sz w:val="24"/>
          <w:szCs w:val="24"/>
        </w:rPr>
        <w:t>f</w:t>
      </w:r>
      <w:r w:rsidRPr="00A751C1">
        <w:rPr>
          <w:rFonts w:ascii="Times New Roman" w:hAnsi="Times New Roman" w:cs="Times New Roman"/>
          <w:i w:val="0"/>
          <w:iCs w:val="0"/>
          <w:color w:val="000000" w:themeColor="text1"/>
          <w:sz w:val="24"/>
          <w:szCs w:val="24"/>
        </w:rPr>
        <w:t xml:space="preserve">ungal pathogens </w:t>
      </w:r>
      <w:r w:rsidR="003457E2">
        <w:rPr>
          <w:rFonts w:ascii="Times New Roman" w:hAnsi="Times New Roman" w:cs="Times New Roman"/>
          <w:i w:val="0"/>
          <w:iCs w:val="0"/>
          <w:color w:val="000000" w:themeColor="text1"/>
          <w:sz w:val="24"/>
          <w:szCs w:val="24"/>
        </w:rPr>
        <w:t xml:space="preserve">in the </w:t>
      </w:r>
      <w:r w:rsidR="003457E2">
        <w:rPr>
          <w:rFonts w:ascii="Times New Roman" w:hAnsi="Times New Roman" w:cs="Times New Roman"/>
          <w:color w:val="000000" w:themeColor="text1"/>
          <w:sz w:val="24"/>
          <w:szCs w:val="24"/>
        </w:rPr>
        <w:t>Silene acaulis</w:t>
      </w:r>
      <w:r w:rsidR="003457E2">
        <w:rPr>
          <w:rFonts w:ascii="Times New Roman" w:hAnsi="Times New Roman" w:cs="Times New Roman"/>
          <w:i w:val="0"/>
          <w:iCs w:val="0"/>
          <w:color w:val="000000" w:themeColor="text1"/>
          <w:sz w:val="24"/>
          <w:szCs w:val="24"/>
        </w:rPr>
        <w:t xml:space="preserve"> seedlings</w:t>
      </w:r>
      <w:r w:rsidRPr="00A751C1">
        <w:rPr>
          <w:rFonts w:ascii="Times New Roman" w:hAnsi="Times New Roman" w:cs="Times New Roman"/>
          <w:i w:val="0"/>
          <w:iCs w:val="0"/>
          <w:color w:val="000000" w:themeColor="text1"/>
          <w:sz w:val="24"/>
          <w:szCs w:val="24"/>
        </w:rPr>
        <w:t>. Mutualists and pathogens were assigned using FUNguild</w:t>
      </w:r>
      <w:r w:rsidR="003457E2">
        <w:rPr>
          <w:rFonts w:ascii="Times New Roman" w:hAnsi="Times New Roman" w:cs="Times New Roman"/>
          <w:i w:val="0"/>
          <w:iCs w:val="0"/>
          <w:color w:val="000000" w:themeColor="text1"/>
          <w:sz w:val="24"/>
          <w:szCs w:val="24"/>
        </w:rPr>
        <w:t xml:space="preserve"> and include all confidence levels</w:t>
      </w:r>
      <w:r w:rsidRPr="00A751C1">
        <w:rPr>
          <w:rFonts w:ascii="Times New Roman" w:hAnsi="Times New Roman" w:cs="Times New Roman"/>
          <w:i w:val="0"/>
          <w:iCs w:val="0"/>
          <w:color w:val="000000" w:themeColor="text1"/>
          <w:sz w:val="24"/>
          <w:szCs w:val="24"/>
        </w:rPr>
        <w:t>. Mutualists include taxa classified as arbuscular mycorrhizal fungi, orchid mycorrhizal fungi, ectomycorrhizae, and dark septate endophytes. Pathogens include taxa classified as plant pathogens.</w:t>
      </w:r>
      <w:r w:rsidR="00AF177B">
        <w:rPr>
          <w:rFonts w:ascii="Times New Roman" w:hAnsi="Times New Roman" w:cs="Times New Roman"/>
          <w:i w:val="0"/>
          <w:iCs w:val="0"/>
          <w:color w:val="000000" w:themeColor="text1"/>
          <w:sz w:val="24"/>
          <w:szCs w:val="24"/>
        </w:rPr>
        <w:t xml:space="preserve"> </w:t>
      </w:r>
      <w:r w:rsidR="00D92FE0">
        <w:rPr>
          <w:rFonts w:ascii="Times New Roman" w:hAnsi="Times New Roman" w:cs="Times New Roman"/>
          <w:i w:val="0"/>
          <w:iCs w:val="0"/>
          <w:color w:val="000000" w:themeColor="text1"/>
          <w:sz w:val="24"/>
          <w:szCs w:val="24"/>
        </w:rPr>
        <w:t xml:space="preserve">ANOVA identified no significant differences in microbial OTU abundance between the indicated treatments (p &gt; 0.05 in all cases). </w:t>
      </w:r>
    </w:p>
    <w:p w14:paraId="57F88E08" w14:textId="77777777" w:rsidR="00A751C1" w:rsidRPr="00A751C1" w:rsidRDefault="00A751C1" w:rsidP="00690A30">
      <w:pPr>
        <w:spacing w:line="480" w:lineRule="auto"/>
        <w:rPr>
          <w:rFonts w:ascii="Times New Roman" w:hAnsi="Times New Roman" w:cs="Times New Roman"/>
          <w:color w:val="000000" w:themeColor="text1"/>
          <w:lang w:eastAsia="en-US"/>
        </w:rPr>
      </w:pPr>
      <w:r w:rsidRPr="00A751C1">
        <w:rPr>
          <w:rFonts w:ascii="Times New Roman" w:hAnsi="Times New Roman" w:cs="Times New Roman"/>
          <w:i/>
          <w:iCs/>
          <w:color w:val="000000" w:themeColor="text1"/>
        </w:rPr>
        <w:br w:type="page"/>
      </w:r>
    </w:p>
    <w:p w14:paraId="6B482438" w14:textId="05E5AF5B" w:rsidR="00A751C1" w:rsidRPr="00A751C1" w:rsidRDefault="00D75DBA" w:rsidP="00690A30">
      <w:pPr>
        <w:keepNext/>
        <w:spacing w:line="480" w:lineRule="auto"/>
        <w:outlineLvl w:val="0"/>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5784E1AA" wp14:editId="5CEF9FEB">
            <wp:extent cx="594360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943600" cy="2743200"/>
                    </a:xfrm>
                    <a:prstGeom prst="rect">
                      <a:avLst/>
                    </a:prstGeom>
                  </pic:spPr>
                </pic:pic>
              </a:graphicData>
            </a:graphic>
          </wp:inline>
        </w:drawing>
      </w:r>
    </w:p>
    <w:p w14:paraId="0AFEEC0D" w14:textId="6F5117E6" w:rsidR="004B7D5D" w:rsidRPr="00BE64AF" w:rsidRDefault="00A751C1" w:rsidP="00BE64AF">
      <w:pPr>
        <w:pStyle w:val="Caption"/>
        <w:spacing w:line="480" w:lineRule="auto"/>
        <w:rPr>
          <w:rFonts w:ascii="Times New Roman" w:hAnsi="Times New Roman" w:cs="Times New Roman"/>
          <w:i w:val="0"/>
          <w:iCs w:val="0"/>
          <w:color w:val="000000" w:themeColor="text1"/>
          <w:sz w:val="24"/>
          <w:szCs w:val="24"/>
        </w:rPr>
      </w:pPr>
      <w:r w:rsidRPr="00A751C1">
        <w:rPr>
          <w:rFonts w:ascii="Times New Roman" w:hAnsi="Times New Roman" w:cs="Times New Roman"/>
          <w:i w:val="0"/>
          <w:iCs w:val="0"/>
          <w:color w:val="000000" w:themeColor="text1"/>
          <w:sz w:val="24"/>
          <w:szCs w:val="24"/>
        </w:rPr>
        <w:t xml:space="preserve">Supplementary Figure 2. Percent root length colonized by </w:t>
      </w:r>
      <w:r w:rsidR="00D75DBA">
        <w:rPr>
          <w:rFonts w:ascii="Times New Roman" w:hAnsi="Times New Roman" w:cs="Times New Roman"/>
          <w:i w:val="0"/>
          <w:iCs w:val="0"/>
          <w:color w:val="000000" w:themeColor="text1"/>
          <w:sz w:val="24"/>
          <w:szCs w:val="24"/>
        </w:rPr>
        <w:t>a</w:t>
      </w:r>
      <w:r w:rsidRPr="00A751C1">
        <w:rPr>
          <w:rFonts w:ascii="Times New Roman" w:hAnsi="Times New Roman" w:cs="Times New Roman"/>
          <w:i w:val="0"/>
          <w:iCs w:val="0"/>
          <w:color w:val="000000" w:themeColor="text1"/>
          <w:sz w:val="24"/>
          <w:szCs w:val="24"/>
        </w:rPr>
        <w:t xml:space="preserve">) Arbuscular mycorrhizal fungi (AMF) and </w:t>
      </w:r>
      <w:r w:rsidR="00D75DBA">
        <w:rPr>
          <w:rFonts w:ascii="Times New Roman" w:hAnsi="Times New Roman" w:cs="Times New Roman"/>
          <w:i w:val="0"/>
          <w:iCs w:val="0"/>
          <w:color w:val="000000" w:themeColor="text1"/>
          <w:sz w:val="24"/>
          <w:szCs w:val="24"/>
        </w:rPr>
        <w:t>b</w:t>
      </w:r>
      <w:r w:rsidRPr="00A751C1">
        <w:rPr>
          <w:rFonts w:ascii="Times New Roman" w:hAnsi="Times New Roman" w:cs="Times New Roman"/>
          <w:i w:val="0"/>
          <w:iCs w:val="0"/>
          <w:color w:val="000000" w:themeColor="text1"/>
          <w:sz w:val="24"/>
          <w:szCs w:val="24"/>
        </w:rPr>
        <w:t>) Dark septate endophytes (DSE).</w:t>
      </w:r>
      <w:r w:rsidR="00D92FE0" w:rsidRPr="00D92FE0">
        <w:rPr>
          <w:rFonts w:ascii="Times New Roman" w:hAnsi="Times New Roman" w:cs="Times New Roman"/>
          <w:i w:val="0"/>
          <w:iCs w:val="0"/>
          <w:color w:val="000000" w:themeColor="text1"/>
          <w:sz w:val="24"/>
          <w:szCs w:val="24"/>
        </w:rPr>
        <w:t xml:space="preserve"> </w:t>
      </w:r>
      <w:r w:rsidR="00D92FE0">
        <w:rPr>
          <w:rFonts w:ascii="Times New Roman" w:hAnsi="Times New Roman" w:cs="Times New Roman"/>
          <w:i w:val="0"/>
          <w:iCs w:val="0"/>
          <w:color w:val="000000" w:themeColor="text1"/>
          <w:sz w:val="24"/>
          <w:szCs w:val="24"/>
        </w:rPr>
        <w:t xml:space="preserve">ANOVA identified no significant differences in </w:t>
      </w:r>
      <w:r w:rsidR="00492412">
        <w:rPr>
          <w:rFonts w:ascii="Times New Roman" w:hAnsi="Times New Roman" w:cs="Times New Roman"/>
          <w:i w:val="0"/>
          <w:iCs w:val="0"/>
          <w:color w:val="000000" w:themeColor="text1"/>
          <w:sz w:val="24"/>
          <w:szCs w:val="24"/>
        </w:rPr>
        <w:t>percent root colonization</w:t>
      </w:r>
      <w:r w:rsidR="00D92FE0">
        <w:rPr>
          <w:rFonts w:ascii="Times New Roman" w:hAnsi="Times New Roman" w:cs="Times New Roman"/>
          <w:i w:val="0"/>
          <w:iCs w:val="0"/>
          <w:color w:val="000000" w:themeColor="text1"/>
          <w:sz w:val="24"/>
          <w:szCs w:val="24"/>
        </w:rPr>
        <w:t xml:space="preserve"> between the indicated treatments (p &gt; 0.05 in all cases).</w:t>
      </w:r>
    </w:p>
    <w:sectPr w:rsidR="004B7D5D" w:rsidRPr="00BE64AF" w:rsidSect="00690A30">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D5D"/>
    <w:rsid w:val="000261B9"/>
    <w:rsid w:val="001705B9"/>
    <w:rsid w:val="001C127C"/>
    <w:rsid w:val="001D3644"/>
    <w:rsid w:val="002C1E5C"/>
    <w:rsid w:val="003457E2"/>
    <w:rsid w:val="0038000B"/>
    <w:rsid w:val="00386FD7"/>
    <w:rsid w:val="00426AE4"/>
    <w:rsid w:val="00490149"/>
    <w:rsid w:val="00492412"/>
    <w:rsid w:val="004B7D5D"/>
    <w:rsid w:val="0053147C"/>
    <w:rsid w:val="00591DF7"/>
    <w:rsid w:val="00596D68"/>
    <w:rsid w:val="00635CE6"/>
    <w:rsid w:val="00690A30"/>
    <w:rsid w:val="008E696E"/>
    <w:rsid w:val="00931B82"/>
    <w:rsid w:val="009C0420"/>
    <w:rsid w:val="009E1DAF"/>
    <w:rsid w:val="00A14B40"/>
    <w:rsid w:val="00A4584B"/>
    <w:rsid w:val="00A751C1"/>
    <w:rsid w:val="00A90108"/>
    <w:rsid w:val="00AA5EC6"/>
    <w:rsid w:val="00AF177B"/>
    <w:rsid w:val="00B37F2A"/>
    <w:rsid w:val="00BE64AF"/>
    <w:rsid w:val="00C76574"/>
    <w:rsid w:val="00D36AF5"/>
    <w:rsid w:val="00D75DBA"/>
    <w:rsid w:val="00D92FE0"/>
    <w:rsid w:val="00E95662"/>
    <w:rsid w:val="00FF1CF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1251E"/>
  <w14:defaultImageDpi w14:val="32767"/>
  <w15:chartTrackingRefBased/>
  <w15:docId w15:val="{2B91FC37-C6E7-F447-AEDC-35BE610E7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751C1"/>
    <w:pPr>
      <w:spacing w:after="200"/>
    </w:pPr>
    <w:rPr>
      <w:i/>
      <w:iCs/>
      <w:color w:val="44546A" w:themeColor="text2"/>
      <w:sz w:val="18"/>
      <w:szCs w:val="18"/>
      <w:lang w:eastAsia="en-US"/>
    </w:rPr>
  </w:style>
  <w:style w:type="character" w:styleId="LineNumber">
    <w:name w:val="line number"/>
    <w:basedOn w:val="DefaultParagraphFont"/>
    <w:uiPriority w:val="99"/>
    <w:semiHidden/>
    <w:unhideWhenUsed/>
    <w:rsid w:val="00690A30"/>
  </w:style>
  <w:style w:type="character" w:styleId="Hyperlink">
    <w:name w:val="Hyperlink"/>
    <w:basedOn w:val="DefaultParagraphFont"/>
    <w:uiPriority w:val="99"/>
    <w:unhideWhenUsed/>
    <w:rsid w:val="00690A30"/>
    <w:rPr>
      <w:color w:val="0563C1" w:themeColor="hyperlink"/>
      <w:u w:val="single"/>
    </w:rPr>
  </w:style>
  <w:style w:type="paragraph" w:styleId="BalloonText">
    <w:name w:val="Balloon Text"/>
    <w:basedOn w:val="Normal"/>
    <w:link w:val="BalloonTextChar"/>
    <w:uiPriority w:val="99"/>
    <w:semiHidden/>
    <w:unhideWhenUsed/>
    <w:rsid w:val="00931B8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31B8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225334">
      <w:bodyDiv w:val="1"/>
      <w:marLeft w:val="0"/>
      <w:marRight w:val="0"/>
      <w:marTop w:val="0"/>
      <w:marBottom w:val="0"/>
      <w:divBdr>
        <w:top w:val="none" w:sz="0" w:space="0" w:color="auto"/>
        <w:left w:val="none" w:sz="0" w:space="0" w:color="auto"/>
        <w:bottom w:val="none" w:sz="0" w:space="0" w:color="auto"/>
        <w:right w:val="none" w:sz="0" w:space="0" w:color="auto"/>
      </w:divBdr>
    </w:div>
    <w:div w:id="1141506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hyperlink" Target="mailto:Conor.V.Meade@mu.ie"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768AB-14B3-E24C-8CAD-C3BFEAFBD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3441</Words>
  <Characters>19618</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Cliff Bueno de Mesquita</dc:creator>
  <cp:keywords/>
  <dc:description/>
  <cp:lastModifiedBy>Conor Meade</cp:lastModifiedBy>
  <cp:revision>2</cp:revision>
  <cp:lastPrinted>2020-09-10T08:43:00Z</cp:lastPrinted>
  <dcterms:created xsi:type="dcterms:W3CDTF">2020-11-23T10:59:00Z</dcterms:created>
  <dcterms:modified xsi:type="dcterms:W3CDTF">2020-11-23T10:59:00Z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a5f2276e-4726-3abe-a843-8714e1738aad</vt:lpwstr>
  </property>
  <property fmtid="{D5CDD505-2E9C-101B-9397-08002B2CF9AE}" pid="4" name="Mendeley Citation Style_1">
    <vt:lpwstr>http://csl.mendeley.com/styles/181723101/springer-basic-author-date</vt:lpwstr>
  </property>
  <property fmtid="{D5CDD505-2E9C-101B-9397-08002B2CF9AE}" pid="5" name="Mendeley Recent Style Id 0_1">
    <vt:lpwstr>http://www.zotero.org/styles/applied-soil-ecology</vt:lpwstr>
  </property>
  <property fmtid="{D5CDD505-2E9C-101B-9397-08002B2CF9AE}" pid="6" name="Mendeley Recent Style Name 0_1">
    <vt:lpwstr>Applied Soil Ecology</vt:lpwstr>
  </property>
  <property fmtid="{D5CDD505-2E9C-101B-9397-08002B2CF9AE}" pid="7" name="Mendeley Recent Style Id 1_1">
    <vt:lpwstr>http://www.zotero.org/styles/diversity-and-distributions</vt:lpwstr>
  </property>
  <property fmtid="{D5CDD505-2E9C-101B-9397-08002B2CF9AE}" pid="8" name="Mendeley Recent Style Name 1_1">
    <vt:lpwstr>Diversity and Distributions</vt:lpwstr>
  </property>
  <property fmtid="{D5CDD505-2E9C-101B-9397-08002B2CF9AE}" pid="9" name="Mendeley Recent Style Id 2_1">
    <vt:lpwstr>http://www.zotero.org/styles/fungal-ecology</vt:lpwstr>
  </property>
  <property fmtid="{D5CDD505-2E9C-101B-9397-08002B2CF9AE}" pid="10" name="Mendeley Recent Style Name 2_1">
    <vt:lpwstr>Fungal Ecology</vt:lpwstr>
  </property>
  <property fmtid="{D5CDD505-2E9C-101B-9397-08002B2CF9AE}" pid="11" name="Mendeley Recent Style Id 3_1">
    <vt:lpwstr>http://www.zotero.org/styles/journal-of-plant-ecology</vt:lpwstr>
  </property>
  <property fmtid="{D5CDD505-2E9C-101B-9397-08002B2CF9AE}" pid="12" name="Mendeley Recent Style Name 3_1">
    <vt:lpwstr>Journal of Plant Ecology</vt:lpwstr>
  </property>
  <property fmtid="{D5CDD505-2E9C-101B-9397-08002B2CF9AE}" pid="13" name="Mendeley Recent Style Id 4_1">
    <vt:lpwstr>http://www.zotero.org/styles/microorganisms</vt:lpwstr>
  </property>
  <property fmtid="{D5CDD505-2E9C-101B-9397-08002B2CF9AE}" pid="14" name="Mendeley Recent Style Name 4_1">
    <vt:lpwstr>Microorganisms</vt:lpwstr>
  </property>
  <property fmtid="{D5CDD505-2E9C-101B-9397-08002B2CF9AE}" pid="15" name="Mendeley Recent Style Id 5_1">
    <vt:lpwstr>http://www.zotero.org/styles/perspectives-in-plant-ecology-evolution-and-systematics</vt:lpwstr>
  </property>
  <property fmtid="{D5CDD505-2E9C-101B-9397-08002B2CF9AE}" pid="16" name="Mendeley Recent Style Name 5_1">
    <vt:lpwstr>Perspectives in Plant Ecology, Evolution and Systematics</vt:lpwstr>
  </property>
  <property fmtid="{D5CDD505-2E9C-101B-9397-08002B2CF9AE}" pid="17" name="Mendeley Recent Style Id 6_1">
    <vt:lpwstr>http://www.zotero.org/styles/plant-ecology</vt:lpwstr>
  </property>
  <property fmtid="{D5CDD505-2E9C-101B-9397-08002B2CF9AE}" pid="18" name="Mendeley Recent Style Name 6_1">
    <vt:lpwstr>Plant Ecology</vt:lpwstr>
  </property>
  <property fmtid="{D5CDD505-2E9C-101B-9397-08002B2CF9AE}" pid="19" name="Mendeley Recent Style Id 7_1">
    <vt:lpwstr>http://csl.mendeley.com/styles/181723101/springer-basic-author-date</vt:lpwstr>
  </property>
  <property fmtid="{D5CDD505-2E9C-101B-9397-08002B2CF9AE}" pid="20" name="Mendeley Recent Style Name 7_1">
    <vt:lpwstr>Plant Ecology and Diversity</vt:lpwstr>
  </property>
  <property fmtid="{D5CDD505-2E9C-101B-9397-08002B2CF9AE}" pid="21" name="Mendeley Recent Style Id 8_1">
    <vt:lpwstr>http://www.zotero.org/styles/proceedings-of-the-royal-society-b</vt:lpwstr>
  </property>
  <property fmtid="{D5CDD505-2E9C-101B-9397-08002B2CF9AE}" pid="22" name="Mendeley Recent Style Name 8_1">
    <vt:lpwstr>Proceedings of the Royal Society B</vt:lpwstr>
  </property>
  <property fmtid="{D5CDD505-2E9C-101B-9397-08002B2CF9AE}" pid="23" name="Mendeley Recent Style Id 9_1">
    <vt:lpwstr>http://www.zotero.org/styles/science-advances</vt:lpwstr>
  </property>
  <property fmtid="{D5CDD505-2E9C-101B-9397-08002B2CF9AE}" pid="24" name="Mendeley Recent Style Name 9_1">
    <vt:lpwstr>Science Advances</vt:lpwstr>
  </property>
</Properties>
</file>