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97" w:rsidRPr="000801BE" w:rsidRDefault="0004162B" w:rsidP="000416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01BE">
        <w:rPr>
          <w:rFonts w:ascii="Times New Roman" w:hAnsi="Times New Roman" w:cs="Times New Roman"/>
          <w:b/>
          <w:sz w:val="20"/>
          <w:szCs w:val="20"/>
        </w:rPr>
        <w:t>Supplementary Materials</w:t>
      </w:r>
    </w:p>
    <w:p w:rsidR="0004162B" w:rsidRPr="000801BE" w:rsidRDefault="0004162B" w:rsidP="000416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1BE">
        <w:rPr>
          <w:rFonts w:ascii="Times New Roman" w:hAnsi="Times New Roman" w:cs="Times New Roman"/>
          <w:sz w:val="20"/>
          <w:szCs w:val="20"/>
        </w:rPr>
        <w:t>Table S1: Summary of assessed independent variables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3"/>
        <w:gridCol w:w="5405"/>
        <w:gridCol w:w="4950"/>
      </w:tblGrid>
      <w:tr w:rsidR="0004162B" w:rsidRPr="000801BE" w:rsidTr="00821555">
        <w:trPr>
          <w:jc w:val="center"/>
        </w:trPr>
        <w:tc>
          <w:tcPr>
            <w:tcW w:w="1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Independent Variables</w:t>
            </w:r>
          </w:p>
        </w:tc>
        <w:tc>
          <w:tcPr>
            <w:tcW w:w="19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 xml:space="preserve">Formal </w:t>
            </w:r>
            <w:proofErr w:type="spellStart"/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Definition</w:t>
            </w:r>
            <w:r w:rsidRPr="00080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Brief Rationale for Inclusion</w:t>
            </w:r>
          </w:p>
        </w:tc>
      </w:tr>
      <w:tr w:rsidR="0004162B" w:rsidRPr="000801BE" w:rsidTr="00821555">
        <w:trPr>
          <w:jc w:val="center"/>
        </w:trPr>
        <w:tc>
          <w:tcPr>
            <w:tcW w:w="1291" w:type="pct"/>
            <w:tcBorders>
              <w:top w:val="single" w:sz="12" w:space="0" w:color="auto"/>
            </w:tcBorders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Gross Domestic Products (GDP)</w:t>
            </w:r>
          </w:p>
        </w:tc>
        <w:tc>
          <w:tcPr>
            <w:tcW w:w="1936" w:type="pct"/>
            <w:tcBorders>
              <w:top w:val="single" w:sz="12" w:space="0" w:color="auto"/>
            </w:tcBorders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An indicator reflects the total value of all goods and services produced less the value of goods and services used for intermediate consumption in their production.</w:t>
            </w:r>
          </w:p>
        </w:tc>
        <w:tc>
          <w:tcPr>
            <w:tcW w:w="1773" w:type="pct"/>
            <w:tcBorders>
              <w:top w:val="single" w:sz="12" w:space="0" w:color="auto"/>
            </w:tcBorders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Waste generation is expected to increase with the increase of  GDP until achieving a certain level</w:t>
            </w:r>
          </w:p>
        </w:tc>
      </w:tr>
      <w:tr w:rsidR="0004162B" w:rsidRPr="000801BE" w:rsidTr="00821555">
        <w:trPr>
          <w:jc w:val="center"/>
        </w:trPr>
        <w:tc>
          <w:tcPr>
            <w:tcW w:w="1291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1936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Number of persons having their usual residence in a country of the respective year</w:t>
            </w:r>
          </w:p>
        </w:tc>
        <w:tc>
          <w:tcPr>
            <w:tcW w:w="1773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Waste generation is expected to increase with the increase of  population until achieving a certain level</w:t>
            </w:r>
          </w:p>
        </w:tc>
      </w:tr>
      <w:tr w:rsidR="0004162B" w:rsidRPr="000801BE" w:rsidTr="00821555">
        <w:trPr>
          <w:jc w:val="center"/>
        </w:trPr>
        <w:tc>
          <w:tcPr>
            <w:tcW w:w="1291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Energy consumption</w:t>
            </w:r>
          </w:p>
        </w:tc>
        <w:tc>
          <w:tcPr>
            <w:tcW w:w="1936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All energy supplied to industry, transport, households, services and agriculture (it excludes deliveries to the energy transformation sector and the energy industries themselves)</w:t>
            </w:r>
          </w:p>
        </w:tc>
        <w:tc>
          <w:tcPr>
            <w:tcW w:w="1773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 xml:space="preserve">Waste generation is expected to have a relationship with energy consumption, especially the waste collection activities and waste to energy process </w:t>
            </w:r>
          </w:p>
        </w:tc>
      </w:tr>
      <w:tr w:rsidR="0004162B" w:rsidRPr="000801BE" w:rsidTr="00821555">
        <w:trPr>
          <w:jc w:val="center"/>
        </w:trPr>
        <w:tc>
          <w:tcPr>
            <w:tcW w:w="1291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Circular Material Use Rate</w:t>
            </w:r>
          </w:p>
        </w:tc>
        <w:tc>
          <w:tcPr>
            <w:tcW w:w="1936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The ratio of the circular use of material to the overall material use</w:t>
            </w:r>
          </w:p>
        </w:tc>
        <w:tc>
          <w:tcPr>
            <w:tcW w:w="1773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This variable is directly relating to the waste recycling activities</w:t>
            </w:r>
          </w:p>
        </w:tc>
      </w:tr>
      <w:tr w:rsidR="0004162B" w:rsidRPr="000801BE" w:rsidTr="00821555">
        <w:trPr>
          <w:jc w:val="center"/>
        </w:trPr>
        <w:tc>
          <w:tcPr>
            <w:tcW w:w="1291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Environmental Tax Revenue</w:t>
            </w:r>
          </w:p>
        </w:tc>
        <w:tc>
          <w:tcPr>
            <w:tcW w:w="1936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Tax whose tax base is a physical unit (or a proxy of a physical unit) of something that has a proven, specific negative impact on the environment, and which is identified in ESA 2010 as a tax. It comprises of Energy tax, Transport tax and tax on pollution and resources tax</w:t>
            </w:r>
          </w:p>
        </w:tc>
        <w:tc>
          <w:tcPr>
            <w:tcW w:w="1773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 xml:space="preserve">The environmental tax revenue could reflect the environmental performance of a country, including waste management related issues </w:t>
            </w:r>
          </w:p>
        </w:tc>
      </w:tr>
      <w:tr w:rsidR="0004162B" w:rsidRPr="000801BE" w:rsidTr="00821555">
        <w:trPr>
          <w:jc w:val="center"/>
        </w:trPr>
        <w:tc>
          <w:tcPr>
            <w:tcW w:w="1291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Global Innovation Indexes (GII) – Total Score</w:t>
            </w:r>
          </w:p>
        </w:tc>
        <w:tc>
          <w:tcPr>
            <w:tcW w:w="1936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Metrics about the innovation performance where 80 indicators are considered under 7 main categories</w:t>
            </w:r>
          </w:p>
        </w:tc>
        <w:tc>
          <w:tcPr>
            <w:tcW w:w="1773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There is a potential causal relationship between the GII, competitiveness and foreign trade, which closely related to GDP (proven to have a strong relationship with waste generation</w:t>
            </w:r>
          </w:p>
        </w:tc>
      </w:tr>
      <w:tr w:rsidR="0004162B" w:rsidRPr="000801BE" w:rsidTr="00821555">
        <w:trPr>
          <w:jc w:val="center"/>
        </w:trPr>
        <w:tc>
          <w:tcPr>
            <w:tcW w:w="1291" w:type="pct"/>
            <w:shd w:val="clear" w:color="auto" w:fill="FFFFFF"/>
          </w:tcPr>
          <w:p w:rsidR="0004162B" w:rsidRPr="000801BE" w:rsidRDefault="0004162B" w:rsidP="0004162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0801BE">
              <w:rPr>
                <w:rFonts w:ascii="Times New Roman" w:hAnsi="Times New Roman"/>
                <w:sz w:val="20"/>
              </w:rPr>
              <w:t>GII C1</w:t>
            </w:r>
          </w:p>
        </w:tc>
        <w:tc>
          <w:tcPr>
            <w:tcW w:w="1936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An index measuring institutions category of GII</w:t>
            </w:r>
          </w:p>
        </w:tc>
        <w:tc>
          <w:tcPr>
            <w:tcW w:w="1773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As the rationale of GII</w:t>
            </w:r>
          </w:p>
        </w:tc>
      </w:tr>
      <w:tr w:rsidR="0004162B" w:rsidRPr="000801BE" w:rsidTr="00821555">
        <w:trPr>
          <w:jc w:val="center"/>
        </w:trPr>
        <w:tc>
          <w:tcPr>
            <w:tcW w:w="1291" w:type="pct"/>
            <w:shd w:val="clear" w:color="auto" w:fill="FFFFFF"/>
          </w:tcPr>
          <w:p w:rsidR="0004162B" w:rsidRPr="000801BE" w:rsidRDefault="0004162B" w:rsidP="0004162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0801BE">
              <w:rPr>
                <w:rFonts w:ascii="Times New Roman" w:hAnsi="Times New Roman"/>
                <w:sz w:val="20"/>
              </w:rPr>
              <w:t>GII C2</w:t>
            </w:r>
          </w:p>
        </w:tc>
        <w:tc>
          <w:tcPr>
            <w:tcW w:w="1936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An index measuring human capital and research category of GII</w:t>
            </w:r>
          </w:p>
        </w:tc>
        <w:tc>
          <w:tcPr>
            <w:tcW w:w="1773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As the rationale of GII</w:t>
            </w:r>
          </w:p>
        </w:tc>
      </w:tr>
      <w:tr w:rsidR="0004162B" w:rsidRPr="000801BE" w:rsidTr="00821555">
        <w:trPr>
          <w:jc w:val="center"/>
        </w:trPr>
        <w:tc>
          <w:tcPr>
            <w:tcW w:w="1291" w:type="pct"/>
            <w:shd w:val="clear" w:color="auto" w:fill="FFFFFF"/>
          </w:tcPr>
          <w:p w:rsidR="0004162B" w:rsidRPr="000801BE" w:rsidRDefault="0004162B" w:rsidP="0004162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0801BE">
              <w:rPr>
                <w:rFonts w:ascii="Times New Roman" w:hAnsi="Times New Roman"/>
                <w:sz w:val="20"/>
              </w:rPr>
              <w:t>GII C3</w:t>
            </w:r>
          </w:p>
        </w:tc>
        <w:tc>
          <w:tcPr>
            <w:tcW w:w="1936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An index measuring infrastructure category of GII</w:t>
            </w:r>
          </w:p>
        </w:tc>
        <w:tc>
          <w:tcPr>
            <w:tcW w:w="1773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As the rationale of GII</w:t>
            </w:r>
          </w:p>
        </w:tc>
      </w:tr>
      <w:tr w:rsidR="0004162B" w:rsidRPr="000801BE" w:rsidTr="00821555">
        <w:trPr>
          <w:jc w:val="center"/>
        </w:trPr>
        <w:tc>
          <w:tcPr>
            <w:tcW w:w="1291" w:type="pct"/>
            <w:shd w:val="clear" w:color="auto" w:fill="FFFFFF"/>
          </w:tcPr>
          <w:p w:rsidR="0004162B" w:rsidRPr="000801BE" w:rsidRDefault="0004162B" w:rsidP="0004162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4" w:hanging="283"/>
              <w:rPr>
                <w:rFonts w:ascii="Times New Roman" w:hAnsi="Times New Roman"/>
                <w:sz w:val="20"/>
              </w:rPr>
            </w:pPr>
            <w:r w:rsidRPr="000801BE">
              <w:rPr>
                <w:rFonts w:ascii="Times New Roman" w:hAnsi="Times New Roman"/>
                <w:sz w:val="20"/>
              </w:rPr>
              <w:lastRenderedPageBreak/>
              <w:t>G 3.1</w:t>
            </w:r>
          </w:p>
        </w:tc>
        <w:tc>
          <w:tcPr>
            <w:tcW w:w="1936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Indicator accounting the performance of Information and communication technologies (ICT)</w:t>
            </w:r>
          </w:p>
        </w:tc>
        <w:tc>
          <w:tcPr>
            <w:tcW w:w="1773" w:type="pct"/>
            <w:vMerge w:val="restar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 xml:space="preserve">ICT is expected to affect waste generation as it could stimulate impulsive buying and provide convenience. </w:t>
            </w:r>
          </w:p>
        </w:tc>
      </w:tr>
      <w:tr w:rsidR="0004162B" w:rsidRPr="000801BE" w:rsidTr="00821555">
        <w:trPr>
          <w:jc w:val="center"/>
        </w:trPr>
        <w:tc>
          <w:tcPr>
            <w:tcW w:w="1291" w:type="pct"/>
            <w:shd w:val="clear" w:color="auto" w:fill="FFFFFF"/>
          </w:tcPr>
          <w:p w:rsidR="0004162B" w:rsidRPr="000801BE" w:rsidRDefault="0004162B" w:rsidP="0004162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4" w:hanging="283"/>
              <w:rPr>
                <w:rFonts w:ascii="Times New Roman" w:hAnsi="Times New Roman"/>
                <w:sz w:val="20"/>
              </w:rPr>
            </w:pPr>
            <w:r w:rsidRPr="000801BE">
              <w:rPr>
                <w:rFonts w:ascii="Times New Roman" w:hAnsi="Times New Roman"/>
                <w:sz w:val="20"/>
              </w:rPr>
              <w:t>G 3.12</w:t>
            </w:r>
          </w:p>
        </w:tc>
        <w:tc>
          <w:tcPr>
            <w:tcW w:w="1936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A composite index that considers the percentage of individuals using the Internet, fixed (wired)-broadband, internet subscriptions per 100 inhabitants and active mobile broadband subscriptions per 100 inhabitants.</w:t>
            </w:r>
          </w:p>
        </w:tc>
        <w:tc>
          <w:tcPr>
            <w:tcW w:w="1773" w:type="pct"/>
            <w:vMerge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2B" w:rsidRPr="000801BE" w:rsidTr="00821555">
        <w:trPr>
          <w:jc w:val="center"/>
        </w:trPr>
        <w:tc>
          <w:tcPr>
            <w:tcW w:w="1291" w:type="pct"/>
            <w:shd w:val="clear" w:color="auto" w:fill="FFFFFF"/>
          </w:tcPr>
          <w:p w:rsidR="0004162B" w:rsidRPr="000801BE" w:rsidRDefault="0004162B" w:rsidP="0004162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34" w:hanging="283"/>
              <w:rPr>
                <w:rFonts w:ascii="Times New Roman" w:hAnsi="Times New Roman"/>
                <w:sz w:val="20"/>
              </w:rPr>
            </w:pPr>
            <w:r w:rsidRPr="000801BE">
              <w:rPr>
                <w:rFonts w:ascii="Times New Roman" w:hAnsi="Times New Roman"/>
                <w:sz w:val="20"/>
              </w:rPr>
              <w:t>G 3.3</w:t>
            </w:r>
          </w:p>
        </w:tc>
        <w:tc>
          <w:tcPr>
            <w:tcW w:w="1936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Ecological sustainability considering GDP per unit of energy use, environmental performance and ISO 14001 environment certificates</w:t>
            </w:r>
          </w:p>
        </w:tc>
        <w:tc>
          <w:tcPr>
            <w:tcW w:w="1773" w:type="pct"/>
            <w:vMerge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2B" w:rsidRPr="000801BE" w:rsidTr="00821555">
        <w:trPr>
          <w:jc w:val="center"/>
        </w:trPr>
        <w:tc>
          <w:tcPr>
            <w:tcW w:w="1291" w:type="pct"/>
            <w:shd w:val="clear" w:color="auto" w:fill="FFFFFF"/>
          </w:tcPr>
          <w:p w:rsidR="0004162B" w:rsidRPr="000801BE" w:rsidRDefault="0004162B" w:rsidP="0004162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0801BE">
              <w:rPr>
                <w:rFonts w:ascii="Times New Roman" w:hAnsi="Times New Roman"/>
                <w:sz w:val="20"/>
              </w:rPr>
              <w:t>GII C4</w:t>
            </w:r>
          </w:p>
        </w:tc>
        <w:tc>
          <w:tcPr>
            <w:tcW w:w="1936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An index measuring the Market sophistication category of GII</w:t>
            </w:r>
          </w:p>
        </w:tc>
        <w:tc>
          <w:tcPr>
            <w:tcW w:w="1773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As the rationale of GII</w:t>
            </w:r>
          </w:p>
        </w:tc>
      </w:tr>
      <w:tr w:rsidR="0004162B" w:rsidRPr="000801BE" w:rsidTr="00821555">
        <w:trPr>
          <w:jc w:val="center"/>
        </w:trPr>
        <w:tc>
          <w:tcPr>
            <w:tcW w:w="1291" w:type="pct"/>
            <w:shd w:val="clear" w:color="auto" w:fill="FFFFFF"/>
          </w:tcPr>
          <w:p w:rsidR="0004162B" w:rsidRPr="000801BE" w:rsidRDefault="0004162B" w:rsidP="0004162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0801BE">
              <w:rPr>
                <w:rFonts w:ascii="Times New Roman" w:hAnsi="Times New Roman"/>
                <w:sz w:val="20"/>
              </w:rPr>
              <w:t>GII C5</w:t>
            </w:r>
          </w:p>
        </w:tc>
        <w:tc>
          <w:tcPr>
            <w:tcW w:w="1936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An index measuring business sophistication category of GII</w:t>
            </w:r>
          </w:p>
        </w:tc>
        <w:tc>
          <w:tcPr>
            <w:tcW w:w="1773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As the rationale of GII</w:t>
            </w:r>
          </w:p>
        </w:tc>
      </w:tr>
      <w:tr w:rsidR="0004162B" w:rsidRPr="000801BE" w:rsidTr="00821555">
        <w:trPr>
          <w:jc w:val="center"/>
        </w:trPr>
        <w:tc>
          <w:tcPr>
            <w:tcW w:w="1291" w:type="pct"/>
            <w:shd w:val="clear" w:color="auto" w:fill="FFFFFF"/>
          </w:tcPr>
          <w:p w:rsidR="0004162B" w:rsidRPr="000801BE" w:rsidRDefault="0004162B" w:rsidP="0004162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0801BE">
              <w:rPr>
                <w:rFonts w:ascii="Times New Roman" w:hAnsi="Times New Roman"/>
                <w:sz w:val="20"/>
              </w:rPr>
              <w:t>GII C6</w:t>
            </w:r>
          </w:p>
        </w:tc>
        <w:tc>
          <w:tcPr>
            <w:tcW w:w="1936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An index measuring knowledge and technology outputs category of GII</w:t>
            </w:r>
          </w:p>
        </w:tc>
        <w:tc>
          <w:tcPr>
            <w:tcW w:w="1773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As the rationale of GII</w:t>
            </w:r>
          </w:p>
        </w:tc>
      </w:tr>
      <w:tr w:rsidR="0004162B" w:rsidRPr="000801BE" w:rsidTr="00821555">
        <w:trPr>
          <w:jc w:val="center"/>
        </w:trPr>
        <w:tc>
          <w:tcPr>
            <w:tcW w:w="1291" w:type="pct"/>
            <w:shd w:val="clear" w:color="auto" w:fill="FFFFFF"/>
          </w:tcPr>
          <w:p w:rsidR="0004162B" w:rsidRPr="000801BE" w:rsidRDefault="0004162B" w:rsidP="0004162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0801BE">
              <w:rPr>
                <w:rFonts w:ascii="Times New Roman" w:hAnsi="Times New Roman"/>
                <w:sz w:val="20"/>
              </w:rPr>
              <w:t>GII C7</w:t>
            </w:r>
          </w:p>
        </w:tc>
        <w:tc>
          <w:tcPr>
            <w:tcW w:w="1936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An index measuring creative outputs category of GII</w:t>
            </w:r>
          </w:p>
        </w:tc>
        <w:tc>
          <w:tcPr>
            <w:tcW w:w="1773" w:type="pct"/>
            <w:shd w:val="clear" w:color="auto" w:fill="FFFFFF"/>
          </w:tcPr>
          <w:p w:rsidR="0004162B" w:rsidRPr="000801BE" w:rsidRDefault="0004162B" w:rsidP="00821555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E">
              <w:rPr>
                <w:rFonts w:ascii="Times New Roman" w:hAnsi="Times New Roman" w:cs="Times New Roman"/>
                <w:sz w:val="20"/>
                <w:szCs w:val="20"/>
              </w:rPr>
              <w:t>As the rationale of GII</w:t>
            </w:r>
          </w:p>
        </w:tc>
      </w:tr>
    </w:tbl>
    <w:p w:rsidR="0004162B" w:rsidRPr="000801BE" w:rsidRDefault="0004162B" w:rsidP="000416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01B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801B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01BE">
        <w:rPr>
          <w:rFonts w:ascii="Times New Roman" w:hAnsi="Times New Roman" w:cs="Times New Roman"/>
          <w:sz w:val="20"/>
          <w:szCs w:val="20"/>
        </w:rPr>
        <w:t xml:space="preserve"> respective references are provided in the in-text discussion (Section 2.0)</w:t>
      </w:r>
    </w:p>
    <w:p w:rsidR="0004162B" w:rsidRPr="000801BE" w:rsidRDefault="0004162B" w:rsidP="000416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162B" w:rsidRPr="000801BE" w:rsidRDefault="0004162B" w:rsidP="000416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162B" w:rsidRPr="000801BE" w:rsidRDefault="0004162B" w:rsidP="000416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162B" w:rsidRDefault="0004162B" w:rsidP="000416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1BE" w:rsidRDefault="000801BE" w:rsidP="000416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1BE" w:rsidRDefault="000801BE" w:rsidP="000416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1BE" w:rsidRDefault="000801BE" w:rsidP="000416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1BE" w:rsidRPr="000801BE" w:rsidRDefault="000801BE" w:rsidP="000416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162B" w:rsidRPr="000801BE" w:rsidRDefault="0004162B" w:rsidP="000416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1BE">
        <w:rPr>
          <w:rFonts w:ascii="Times New Roman" w:hAnsi="Times New Roman" w:cs="Times New Roman"/>
          <w:sz w:val="20"/>
          <w:szCs w:val="20"/>
        </w:rPr>
        <w:lastRenderedPageBreak/>
        <w:t>Table S2: Dataset</w:t>
      </w:r>
      <w:bookmarkStart w:id="0" w:name="_GoBack"/>
      <w:bookmarkEnd w:id="0"/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134"/>
        <w:gridCol w:w="1134"/>
        <w:gridCol w:w="1276"/>
        <w:gridCol w:w="1134"/>
        <w:gridCol w:w="851"/>
        <w:gridCol w:w="1375"/>
        <w:gridCol w:w="587"/>
        <w:gridCol w:w="423"/>
        <w:gridCol w:w="423"/>
        <w:gridCol w:w="423"/>
        <w:gridCol w:w="423"/>
        <w:gridCol w:w="423"/>
        <w:gridCol w:w="423"/>
        <w:gridCol w:w="423"/>
        <w:gridCol w:w="374"/>
        <w:gridCol w:w="485"/>
        <w:gridCol w:w="374"/>
      </w:tblGrid>
      <w:tr w:rsidR="000801BE" w:rsidRPr="0045740F" w:rsidTr="008B2F93">
        <w:trPr>
          <w:trHeight w:val="315"/>
        </w:trPr>
        <w:tc>
          <w:tcPr>
            <w:tcW w:w="2263" w:type="dxa"/>
            <w:gridSpan w:val="2"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EU27</w:t>
            </w:r>
          </w:p>
        </w:tc>
        <w:tc>
          <w:tcPr>
            <w:tcW w:w="1134" w:type="dxa"/>
            <w:noWrap/>
            <w:hideMark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Waste Amount (</w:t>
            </w:r>
            <w:proofErr w:type="spellStart"/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kt</w:t>
            </w:r>
            <w:proofErr w:type="spellEnd"/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Energy Consumption (</w:t>
            </w:r>
            <w:proofErr w:type="spellStart"/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Mtoe</w:t>
            </w:r>
            <w:proofErr w:type="spellEnd"/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 xml:space="preserve">GDP (10^6 </w:t>
            </w:r>
            <w:r w:rsidR="008B2F93" w:rsidRPr="0045740F">
              <w:rPr>
                <w:rFonts w:ascii="Times New Roman" w:hAnsi="Times New Roman" w:cs="Times New Roman"/>
                <w:sz w:val="18"/>
                <w:szCs w:val="18"/>
              </w:rPr>
              <w:t>EUR</w:t>
            </w: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Population (person)</w:t>
            </w:r>
          </w:p>
        </w:tc>
        <w:tc>
          <w:tcPr>
            <w:tcW w:w="851" w:type="dxa"/>
            <w:noWrap/>
            <w:hideMark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CE Indicator</w:t>
            </w:r>
          </w:p>
        </w:tc>
        <w:tc>
          <w:tcPr>
            <w:tcW w:w="1375" w:type="dxa"/>
            <w:noWrap/>
            <w:hideMark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Environmental Tax Revenues (10^6</w:t>
            </w:r>
            <w:r w:rsidR="008B2F93" w:rsidRPr="0045740F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7" w:type="dxa"/>
            <w:noWrap/>
            <w:hideMark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GII Score</w:t>
            </w:r>
          </w:p>
        </w:tc>
        <w:tc>
          <w:tcPr>
            <w:tcW w:w="423" w:type="dxa"/>
            <w:noWrap/>
            <w:hideMark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GII C1</w:t>
            </w:r>
          </w:p>
        </w:tc>
        <w:tc>
          <w:tcPr>
            <w:tcW w:w="423" w:type="dxa"/>
            <w:noWrap/>
            <w:hideMark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GII C2</w:t>
            </w:r>
          </w:p>
        </w:tc>
        <w:tc>
          <w:tcPr>
            <w:tcW w:w="423" w:type="dxa"/>
            <w:noWrap/>
            <w:hideMark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GII C3</w:t>
            </w:r>
          </w:p>
        </w:tc>
        <w:tc>
          <w:tcPr>
            <w:tcW w:w="423" w:type="dxa"/>
            <w:noWrap/>
            <w:hideMark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GII C4</w:t>
            </w:r>
          </w:p>
        </w:tc>
        <w:tc>
          <w:tcPr>
            <w:tcW w:w="423" w:type="dxa"/>
            <w:noWrap/>
            <w:hideMark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GII C5</w:t>
            </w:r>
          </w:p>
        </w:tc>
        <w:tc>
          <w:tcPr>
            <w:tcW w:w="423" w:type="dxa"/>
            <w:noWrap/>
            <w:hideMark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GII C6</w:t>
            </w:r>
          </w:p>
        </w:tc>
        <w:tc>
          <w:tcPr>
            <w:tcW w:w="423" w:type="dxa"/>
            <w:noWrap/>
            <w:hideMark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GII C7</w:t>
            </w:r>
          </w:p>
        </w:tc>
        <w:tc>
          <w:tcPr>
            <w:tcW w:w="374" w:type="dxa"/>
            <w:noWrap/>
            <w:hideMark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 3.1.</w:t>
            </w:r>
          </w:p>
        </w:tc>
        <w:tc>
          <w:tcPr>
            <w:tcW w:w="485" w:type="dxa"/>
            <w:noWrap/>
            <w:hideMark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 3.1.2.</w:t>
            </w:r>
          </w:p>
        </w:tc>
        <w:tc>
          <w:tcPr>
            <w:tcW w:w="374" w:type="dxa"/>
            <w:noWrap/>
            <w:hideMark/>
          </w:tcPr>
          <w:p w:rsidR="0004162B" w:rsidRPr="0045740F" w:rsidRDefault="0004162B" w:rsidP="008B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 3.3.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 w:val="restart"/>
            <w:textDirection w:val="btLr"/>
          </w:tcPr>
          <w:p w:rsidR="0045740F" w:rsidRPr="0045740F" w:rsidRDefault="0045740F" w:rsidP="004574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Austria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4,836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27.5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344,269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8,584,926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79.11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88.7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70.8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Belgium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4,643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416,701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11,237,274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18.4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497.3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83.3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68.7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Bulgaria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3,011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9.49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45,691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7,202,198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30.63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Croatia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1,654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6.59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44,612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4,225,316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71.8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55.1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Cyprus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1.67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17,884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847,008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24.7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46.1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Czech Republic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3,337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24.19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169,558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10,538,275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30.98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76.4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4,671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273,018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5,659,715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624.73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93.1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68.3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87.1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54.5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Estonia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20,782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1,314,870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59.44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74.9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Finland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2,738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24.21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211,385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5,471,753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95.8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76.7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49.5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34,344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148.42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2,198,432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66,458,153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18.7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3051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87.5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51,625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212.68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3,026,180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81,197,537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83.2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72.9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52.1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5,277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16.56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176,110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10,858,018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68.2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65.7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Hungary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3,712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112,701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9,855,571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280.48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73.4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55.2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54.4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Ireland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11.28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262,853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4,677,627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47.22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87.2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57.4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29,524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116.22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1,655,355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60,795,612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17.3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73.8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70.8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66.4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Latvia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3.79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24,561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1,986,096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23.07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77.7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33.1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68.2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48.4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Lithuania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1,300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4.86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37,346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2,921,262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36.86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73.6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51.4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Luxembourg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3.99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52,066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562,958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14.73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83.5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76.6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52.1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Malta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9,997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439,691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57.5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8,866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48.82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690,008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16,900,726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25.8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3136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91.9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89.1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10,863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62.3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430,466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38,005,614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725.13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44.7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Portugal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4,769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179,713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10,374,822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36.12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33.2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55.7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Romania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4,904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21.85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160,150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19,870,647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8.21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27.8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52.3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Slovakia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1,784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10.06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79,768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5,421,349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31.47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33.2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33.7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58.7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Slovenia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38,853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2,062,874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60.83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56.5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21,158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80.59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1,077,590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46,449,565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77.6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4,422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31.8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455,495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9,747,355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127.65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 w:val="restart"/>
            <w:textDirection w:val="btLr"/>
          </w:tcPr>
          <w:p w:rsidR="0045740F" w:rsidRPr="0045740F" w:rsidRDefault="0045740F" w:rsidP="004574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Austria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4,928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28.07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357,608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8,700,471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81.26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87.6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71.1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Belgium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4,746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36.39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430,085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11,311,117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560.3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70.6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Bulgaria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2,881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9.65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48,640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7,153,784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32.68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42.5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59.4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Croatia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1,680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6.64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46,619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4,190,669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70.9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33.9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52.9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Cyprus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1.77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18,929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848,319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49.5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49.5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Czech Republic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3,580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24.82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177,439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10,553,843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25.97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76.1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49.9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61.6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4,757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14.54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283,110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5,707,251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555.7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91.6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71.3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74.1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88.3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Estonia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2.84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21,932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1,315,944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65.38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77.2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76.6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Finland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2,768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25.18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217,518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5,487,308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94.3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68.1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51.7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35,356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150.35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2,234,129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66,638,391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3067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72.3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51.6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52,133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216.81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3,134,740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82,175,684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84.1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74.9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50.8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5,367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16.76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174,237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10,783,748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27.2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24.9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67.2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53.7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Hungary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3,721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17.78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116,130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9,830,485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290.14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71.3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Ireland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2,763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270,810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4,726,286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58.28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88.1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70.8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68.5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30,112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115.92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1,695,787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60,665,551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17.8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72.8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71.9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Latvia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3.82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25,360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1,968,957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77.7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Lithuania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1,272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38,890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2,888,558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37.02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73.3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67.9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58.6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Luxembourg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54,867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576,249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13.83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73.8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83.4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50.8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Malta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10,589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450,415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19.26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78.7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59.5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59.8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8,861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49.87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708,337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16,979,120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3231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90.1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76.9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49.8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11,654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427,092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37,967,209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594.98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27.2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Portugal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4,891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16.19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186,490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10,341,330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36.03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64.4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Romania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5,143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22.24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170,063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19,760,585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10.47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50.7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63.7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Slovakia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1,890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81,052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5,426,252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32.14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60.2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Slovenia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943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4.88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40,443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2,064,188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59.7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33.9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21,542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82.52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1,113,840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46,440,099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925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64.8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4,439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32.26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466,267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9,851,017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127.58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88.3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75.7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83.2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59.3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 w:val="restart"/>
            <w:textDirection w:val="btLr"/>
          </w:tcPr>
          <w:p w:rsidR="0045740F" w:rsidRPr="0045740F" w:rsidRDefault="0045740F" w:rsidP="004574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Austria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5,018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28.53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369,341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8,772,865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86.35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87.1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82.4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55.1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Belgium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4,672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36.09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444,991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11,351,727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540.8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33.2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72.5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47.3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Bulgaria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3,080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9.89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52,329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7,101,859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30.89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33.7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Croatia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1,716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6.92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49,239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4,154,213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7.58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72.4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62.4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Cyprus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20,120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854,802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57.7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Czech Republic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5,177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25.5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194,133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10,578,820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22.37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77.6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59.8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4,728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14.55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294,808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5,748,769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508.6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91.4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70.2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83.3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89.1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Estonia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2.87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23,858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1,315,635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68.42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78.7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Finland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2,812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25.26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226,301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5,503,297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92.2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86.1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35,817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149.37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2,297,242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66,809,816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18.8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3095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86.8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76.1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53.1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51,790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218.57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3,259,860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82,521,653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83.5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81.5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74.9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5,415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16.42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177,152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10,768,193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28.8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Hungary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3,768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18.48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126,891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9,797,561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335.42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70.7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Ireland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2,768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11.86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300,387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4,784,383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45.56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87.6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74.8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73.8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64.3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29,572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115.19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1,736,593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60,589,445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18.4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71.9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79.5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67.2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Latvia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26,962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1,950,116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26.9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77.8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62.5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Lithuania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1,286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42,276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2,847,904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41.03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74.1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75.1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Luxembourg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4.18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56,814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590,667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10.13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Malta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11,704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460,297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25.36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77.6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78.9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8,792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50.23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738,146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17,081,507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29.7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3266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88.2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88.9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77.7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52.4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11,654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70.92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467,427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37,972,964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559.08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70.7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Portugal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5,007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16.56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195,947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10,309,573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37.22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29.9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69.2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59.5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Romania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5,333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23.33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187,773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19,643,949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9.78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70.1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Slovakia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2,058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11.13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84,532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5,435,343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28.59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74.5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33.5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58.6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66.4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Slovenia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4.95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43,009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2,065,895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55.27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73.5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22,018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84.9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1,161,867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46,528,024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83.3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65.1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4,551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32.14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480,026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9,995,153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192.73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88.3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83.6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83.6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 w:val="restart"/>
            <w:textDirection w:val="btLr"/>
          </w:tcPr>
          <w:p w:rsidR="0045740F" w:rsidRPr="0045740F" w:rsidRDefault="0045740F" w:rsidP="004574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Austria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5,119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27.83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385,362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8,822,267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104.02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85.6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84.3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73.9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Belgium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4,677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36.37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460,419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11,398,589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21.8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583.9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72.3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72.2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Bulgaria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2,862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9.91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56,112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7,050,034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31.94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68.3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64.2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52.4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Croatia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1,768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6.85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51,950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4,105,493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10.23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73.3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Cyprus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21,433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864,236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65.2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76.1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49.1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Czech Republic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5,248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25.33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210,928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10,610,055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78.5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53.1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4,715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14.58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302,361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5,781,190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525.33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91.1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68.3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89.4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Estonia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2.96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25,938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1,319,133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71.98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49.3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Finland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3,041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25.84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233,696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5,513,130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92.8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84.8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46.8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35,889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146.84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2,360,687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67,026,224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19.6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2924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87.4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50,260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215.46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3,356,410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82,792,351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85.9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77.7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5,523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15.93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179,727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10,741,165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63.7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Hungary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3,729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18.51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135,931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9,778,371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330.93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70.4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49.3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Ireland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2,912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12.44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326,986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4,830,392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26.16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85.7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75.2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64.8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30,165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116.44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1,771,566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60,483,973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18.7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74.9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78.8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Latvia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4.18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29,143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1,934,379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31.4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76.5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63.5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48.8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Lithuania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1,301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5.57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45,491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2,808,901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51.94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73.6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23.7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51.8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Luxembourg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4.35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60,053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602,005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9.24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79.9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52.7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Malta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12,587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475,701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29.28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74.6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79.9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71.6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81.6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8,806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50.66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773,987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17,181,084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3313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89.2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47.6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11,969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71.82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497,842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37,976,687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538.54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72.2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41.8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Portugal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5,213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16.87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205,184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10,291,027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36.86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70.3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Romania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5,296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23.59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204,497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19,533,481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9.45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29.3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58.5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Slovakia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2,254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89,506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5,443,120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28.59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59.7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Slovenia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1,009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4.95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45,863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2,066,880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55.52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74.6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47.5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22,229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86.89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1,204,241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46,658,447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78.2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84.2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72.3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4,416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31.95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470,673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10,120,242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248.58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89.6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64.7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83.4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53.5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 w:val="restart"/>
            <w:textDirection w:val="btLr"/>
          </w:tcPr>
          <w:p w:rsidR="0045740F" w:rsidRPr="0045740F" w:rsidRDefault="0045740F" w:rsidP="00457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Austria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5,220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28.28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397,575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8,858,775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98.29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74.7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50.5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Belgium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4,779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35.76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476,203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11,455,519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546.4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77.1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44.1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Bulgaria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9.84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61,240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7,000,039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31.62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68.3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33.8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74.9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Croatia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1,812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6.91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54,238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4,076,246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17.18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71.1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Cyprus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22,287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875,899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79.9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57.8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Czech Republic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5,338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25.24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223,950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10,649,800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78.6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53.4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4,907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14.33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312,747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5,806,081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495.14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91.7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93.1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60.1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Estonia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28,112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1,324,820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59.12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85.7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53.1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Finland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3,123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25.32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240,261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5,517,919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93.6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87.5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79.7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36,740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145.45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2,425,708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67,177,636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2840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83.2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89.6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50,612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214.54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3,449,050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83,019,213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86.4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88.2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77.2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50.1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5,613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16.19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183,414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10,724,599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78.2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51.5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Hungary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3,780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18.61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146,062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9,772,756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342.55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71.6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71.5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63.6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48.9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Ireland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12.36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356,051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4,904,240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19.55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85.5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83.8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77.9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69.6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30,079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115.5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1,790,942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59,816,673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82.6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58.3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Latvia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30,421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1,919,968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31.77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77.2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27.5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71.3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49.1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Lithuania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1,319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5.56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48,797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2,794,184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50.9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40.3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75.4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53.7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Luxembourg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4.39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63,516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613,894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10.62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80.7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90.7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Malta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13,592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493,559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32.66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75.2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84.6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78.1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72.8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8,806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49.89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810,247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17,282,163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3446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90.9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91.1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84.8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48.5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12,753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70.97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532,329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37,972,812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572.65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73.6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81.5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41.5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Portugal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5,281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17.13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213,949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10,276,617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53.72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81.8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56.8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49.8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29.8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82.5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66.8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Romania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5,430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23.88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222,998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19,414,458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8.85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36.8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29.1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33.6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25.8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67.6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62.4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60.6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Slovakia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2,299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11.17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93,865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5,450,421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28.69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73.1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54.2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74.4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53.5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Slovenia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1,052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4.85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48,393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2,080,908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55.68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82.3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53.9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43.6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44.1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42.1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76.9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65.7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47.5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22,438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86.3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1,244,772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46,937,060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47.9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78.1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59.5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38.7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37.2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39.7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87.4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77.2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58.8</w:t>
            </w:r>
          </w:p>
        </w:tc>
      </w:tr>
      <w:tr w:rsidR="0045740F" w:rsidRPr="0045740F" w:rsidTr="008B2F93">
        <w:trPr>
          <w:trHeight w:val="315"/>
        </w:trPr>
        <w:tc>
          <w:tcPr>
            <w:tcW w:w="421" w:type="dxa"/>
            <w:vMerge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4,611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31.57</w:t>
            </w:r>
          </w:p>
        </w:tc>
        <w:tc>
          <w:tcPr>
            <w:tcW w:w="1276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474,551</w:t>
            </w:r>
          </w:p>
        </w:tc>
        <w:tc>
          <w:tcPr>
            <w:tcW w:w="1134" w:type="dxa"/>
            <w:noWrap/>
            <w:hideMark/>
          </w:tcPr>
          <w:p w:rsidR="0045740F" w:rsidRPr="0045740F" w:rsidRDefault="0045740F" w:rsidP="00457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10,230,185</w:t>
            </w:r>
          </w:p>
        </w:tc>
        <w:tc>
          <w:tcPr>
            <w:tcW w:w="851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252.24</w:t>
            </w:r>
          </w:p>
        </w:tc>
        <w:tc>
          <w:tcPr>
            <w:tcW w:w="587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63.7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90.1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69.1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62.1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68.8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61.8</w:t>
            </w:r>
          </w:p>
        </w:tc>
        <w:tc>
          <w:tcPr>
            <w:tcW w:w="423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51.9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89.5</w:t>
            </w:r>
          </w:p>
        </w:tc>
        <w:tc>
          <w:tcPr>
            <w:tcW w:w="485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87.1</w:t>
            </w:r>
          </w:p>
        </w:tc>
        <w:tc>
          <w:tcPr>
            <w:tcW w:w="374" w:type="dxa"/>
            <w:noWrap/>
            <w:hideMark/>
          </w:tcPr>
          <w:p w:rsidR="0045740F" w:rsidRPr="0045740F" w:rsidRDefault="0045740F" w:rsidP="004574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40F">
              <w:rPr>
                <w:rFonts w:ascii="Times New Roman" w:hAnsi="Times New Roman" w:cs="Times New Roman"/>
                <w:sz w:val="18"/>
                <w:szCs w:val="18"/>
              </w:rPr>
              <w:t>58.1</w:t>
            </w:r>
          </w:p>
        </w:tc>
      </w:tr>
    </w:tbl>
    <w:p w:rsidR="0004162B" w:rsidRPr="000801BE" w:rsidRDefault="0004162B" w:rsidP="000416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162B" w:rsidRPr="000801BE" w:rsidRDefault="0004162B">
      <w:pPr>
        <w:rPr>
          <w:rFonts w:ascii="Times New Roman" w:hAnsi="Times New Roman" w:cs="Times New Roman"/>
          <w:sz w:val="20"/>
          <w:szCs w:val="20"/>
        </w:rPr>
      </w:pPr>
    </w:p>
    <w:sectPr w:rsidR="0004162B" w:rsidRPr="000801BE" w:rsidSect="000416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7450"/>
    <w:multiLevelType w:val="hybridMultilevel"/>
    <w:tmpl w:val="07EAD952"/>
    <w:lvl w:ilvl="0" w:tplc="E9B204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B7D5F"/>
    <w:multiLevelType w:val="hybridMultilevel"/>
    <w:tmpl w:val="D3668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672F0"/>
    <w:multiLevelType w:val="multilevel"/>
    <w:tmpl w:val="4F26E4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D8C2E0F"/>
    <w:multiLevelType w:val="hybridMultilevel"/>
    <w:tmpl w:val="8392DCFA"/>
    <w:lvl w:ilvl="0" w:tplc="0809001B">
      <w:start w:val="1"/>
      <w:numFmt w:val="lowerRoman"/>
      <w:lvlText w:val="%1."/>
      <w:lvlJc w:val="righ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3204B0"/>
    <w:multiLevelType w:val="hybridMultilevel"/>
    <w:tmpl w:val="D7BAB4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9C6940"/>
    <w:multiLevelType w:val="hybridMultilevel"/>
    <w:tmpl w:val="3932AD8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83DDD"/>
    <w:multiLevelType w:val="hybridMultilevel"/>
    <w:tmpl w:val="0FAED8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4670F"/>
    <w:multiLevelType w:val="hybridMultilevel"/>
    <w:tmpl w:val="580296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B4DA9"/>
    <w:multiLevelType w:val="hybridMultilevel"/>
    <w:tmpl w:val="B7A81BD0"/>
    <w:lvl w:ilvl="0" w:tplc="4CE8D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958EB"/>
    <w:multiLevelType w:val="hybridMultilevel"/>
    <w:tmpl w:val="58AE9D3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047AB"/>
    <w:multiLevelType w:val="hybridMultilevel"/>
    <w:tmpl w:val="DC369742"/>
    <w:lvl w:ilvl="0" w:tplc="433EEBC8">
      <w:start w:val="1"/>
      <w:numFmt w:val="lowerRoman"/>
      <w:pStyle w:val="CETheadingx"/>
      <w:lvlText w:val="%1."/>
      <w:lvlJc w:val="righ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E3795"/>
    <w:multiLevelType w:val="hybridMultilevel"/>
    <w:tmpl w:val="2A36E000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50889"/>
    <w:multiLevelType w:val="hybridMultilevel"/>
    <w:tmpl w:val="48381E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7780A"/>
    <w:multiLevelType w:val="hybridMultilevel"/>
    <w:tmpl w:val="9CB8ED08"/>
    <w:lvl w:ilvl="0" w:tplc="CA48B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1034F"/>
    <w:multiLevelType w:val="hybridMultilevel"/>
    <w:tmpl w:val="2DA8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71638"/>
    <w:multiLevelType w:val="hybridMultilevel"/>
    <w:tmpl w:val="792E5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8"/>
  </w:num>
  <w:num w:numId="4">
    <w:abstractNumId w:val="17"/>
  </w:num>
  <w:num w:numId="5">
    <w:abstractNumId w:val="35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9"/>
  </w:num>
  <w:num w:numId="18">
    <w:abstractNumId w:val="19"/>
  </w:num>
  <w:num w:numId="19">
    <w:abstractNumId w:val="30"/>
  </w:num>
  <w:num w:numId="20">
    <w:abstractNumId w:val="33"/>
  </w:num>
  <w:num w:numId="21">
    <w:abstractNumId w:val="32"/>
  </w:num>
  <w:num w:numId="22">
    <w:abstractNumId w:val="18"/>
  </w:num>
  <w:num w:numId="23">
    <w:abstractNumId w:val="19"/>
    <w:lvlOverride w:ilvl="0">
      <w:startOverride w:val="1"/>
    </w:lvlOverride>
  </w:num>
  <w:num w:numId="24">
    <w:abstractNumId w:val="27"/>
  </w:num>
  <w:num w:numId="25">
    <w:abstractNumId w:val="26"/>
  </w:num>
  <w:num w:numId="26">
    <w:abstractNumId w:val="23"/>
  </w:num>
  <w:num w:numId="27">
    <w:abstractNumId w:val="20"/>
  </w:num>
  <w:num w:numId="28">
    <w:abstractNumId w:val="34"/>
  </w:num>
  <w:num w:numId="29">
    <w:abstractNumId w:val="14"/>
  </w:num>
  <w:num w:numId="30">
    <w:abstractNumId w:val="10"/>
  </w:num>
  <w:num w:numId="31">
    <w:abstractNumId w:val="21"/>
  </w:num>
  <w:num w:numId="32">
    <w:abstractNumId w:val="22"/>
  </w:num>
  <w:num w:numId="33">
    <w:abstractNumId w:val="25"/>
  </w:num>
  <w:num w:numId="34">
    <w:abstractNumId w:val="13"/>
  </w:num>
  <w:num w:numId="35">
    <w:abstractNumId w:val="12"/>
  </w:num>
  <w:num w:numId="36">
    <w:abstractNumId w:val="16"/>
  </w:num>
  <w:num w:numId="37">
    <w:abstractNumId w:val="2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DcxMjYwMDI2MTZW0lEKTi0uzszPAykwqgUAKB7WnSwAAAA="/>
  </w:docVars>
  <w:rsids>
    <w:rsidRoot w:val="0004162B"/>
    <w:rsid w:val="0004162B"/>
    <w:rsid w:val="000801BE"/>
    <w:rsid w:val="0045740F"/>
    <w:rsid w:val="008B2F93"/>
    <w:rsid w:val="00C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9325"/>
  <w15:chartTrackingRefBased/>
  <w15:docId w15:val="{DEA30289-F54C-4AB6-AC9F-0BC36A3F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CETHeading1"/>
    <w:next w:val="Normal"/>
    <w:link w:val="Heading1Char"/>
    <w:uiPriority w:val="9"/>
    <w:rsid w:val="0004162B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62B"/>
    <w:pPr>
      <w:keepNext/>
      <w:keepLines/>
      <w:tabs>
        <w:tab w:val="right" w:pos="7100"/>
      </w:tabs>
      <w:spacing w:before="200" w:after="0" w:line="264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62B"/>
    <w:pPr>
      <w:keepNext/>
      <w:keepLines/>
      <w:tabs>
        <w:tab w:val="right" w:pos="7100"/>
      </w:tabs>
      <w:spacing w:before="200" w:after="0" w:line="264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162B"/>
    <w:pPr>
      <w:keepNext/>
      <w:keepLines/>
      <w:tabs>
        <w:tab w:val="right" w:pos="7100"/>
      </w:tabs>
      <w:spacing w:before="200" w:after="0" w:line="264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1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62B"/>
    <w:pPr>
      <w:keepNext/>
      <w:keepLines/>
      <w:tabs>
        <w:tab w:val="right" w:pos="7100"/>
      </w:tabs>
      <w:spacing w:before="200" w:after="0" w:line="264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1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62B"/>
    <w:pPr>
      <w:keepNext/>
      <w:keepLines/>
      <w:tabs>
        <w:tab w:val="right" w:pos="7100"/>
      </w:tabs>
      <w:spacing w:before="200" w:after="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62B"/>
    <w:pPr>
      <w:keepNext/>
      <w:keepLines/>
      <w:tabs>
        <w:tab w:val="right" w:pos="7100"/>
      </w:tabs>
      <w:spacing w:before="200" w:after="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62B"/>
    <w:pPr>
      <w:keepNext/>
      <w:keepLines/>
      <w:tabs>
        <w:tab w:val="right" w:pos="7100"/>
      </w:tabs>
      <w:spacing w:before="200" w:after="0" w:line="264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62B"/>
    <w:pPr>
      <w:keepNext/>
      <w:keepLines/>
      <w:tabs>
        <w:tab w:val="right" w:pos="7100"/>
      </w:tabs>
      <w:spacing w:before="200" w:after="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04162B"/>
    <w:pPr>
      <w:tabs>
        <w:tab w:val="right" w:pos="7100"/>
      </w:tabs>
      <w:spacing w:after="0" w:line="264" w:lineRule="auto"/>
      <w:ind w:left="720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4162B"/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6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62B"/>
    <w:rPr>
      <w:rFonts w:asciiTheme="majorHAnsi" w:eastAsiaTheme="majorEastAsia" w:hAnsiTheme="majorHAnsi" w:cstheme="majorBidi"/>
      <w:b/>
      <w:bCs/>
      <w:color w:val="5B9BD5" w:themeColor="accent1"/>
      <w:sz w:val="1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162B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62B"/>
    <w:rPr>
      <w:rFonts w:asciiTheme="majorHAnsi" w:eastAsiaTheme="majorEastAsia" w:hAnsiTheme="majorHAnsi" w:cstheme="majorBidi"/>
      <w:color w:val="1F4D78" w:themeColor="accent1" w:themeShade="7F"/>
      <w:sz w:val="18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62B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62B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62B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62B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en-US"/>
    </w:rPr>
  </w:style>
  <w:style w:type="table" w:styleId="TableGrid">
    <w:name w:val="Table Grid"/>
    <w:basedOn w:val="TableNormal"/>
    <w:uiPriority w:val="59"/>
    <w:rsid w:val="0004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TAuthors">
    <w:name w:val="CET Authors"/>
    <w:basedOn w:val="CETBodytext"/>
    <w:link w:val="CETAuthorsCarattere"/>
    <w:qFormat/>
    <w:rsid w:val="0004162B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04162B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eastAsia="en-US"/>
    </w:rPr>
  </w:style>
  <w:style w:type="character" w:customStyle="1" w:styleId="CETAuthorsCarattere">
    <w:name w:val="CET Authors Carattere"/>
    <w:link w:val="CETAuthors"/>
    <w:rsid w:val="0004162B"/>
    <w:rPr>
      <w:rFonts w:ascii="Arial" w:eastAsia="Times New Roman" w:hAnsi="Arial" w:cs="Times New Roman"/>
      <w:noProof/>
      <w:sz w:val="24"/>
      <w:szCs w:val="20"/>
      <w:lang w:eastAsia="en-US"/>
    </w:rPr>
  </w:style>
  <w:style w:type="character" w:customStyle="1" w:styleId="CETTitleCarattere">
    <w:name w:val="CET Title Carattere"/>
    <w:link w:val="CETTitle"/>
    <w:rsid w:val="0004162B"/>
    <w:rPr>
      <w:rFonts w:ascii="Arial" w:eastAsia="Times New Roman" w:hAnsi="Arial" w:cs="Times New Roman"/>
      <w:sz w:val="32"/>
      <w:szCs w:val="20"/>
      <w:lang w:eastAsia="en-US"/>
    </w:rPr>
  </w:style>
  <w:style w:type="paragraph" w:customStyle="1" w:styleId="CETHeading1">
    <w:name w:val="CET Heading1"/>
    <w:next w:val="CETBodytext"/>
    <w:qFormat/>
    <w:rsid w:val="0004162B"/>
    <w:pPr>
      <w:keepNext/>
      <w:numPr>
        <w:ilvl w:val="1"/>
        <w:numId w:val="6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 w:eastAsia="en-US"/>
    </w:rPr>
  </w:style>
  <w:style w:type="paragraph" w:customStyle="1" w:styleId="CETBodytext">
    <w:name w:val="CET Body text"/>
    <w:link w:val="CETBodytextCarattere"/>
    <w:qFormat/>
    <w:rsid w:val="0004162B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 w:eastAsia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04162B"/>
    <w:pPr>
      <w:keepNext/>
      <w:numPr>
        <w:numId w:val="33"/>
      </w:numPr>
      <w:suppressAutoHyphens/>
      <w:spacing w:before="120" w:after="120" w:line="240" w:lineRule="auto"/>
      <w:ind w:left="709" w:hanging="283"/>
      <w:jc w:val="both"/>
    </w:pPr>
    <w:rPr>
      <w:rFonts w:ascii="Arial" w:eastAsia="Times New Roman" w:hAnsi="Arial" w:cs="Times New Roman"/>
      <w:sz w:val="18"/>
      <w:szCs w:val="20"/>
      <w:lang w:val="en-US" w:eastAsia="en-US"/>
    </w:rPr>
  </w:style>
  <w:style w:type="paragraph" w:customStyle="1" w:styleId="CETAddress">
    <w:name w:val="CET Address"/>
    <w:link w:val="CETAddressCarattere"/>
    <w:qFormat/>
    <w:rsid w:val="0004162B"/>
    <w:pPr>
      <w:keepNext/>
      <w:suppressAutoHyphens/>
      <w:spacing w:after="0" w:line="276" w:lineRule="auto"/>
      <w:contextualSpacing/>
    </w:pPr>
    <w:rPr>
      <w:rFonts w:ascii="Arial" w:eastAsia="Times New Roman" w:hAnsi="Arial" w:cs="Times New Roman"/>
      <w:noProof/>
      <w:sz w:val="16"/>
      <w:szCs w:val="20"/>
      <w:lang w:eastAsia="en-US"/>
    </w:rPr>
  </w:style>
  <w:style w:type="table" w:styleId="TableSimple1">
    <w:name w:val="Table Simple 1"/>
    <w:basedOn w:val="TableNormal"/>
    <w:semiHidden/>
    <w:rsid w:val="0004162B"/>
    <w:pPr>
      <w:numPr>
        <w:ilvl w:val="3"/>
        <w:numId w:val="6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4162B"/>
    <w:rPr>
      <w:rFonts w:ascii="Arial" w:eastAsia="Times New Roman" w:hAnsi="Arial" w:cs="Times New Roman"/>
      <w:sz w:val="18"/>
      <w:szCs w:val="20"/>
      <w:lang w:val="en-US" w:eastAsia="en-US"/>
    </w:rPr>
  </w:style>
  <w:style w:type="paragraph" w:customStyle="1" w:styleId="CETReference">
    <w:name w:val="CET Reference"/>
    <w:qFormat/>
    <w:rsid w:val="0004162B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CETCaption">
    <w:name w:val="CET Caption"/>
    <w:link w:val="CETCaptionCarattere"/>
    <w:qFormat/>
    <w:rsid w:val="0004162B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eastAsia="en-US"/>
    </w:rPr>
  </w:style>
  <w:style w:type="character" w:customStyle="1" w:styleId="CETheadingxCarattere">
    <w:name w:val="CET headingx Carattere"/>
    <w:link w:val="CETheadingx"/>
    <w:rsid w:val="0004162B"/>
    <w:rPr>
      <w:rFonts w:ascii="Arial" w:eastAsia="Times New Roman" w:hAnsi="Arial" w:cs="Times New Roman"/>
      <w:sz w:val="18"/>
      <w:szCs w:val="20"/>
      <w:lang w:val="en-US" w:eastAsia="en-US"/>
    </w:rPr>
  </w:style>
  <w:style w:type="character" w:customStyle="1" w:styleId="CETCaptionCarattere">
    <w:name w:val="CET Caption Carattere"/>
    <w:link w:val="CETCaption"/>
    <w:rsid w:val="0004162B"/>
    <w:rPr>
      <w:rFonts w:ascii="Arial" w:eastAsia="Times New Roman" w:hAnsi="Arial" w:cs="Times New Roman"/>
      <w:i/>
      <w:sz w:val="18"/>
      <w:szCs w:val="20"/>
      <w:lang w:eastAsia="en-US"/>
    </w:rPr>
  </w:style>
  <w:style w:type="paragraph" w:customStyle="1" w:styleId="CETBodytextItalic">
    <w:name w:val="CET Body text (Italic)"/>
    <w:basedOn w:val="CETBodytext"/>
    <w:qFormat/>
    <w:rsid w:val="0004162B"/>
    <w:rPr>
      <w:i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4162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2B"/>
    <w:pPr>
      <w:tabs>
        <w:tab w:val="right" w:pos="710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2B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CETReferencetext"/>
    <w:uiPriority w:val="37"/>
    <w:unhideWhenUsed/>
    <w:rsid w:val="0004162B"/>
    <w:pPr>
      <w:spacing w:line="240" w:lineRule="auto"/>
      <w:ind w:left="720" w:hanging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4162B"/>
    <w:pPr>
      <w:tabs>
        <w:tab w:val="right" w:pos="7100"/>
      </w:tabs>
      <w:spacing w:after="120" w:line="480" w:lineRule="auto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162B"/>
    <w:rPr>
      <w:rFonts w:ascii="Arial" w:eastAsia="Times New Roman" w:hAnsi="Arial" w:cs="Times New Roman"/>
      <w:sz w:val="18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162B"/>
    <w:pPr>
      <w:tabs>
        <w:tab w:val="right" w:pos="7100"/>
      </w:tabs>
      <w:spacing w:after="120" w:line="264" w:lineRule="auto"/>
      <w:jc w:val="both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162B"/>
    <w:rPr>
      <w:rFonts w:ascii="Arial" w:eastAsia="Times New Roman" w:hAnsi="Arial"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162B"/>
    <w:pPr>
      <w:tabs>
        <w:tab w:val="right" w:pos="7100"/>
      </w:tabs>
      <w:spacing w:after="120" w:line="264" w:lineRule="auto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162B"/>
    <w:rPr>
      <w:rFonts w:ascii="Arial" w:eastAsia="Times New Roman" w:hAnsi="Arial" w:cs="Times New Roman"/>
      <w:sz w:val="18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162B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04162B"/>
    <w:rPr>
      <w:rFonts w:ascii="Arial" w:eastAsia="Times New Roman" w:hAnsi="Arial" w:cs="Times New Roman"/>
      <w:sz w:val="18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162B"/>
    <w:pPr>
      <w:tabs>
        <w:tab w:val="right" w:pos="7100"/>
      </w:tabs>
      <w:spacing w:after="0" w:line="240" w:lineRule="auto"/>
      <w:jc w:val="both"/>
    </w:pPr>
    <w:rPr>
      <w:rFonts w:ascii="Arial" w:eastAsia="Times New Roman" w:hAnsi="Arial" w:cs="Times New Roman"/>
      <w:b/>
      <w:bCs/>
      <w:color w:val="5B9BD5" w:themeColor="accent1"/>
      <w:sz w:val="18"/>
      <w:szCs w:val="18"/>
      <w:lang w:eastAsia="en-US"/>
    </w:rPr>
  </w:style>
  <w:style w:type="paragraph" w:styleId="List">
    <w:name w:val="List"/>
    <w:basedOn w:val="Normal"/>
    <w:uiPriority w:val="99"/>
    <w:semiHidden/>
    <w:unhideWhenUsed/>
    <w:rsid w:val="0004162B"/>
    <w:pPr>
      <w:tabs>
        <w:tab w:val="right" w:pos="7100"/>
      </w:tabs>
      <w:spacing w:after="0" w:line="264" w:lineRule="auto"/>
      <w:ind w:left="283" w:hanging="283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2">
    <w:name w:val="List 2"/>
    <w:basedOn w:val="Normal"/>
    <w:uiPriority w:val="99"/>
    <w:semiHidden/>
    <w:unhideWhenUsed/>
    <w:rsid w:val="0004162B"/>
    <w:pPr>
      <w:tabs>
        <w:tab w:val="right" w:pos="7100"/>
      </w:tabs>
      <w:spacing w:after="0" w:line="264" w:lineRule="auto"/>
      <w:ind w:left="566" w:hanging="283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3">
    <w:name w:val="List 3"/>
    <w:basedOn w:val="Normal"/>
    <w:uiPriority w:val="99"/>
    <w:semiHidden/>
    <w:unhideWhenUsed/>
    <w:rsid w:val="0004162B"/>
    <w:pPr>
      <w:tabs>
        <w:tab w:val="right" w:pos="7100"/>
      </w:tabs>
      <w:spacing w:after="0" w:line="264" w:lineRule="auto"/>
      <w:ind w:left="849" w:hanging="283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4">
    <w:name w:val="List 4"/>
    <w:basedOn w:val="Normal"/>
    <w:uiPriority w:val="99"/>
    <w:semiHidden/>
    <w:unhideWhenUsed/>
    <w:rsid w:val="0004162B"/>
    <w:pPr>
      <w:tabs>
        <w:tab w:val="right" w:pos="7100"/>
      </w:tabs>
      <w:spacing w:after="0" w:line="264" w:lineRule="auto"/>
      <w:ind w:left="1132" w:hanging="283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5">
    <w:name w:val="List 5"/>
    <w:basedOn w:val="Normal"/>
    <w:uiPriority w:val="99"/>
    <w:semiHidden/>
    <w:unhideWhenUsed/>
    <w:rsid w:val="0004162B"/>
    <w:pPr>
      <w:tabs>
        <w:tab w:val="right" w:pos="7100"/>
      </w:tabs>
      <w:spacing w:after="0" w:line="264" w:lineRule="auto"/>
      <w:ind w:left="1415" w:hanging="283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04162B"/>
    <w:pPr>
      <w:tabs>
        <w:tab w:val="right" w:pos="7100"/>
      </w:tabs>
      <w:spacing w:after="120" w:line="264" w:lineRule="auto"/>
      <w:ind w:left="283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04162B"/>
    <w:pPr>
      <w:tabs>
        <w:tab w:val="right" w:pos="7100"/>
      </w:tabs>
      <w:spacing w:after="120" w:line="264" w:lineRule="auto"/>
      <w:ind w:left="566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04162B"/>
    <w:pPr>
      <w:tabs>
        <w:tab w:val="right" w:pos="7100"/>
      </w:tabs>
      <w:spacing w:after="120" w:line="264" w:lineRule="auto"/>
      <w:ind w:left="849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04162B"/>
    <w:pPr>
      <w:tabs>
        <w:tab w:val="right" w:pos="7100"/>
      </w:tabs>
      <w:spacing w:after="120" w:line="264" w:lineRule="auto"/>
      <w:ind w:left="1132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04162B"/>
    <w:pPr>
      <w:tabs>
        <w:tab w:val="right" w:pos="7100"/>
      </w:tabs>
      <w:spacing w:after="120" w:line="264" w:lineRule="auto"/>
      <w:ind w:left="1415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4162B"/>
    <w:pPr>
      <w:tabs>
        <w:tab w:val="right" w:pos="7100"/>
      </w:tabs>
      <w:spacing w:after="0" w:line="240" w:lineRule="auto"/>
      <w:ind w:left="4252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162B"/>
    <w:rPr>
      <w:rFonts w:ascii="Arial" w:eastAsia="Times New Roman" w:hAnsi="Arial" w:cs="Times New Roman"/>
      <w:sz w:val="18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162B"/>
    <w:pPr>
      <w:tabs>
        <w:tab w:val="right" w:pos="7100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162B"/>
    <w:rPr>
      <w:rFonts w:ascii="Arial" w:eastAsia="Times New Roman" w:hAnsi="Arial" w:cs="Times New Roman"/>
      <w:sz w:val="18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162B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162B"/>
    <w:rPr>
      <w:rFonts w:ascii="Arial" w:eastAsia="Times New Roman" w:hAnsi="Arial" w:cs="Times New Roman"/>
      <w:sz w:val="18"/>
      <w:szCs w:val="20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04162B"/>
    <w:pPr>
      <w:tabs>
        <w:tab w:val="right" w:pos="7100"/>
      </w:tabs>
      <w:spacing w:after="0" w:line="240" w:lineRule="auto"/>
      <w:ind w:left="4252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4162B"/>
    <w:rPr>
      <w:rFonts w:ascii="Arial" w:eastAsia="Times New Roman" w:hAnsi="Arial" w:cs="Times New Roman"/>
      <w:sz w:val="18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162B"/>
    <w:pPr>
      <w:tabs>
        <w:tab w:val="right" w:pos="7100"/>
      </w:tabs>
      <w:spacing w:after="0" w:line="240" w:lineRule="auto"/>
      <w:ind w:left="220" w:hanging="22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4162B"/>
    <w:pPr>
      <w:tabs>
        <w:tab w:val="right" w:pos="7100"/>
      </w:tabs>
      <w:spacing w:after="0" w:line="240" w:lineRule="auto"/>
      <w:ind w:left="440" w:hanging="22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04162B"/>
    <w:pPr>
      <w:tabs>
        <w:tab w:val="right" w:pos="7100"/>
      </w:tabs>
      <w:spacing w:after="0" w:line="240" w:lineRule="auto"/>
      <w:ind w:left="660" w:hanging="22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04162B"/>
    <w:pPr>
      <w:tabs>
        <w:tab w:val="right" w:pos="7100"/>
      </w:tabs>
      <w:spacing w:after="0" w:line="240" w:lineRule="auto"/>
      <w:ind w:left="880" w:hanging="22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04162B"/>
    <w:pPr>
      <w:tabs>
        <w:tab w:val="right" w:pos="7100"/>
      </w:tabs>
      <w:spacing w:after="0" w:line="240" w:lineRule="auto"/>
      <w:ind w:left="1100" w:hanging="22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04162B"/>
    <w:pPr>
      <w:tabs>
        <w:tab w:val="right" w:pos="7100"/>
      </w:tabs>
      <w:spacing w:after="0" w:line="240" w:lineRule="auto"/>
      <w:ind w:left="1320" w:hanging="22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04162B"/>
    <w:pPr>
      <w:tabs>
        <w:tab w:val="right" w:pos="7100"/>
      </w:tabs>
      <w:spacing w:after="0" w:line="240" w:lineRule="auto"/>
      <w:ind w:left="1540" w:hanging="22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04162B"/>
    <w:pPr>
      <w:tabs>
        <w:tab w:val="right" w:pos="7100"/>
      </w:tabs>
      <w:spacing w:after="0" w:line="240" w:lineRule="auto"/>
      <w:ind w:left="1760" w:hanging="22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04162B"/>
    <w:pPr>
      <w:tabs>
        <w:tab w:val="right" w:pos="7100"/>
      </w:tabs>
      <w:spacing w:after="0" w:line="240" w:lineRule="auto"/>
      <w:ind w:left="1980" w:hanging="22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4162B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162B"/>
    <w:pPr>
      <w:tabs>
        <w:tab w:val="right" w:pos="7100"/>
      </w:tabs>
      <w:spacing w:after="0" w:line="264" w:lineRule="auto"/>
      <w:ind w:left="220" w:hanging="22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04162B"/>
    <w:pPr>
      <w:framePr w:w="7920" w:h="1980" w:hRule="exact" w:hSpace="180" w:wrap="auto" w:hAnchor="page" w:xAlign="center" w:yAlign="bottom"/>
      <w:tabs>
        <w:tab w:val="right" w:pos="7100"/>
      </w:tabs>
      <w:spacing w:after="0" w:line="240" w:lineRule="auto"/>
      <w:ind w:left="2880"/>
      <w:jc w:val="both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4162B"/>
    <w:pPr>
      <w:tabs>
        <w:tab w:val="right" w:pos="7100"/>
      </w:tabs>
      <w:spacing w:after="0" w:line="240" w:lineRule="auto"/>
      <w:jc w:val="both"/>
    </w:pPr>
    <w:rPr>
      <w:rFonts w:ascii="Arial" w:eastAsia="Times New Roman" w:hAnsi="Arial" w:cs="Times New Roman"/>
      <w:i/>
      <w:iCs/>
      <w:sz w:val="18"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162B"/>
    <w:rPr>
      <w:rFonts w:ascii="Arial" w:eastAsia="Times New Roman" w:hAnsi="Arial" w:cs="Times New Roman"/>
      <w:i/>
      <w:iCs/>
      <w:sz w:val="18"/>
      <w:szCs w:val="20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04162B"/>
    <w:pPr>
      <w:tabs>
        <w:tab w:val="right" w:pos="7100"/>
      </w:tabs>
      <w:spacing w:after="0" w:line="240" w:lineRule="auto"/>
      <w:jc w:val="both"/>
    </w:pPr>
    <w:rPr>
      <w:rFonts w:asciiTheme="majorHAnsi" w:eastAsiaTheme="majorEastAsia" w:hAnsiTheme="majorHAnsi" w:cstheme="majorBidi"/>
      <w:sz w:val="18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16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right" w:pos="7100"/>
      </w:tabs>
      <w:spacing w:after="0" w:line="240" w:lineRule="auto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162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162B"/>
    <w:pPr>
      <w:tabs>
        <w:tab w:val="right" w:pos="7100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162B"/>
    <w:rPr>
      <w:rFonts w:ascii="Arial" w:eastAsia="Times New Roman" w:hAnsi="Arial" w:cs="Times New Roman"/>
      <w:sz w:val="18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162B"/>
    <w:pPr>
      <w:tabs>
        <w:tab w:val="right" w:pos="710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162B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162B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04162B"/>
    <w:pPr>
      <w:numPr>
        <w:numId w:val="7"/>
      </w:numPr>
      <w:tabs>
        <w:tab w:val="right" w:pos="7100"/>
      </w:tabs>
      <w:spacing w:after="0" w:line="264" w:lineRule="auto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04162B"/>
    <w:pPr>
      <w:numPr>
        <w:numId w:val="8"/>
      </w:numPr>
      <w:tabs>
        <w:tab w:val="right" w:pos="7100"/>
      </w:tabs>
      <w:spacing w:after="0" w:line="264" w:lineRule="auto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04162B"/>
    <w:pPr>
      <w:numPr>
        <w:numId w:val="9"/>
      </w:numPr>
      <w:tabs>
        <w:tab w:val="right" w:pos="7100"/>
      </w:tabs>
      <w:spacing w:after="0" w:line="264" w:lineRule="auto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04162B"/>
    <w:pPr>
      <w:numPr>
        <w:numId w:val="10"/>
      </w:numPr>
      <w:tabs>
        <w:tab w:val="right" w:pos="7100"/>
      </w:tabs>
      <w:spacing w:after="0" w:line="264" w:lineRule="auto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04162B"/>
    <w:pPr>
      <w:numPr>
        <w:numId w:val="11"/>
      </w:numPr>
      <w:tabs>
        <w:tab w:val="right" w:pos="7100"/>
      </w:tabs>
      <w:spacing w:after="0" w:line="264" w:lineRule="auto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162B"/>
    <w:pPr>
      <w:tabs>
        <w:tab w:val="right" w:pos="7100"/>
      </w:tabs>
      <w:spacing w:after="0" w:line="240" w:lineRule="auto"/>
      <w:jc w:val="both"/>
    </w:pPr>
    <w:rPr>
      <w:rFonts w:ascii="Consolas" w:eastAsia="Times New Roman" w:hAnsi="Consolas" w:cs="Consolas"/>
      <w:sz w:val="18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162B"/>
    <w:rPr>
      <w:rFonts w:ascii="Consolas" w:eastAsia="Times New Roman" w:hAnsi="Consolas" w:cs="Consolas"/>
      <w:sz w:val="18"/>
      <w:szCs w:val="20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162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162B"/>
    <w:rPr>
      <w:rFonts w:ascii="Arial" w:eastAsia="Times New Roman" w:hAnsi="Arial" w:cs="Times New Roman"/>
      <w:sz w:val="1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162B"/>
    <w:pPr>
      <w:tabs>
        <w:tab w:val="right" w:pos="7100"/>
      </w:tabs>
      <w:spacing w:after="120" w:line="264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162B"/>
    <w:rPr>
      <w:rFonts w:ascii="Arial" w:eastAsia="Times New Roman" w:hAnsi="Arial" w:cs="Times New Roman"/>
      <w:sz w:val="18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162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162B"/>
    <w:rPr>
      <w:rFonts w:ascii="Arial" w:eastAsia="Times New Roman" w:hAnsi="Arial" w:cs="Times New Roman"/>
      <w:sz w:val="18"/>
      <w:szCs w:val="20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04162B"/>
    <w:pPr>
      <w:numPr>
        <w:numId w:val="12"/>
      </w:numPr>
      <w:tabs>
        <w:tab w:val="right" w:pos="7100"/>
      </w:tabs>
      <w:spacing w:after="0" w:line="264" w:lineRule="auto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04162B"/>
    <w:pPr>
      <w:numPr>
        <w:numId w:val="13"/>
      </w:numPr>
      <w:tabs>
        <w:tab w:val="right" w:pos="7100"/>
      </w:tabs>
      <w:spacing w:after="0" w:line="264" w:lineRule="auto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04162B"/>
    <w:pPr>
      <w:numPr>
        <w:numId w:val="14"/>
      </w:numPr>
      <w:tabs>
        <w:tab w:val="right" w:pos="7100"/>
      </w:tabs>
      <w:spacing w:after="0" w:line="264" w:lineRule="auto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04162B"/>
    <w:pPr>
      <w:numPr>
        <w:numId w:val="15"/>
      </w:numPr>
      <w:tabs>
        <w:tab w:val="right" w:pos="7100"/>
      </w:tabs>
      <w:spacing w:after="0" w:line="264" w:lineRule="auto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04162B"/>
    <w:pPr>
      <w:numPr>
        <w:numId w:val="16"/>
      </w:numPr>
      <w:tabs>
        <w:tab w:val="right" w:pos="7100"/>
      </w:tabs>
      <w:spacing w:after="0" w:line="264" w:lineRule="auto"/>
      <w:contextualSpacing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162B"/>
    <w:pPr>
      <w:tabs>
        <w:tab w:val="right" w:pos="7100"/>
      </w:tabs>
      <w:spacing w:after="120" w:line="48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162B"/>
    <w:rPr>
      <w:rFonts w:ascii="Arial" w:eastAsia="Times New Roman" w:hAnsi="Arial" w:cs="Times New Roman"/>
      <w:sz w:val="18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162B"/>
    <w:pPr>
      <w:tabs>
        <w:tab w:val="right" w:pos="7100"/>
      </w:tabs>
      <w:spacing w:after="120" w:line="264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162B"/>
    <w:rPr>
      <w:rFonts w:ascii="Arial" w:eastAsia="Times New Roman" w:hAnsi="Arial" w:cs="Times New Roman"/>
      <w:sz w:val="16"/>
      <w:szCs w:val="16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4162B"/>
    <w:pPr>
      <w:tabs>
        <w:tab w:val="right" w:pos="7100"/>
      </w:tabs>
      <w:spacing w:after="0" w:line="264" w:lineRule="auto"/>
      <w:ind w:left="72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4162B"/>
    <w:pPr>
      <w:tabs>
        <w:tab w:val="right" w:pos="7100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62B"/>
    <w:rPr>
      <w:rFonts w:ascii="Arial" w:eastAsia="Times New Roman" w:hAnsi="Arial" w:cs="Times New Roman"/>
      <w:sz w:val="18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62B"/>
    <w:rPr>
      <w:rFonts w:ascii="Arial" w:eastAsia="Times New Roman" w:hAnsi="Arial" w:cs="Times New Roman"/>
      <w:b/>
      <w:bCs/>
      <w:sz w:val="18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162B"/>
    <w:pPr>
      <w:tabs>
        <w:tab w:val="right" w:pos="7100"/>
      </w:tabs>
      <w:spacing w:after="100" w:line="264" w:lineRule="auto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4162B"/>
    <w:pPr>
      <w:tabs>
        <w:tab w:val="right" w:pos="7100"/>
      </w:tabs>
      <w:spacing w:after="100" w:line="264" w:lineRule="auto"/>
      <w:ind w:left="22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4162B"/>
    <w:pPr>
      <w:tabs>
        <w:tab w:val="right" w:pos="7100"/>
      </w:tabs>
      <w:spacing w:after="100" w:line="264" w:lineRule="auto"/>
      <w:ind w:left="44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4162B"/>
    <w:pPr>
      <w:tabs>
        <w:tab w:val="right" w:pos="7100"/>
      </w:tabs>
      <w:spacing w:after="100" w:line="264" w:lineRule="auto"/>
      <w:ind w:left="66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4162B"/>
    <w:pPr>
      <w:tabs>
        <w:tab w:val="right" w:pos="7100"/>
      </w:tabs>
      <w:spacing w:after="100" w:line="264" w:lineRule="auto"/>
      <w:ind w:left="88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4162B"/>
    <w:pPr>
      <w:tabs>
        <w:tab w:val="right" w:pos="7100"/>
      </w:tabs>
      <w:spacing w:after="100" w:line="264" w:lineRule="auto"/>
      <w:ind w:left="110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4162B"/>
    <w:pPr>
      <w:tabs>
        <w:tab w:val="right" w:pos="7100"/>
      </w:tabs>
      <w:spacing w:after="100" w:line="264" w:lineRule="auto"/>
      <w:ind w:left="132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4162B"/>
    <w:pPr>
      <w:tabs>
        <w:tab w:val="right" w:pos="7100"/>
      </w:tabs>
      <w:spacing w:after="100" w:line="264" w:lineRule="auto"/>
      <w:ind w:left="154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4162B"/>
    <w:pPr>
      <w:tabs>
        <w:tab w:val="right" w:pos="7100"/>
      </w:tabs>
      <w:spacing w:after="100" w:line="264" w:lineRule="auto"/>
      <w:ind w:left="1760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BlockText">
    <w:name w:val="Block Text"/>
    <w:basedOn w:val="Normal"/>
    <w:uiPriority w:val="99"/>
    <w:semiHidden/>
    <w:unhideWhenUsed/>
    <w:rsid w:val="0004162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tabs>
        <w:tab w:val="right" w:pos="7100"/>
      </w:tabs>
      <w:spacing w:after="0" w:line="264" w:lineRule="auto"/>
      <w:ind w:left="1152" w:right="1152"/>
      <w:jc w:val="both"/>
    </w:pPr>
    <w:rPr>
      <w:rFonts w:ascii="Arial" w:hAnsi="Arial" w:cs="Times New Roman"/>
      <w:i/>
      <w:iCs/>
      <w:color w:val="5B9BD5" w:themeColor="accent1"/>
      <w:sz w:val="18"/>
      <w:szCs w:val="20"/>
      <w:lang w:eastAsia="en-US"/>
    </w:rPr>
  </w:style>
  <w:style w:type="paragraph" w:styleId="MacroText">
    <w:name w:val="macro"/>
    <w:link w:val="MacroTextChar"/>
    <w:uiPriority w:val="99"/>
    <w:semiHidden/>
    <w:unhideWhenUsed/>
    <w:rsid w:val="000416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Theme="minorHAnsi" w:hAnsi="Consolas" w:cs="Consolas"/>
      <w:sz w:val="20"/>
      <w:szCs w:val="20"/>
      <w:lang w:val="it-IT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162B"/>
    <w:rPr>
      <w:rFonts w:ascii="Consolas" w:eastAsiaTheme="minorHAnsi" w:hAnsi="Consolas" w:cs="Consolas"/>
      <w:sz w:val="20"/>
      <w:szCs w:val="20"/>
      <w:lang w:val="it-IT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162B"/>
    <w:pPr>
      <w:tabs>
        <w:tab w:val="right" w:pos="7100"/>
      </w:tabs>
      <w:spacing w:after="0" w:line="240" w:lineRule="auto"/>
      <w:jc w:val="both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62B"/>
    <w:rPr>
      <w:rFonts w:ascii="Consolas" w:eastAsia="Times New Roman" w:hAnsi="Consolas" w:cs="Consolas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62B"/>
    <w:pPr>
      <w:tabs>
        <w:tab w:val="right" w:pos="7100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62B"/>
    <w:rPr>
      <w:rFonts w:ascii="Arial" w:eastAsia="Times New Roman" w:hAnsi="Arial" w:cs="Times New Roman"/>
      <w:sz w:val="18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162B"/>
    <w:pPr>
      <w:tabs>
        <w:tab w:val="right" w:pos="7100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162B"/>
    <w:rPr>
      <w:rFonts w:ascii="Arial" w:eastAsia="Times New Roman" w:hAnsi="Arial" w:cs="Times New Roman"/>
      <w:sz w:val="18"/>
      <w:szCs w:val="20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4162B"/>
    <w:pPr>
      <w:tabs>
        <w:tab w:val="right" w:pos="7100"/>
      </w:tabs>
      <w:spacing w:after="0" w:line="264" w:lineRule="auto"/>
      <w:jc w:val="both"/>
    </w:pPr>
    <w:rPr>
      <w:rFonts w:asciiTheme="majorHAnsi" w:eastAsiaTheme="majorEastAsia" w:hAnsiTheme="majorHAnsi" w:cstheme="majorBidi"/>
      <w:b/>
      <w:bCs/>
      <w:sz w:val="18"/>
      <w:szCs w:val="20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04162B"/>
    <w:pPr>
      <w:tabs>
        <w:tab w:val="right" w:pos="7100"/>
      </w:tabs>
      <w:spacing w:before="120" w:after="0" w:line="264" w:lineRule="auto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62B"/>
    <w:pPr>
      <w:outlineLvl w:val="9"/>
    </w:pPr>
  </w:style>
  <w:style w:type="paragraph" w:customStyle="1" w:styleId="CETemail">
    <w:name w:val="CET email"/>
    <w:next w:val="CETBodytext"/>
    <w:rsid w:val="0004162B"/>
    <w:pPr>
      <w:spacing w:after="240" w:line="276" w:lineRule="auto"/>
    </w:pPr>
    <w:rPr>
      <w:rFonts w:ascii="Arial" w:eastAsia="Times New Roman" w:hAnsi="Arial" w:cs="Times New Roman"/>
      <w:noProof/>
      <w:sz w:val="16"/>
      <w:szCs w:val="20"/>
      <w:lang w:eastAsia="en-US"/>
    </w:rPr>
  </w:style>
  <w:style w:type="character" w:customStyle="1" w:styleId="CETAddressCarattere">
    <w:name w:val="CET Address Carattere"/>
    <w:basedOn w:val="DefaultParagraphFont"/>
    <w:link w:val="CETAddress"/>
    <w:rsid w:val="0004162B"/>
    <w:rPr>
      <w:rFonts w:ascii="Arial" w:eastAsia="Times New Roman" w:hAnsi="Arial" w:cs="Times New Roman"/>
      <w:noProof/>
      <w:sz w:val="16"/>
      <w:szCs w:val="20"/>
      <w:lang w:eastAsia="en-US"/>
    </w:rPr>
  </w:style>
  <w:style w:type="paragraph" w:customStyle="1" w:styleId="CETBodytextBold">
    <w:name w:val="CET Body text (Bold)"/>
    <w:basedOn w:val="CETBodytext"/>
    <w:rsid w:val="0004162B"/>
    <w:rPr>
      <w:b/>
    </w:rPr>
  </w:style>
  <w:style w:type="paragraph" w:customStyle="1" w:styleId="CETnumberingbullets">
    <w:name w:val="CET numbering (bullets)"/>
    <w:rsid w:val="0004162B"/>
    <w:pPr>
      <w:numPr>
        <w:numId w:val="18"/>
      </w:numPr>
      <w:spacing w:after="0" w:line="264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CETnumbering1">
    <w:name w:val="CET numbering (1"/>
    <w:aliases w:val="2..)"/>
    <w:rsid w:val="0004162B"/>
    <w:pPr>
      <w:numPr>
        <w:numId w:val="19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 w:eastAsia="en-US"/>
    </w:rPr>
  </w:style>
  <w:style w:type="paragraph" w:customStyle="1" w:styleId="CETnumberinga">
    <w:name w:val="CET numbering (a"/>
    <w:aliases w:val="b,..)"/>
    <w:rsid w:val="0004162B"/>
    <w:pPr>
      <w:numPr>
        <w:numId w:val="20"/>
      </w:numPr>
      <w:spacing w:after="0" w:line="264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162B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162B"/>
    <w:rPr>
      <w:rFonts w:ascii="Arial" w:eastAsia="Times New Roman" w:hAnsi="Arial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162B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162B"/>
    <w:rPr>
      <w:rFonts w:ascii="Arial" w:eastAsia="Times New Roman" w:hAnsi="Arial" w:cs="Times New Roman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4162B"/>
    <w:rPr>
      <w:color w:val="0563C1" w:themeColor="hyperlink"/>
      <w:u w:val="single"/>
    </w:rPr>
  </w:style>
  <w:style w:type="character" w:customStyle="1" w:styleId="eudoraheader">
    <w:name w:val="eudoraheader"/>
    <w:basedOn w:val="DefaultParagraphFont"/>
    <w:rsid w:val="0004162B"/>
  </w:style>
  <w:style w:type="paragraph" w:customStyle="1" w:styleId="CETListbullets">
    <w:name w:val="CET List bullets"/>
    <w:qFormat/>
    <w:rsid w:val="0004162B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CETReferencetext">
    <w:name w:val="CET Reference text"/>
    <w:qFormat/>
    <w:rsid w:val="0004162B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CETTabletitle">
    <w:name w:val="CET Table title"/>
    <w:qFormat/>
    <w:rsid w:val="0004162B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eastAsia="en-US"/>
    </w:rPr>
  </w:style>
  <w:style w:type="paragraph" w:customStyle="1" w:styleId="CETAcknowledgementstitle">
    <w:name w:val="CET Acknowledgements title"/>
    <w:next w:val="CETBodytext"/>
    <w:qFormat/>
    <w:rsid w:val="0004162B"/>
    <w:pPr>
      <w:spacing w:before="200" w:after="120" w:line="276" w:lineRule="auto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CETEquation">
    <w:name w:val="CET Equation"/>
    <w:basedOn w:val="CETBodytext"/>
    <w:next w:val="CETBodytext"/>
    <w:qFormat/>
    <w:rsid w:val="0004162B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4162B"/>
  </w:style>
  <w:style w:type="character" w:customStyle="1" w:styleId="CETHeadingxxChar">
    <w:name w:val="CET Headingxx Char"/>
    <w:basedOn w:val="CETheadingxCarattere"/>
    <w:link w:val="CETHeadingxx"/>
    <w:rsid w:val="0004162B"/>
    <w:rPr>
      <w:rFonts w:ascii="Arial" w:eastAsia="Times New Roman" w:hAnsi="Arial" w:cs="Times New Roman"/>
      <w:sz w:val="18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04162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4162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4162B"/>
    <w:rPr>
      <w:color w:val="954F72"/>
      <w:u w:val="single"/>
    </w:rPr>
  </w:style>
  <w:style w:type="paragraph" w:customStyle="1" w:styleId="msonormal0">
    <w:name w:val="msonormal"/>
    <w:basedOn w:val="Normal"/>
    <w:rsid w:val="0004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416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4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4162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4162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4</cp:revision>
  <dcterms:created xsi:type="dcterms:W3CDTF">2021-04-21T19:37:00Z</dcterms:created>
  <dcterms:modified xsi:type="dcterms:W3CDTF">2021-04-21T19:54:00Z</dcterms:modified>
</cp:coreProperties>
</file>