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A7CB7" w14:textId="77777777" w:rsidR="00F5080F" w:rsidRPr="003637CA" w:rsidRDefault="00F5080F" w:rsidP="00F5080F">
      <w:pPr>
        <w:spacing w:line="480" w:lineRule="auto"/>
        <w:rPr>
          <w:rFonts w:ascii="Times New Roman" w:hAnsi="Times New Roman"/>
          <w:b/>
          <w:bCs/>
          <w:sz w:val="24"/>
          <w:szCs w:val="24"/>
        </w:rPr>
      </w:pPr>
      <w:bookmarkStart w:id="0" w:name="_GoBack"/>
      <w:bookmarkEnd w:id="0"/>
      <w:r w:rsidRPr="003637CA">
        <w:rPr>
          <w:rFonts w:ascii="Times New Roman" w:hAnsi="Times New Roman"/>
          <w:b/>
          <w:bCs/>
          <w:sz w:val="24"/>
          <w:szCs w:val="24"/>
        </w:rPr>
        <w:t>Supplementary Material</w:t>
      </w:r>
    </w:p>
    <w:p w14:paraId="3BFF2883" w14:textId="77777777" w:rsidR="00F5080F" w:rsidRPr="003637CA" w:rsidRDefault="00F5080F" w:rsidP="00F5080F">
      <w:pPr>
        <w:spacing w:after="0" w:line="480" w:lineRule="auto"/>
        <w:ind w:firstLine="720"/>
        <w:jc w:val="both"/>
        <w:rPr>
          <w:rFonts w:ascii="Times New Roman" w:hAnsi="Times New Roman"/>
          <w:bCs/>
          <w:sz w:val="24"/>
          <w:szCs w:val="24"/>
        </w:rPr>
      </w:pPr>
      <w:bookmarkStart w:id="1" w:name="_Hlk80706666"/>
      <w:r w:rsidRPr="003637CA">
        <w:rPr>
          <w:rFonts w:ascii="Times New Roman" w:hAnsi="Times New Roman"/>
          <w:bCs/>
          <w:sz w:val="24"/>
          <w:szCs w:val="24"/>
        </w:rPr>
        <w:t>The test substance, NiCl</w:t>
      </w:r>
      <w:r w:rsidRPr="003637CA">
        <w:rPr>
          <w:rFonts w:ascii="Times New Roman" w:hAnsi="Times New Roman"/>
          <w:bCs/>
          <w:sz w:val="24"/>
          <w:szCs w:val="24"/>
          <w:vertAlign w:val="subscript"/>
        </w:rPr>
        <w:t>2</w:t>
      </w:r>
      <w:r w:rsidRPr="003637CA">
        <w:rPr>
          <w:rFonts w:ascii="Times New Roman" w:hAnsi="Times New Roman"/>
          <w:bCs/>
          <w:sz w:val="24"/>
          <w:szCs w:val="24"/>
        </w:rPr>
        <w:t>.6H</w:t>
      </w:r>
      <w:r w:rsidRPr="003637CA">
        <w:rPr>
          <w:rFonts w:ascii="Times New Roman" w:hAnsi="Times New Roman"/>
          <w:bCs/>
          <w:sz w:val="24"/>
          <w:szCs w:val="24"/>
          <w:vertAlign w:val="subscript"/>
        </w:rPr>
        <w:t>2</w:t>
      </w:r>
      <w:r w:rsidRPr="003637CA">
        <w:rPr>
          <w:rFonts w:ascii="Times New Roman" w:hAnsi="Times New Roman"/>
          <w:bCs/>
          <w:sz w:val="24"/>
          <w:szCs w:val="24"/>
        </w:rPr>
        <w:t>O, caused a dose-related decrease in spleen cells, reaching statistical significance at the highest exposure dose of 81 µg Ni/m</w:t>
      </w:r>
      <w:r w:rsidRPr="003637CA">
        <w:rPr>
          <w:rFonts w:ascii="Times New Roman" w:hAnsi="Times New Roman"/>
          <w:bCs/>
          <w:sz w:val="24"/>
          <w:szCs w:val="24"/>
          <w:vertAlign w:val="superscript"/>
        </w:rPr>
        <w:t>3</w:t>
      </w:r>
      <w:r w:rsidRPr="003637CA">
        <w:rPr>
          <w:rFonts w:ascii="Times New Roman" w:hAnsi="Times New Roman"/>
          <w:bCs/>
          <w:sz w:val="24"/>
          <w:szCs w:val="24"/>
        </w:rPr>
        <w:t>. This decrease was not associated with a concomitant decrease in the measures of Specific Activity. Spleen cell counts by themselves are not considered relevant measures of immunotoxicity in this assay, so we do not consider the decrease in spleen cells by itself a measure of immunosuppression. However, if this was to be taken as an adverse outcome due to the test substance, then the NOAEC will be the Group 3 dose, 44 µg Ni/m</w:t>
      </w:r>
      <w:r w:rsidRPr="003637CA">
        <w:rPr>
          <w:rFonts w:ascii="Times New Roman" w:hAnsi="Times New Roman"/>
          <w:bCs/>
          <w:sz w:val="24"/>
          <w:szCs w:val="24"/>
          <w:vertAlign w:val="superscript"/>
        </w:rPr>
        <w:t>3</w:t>
      </w:r>
      <w:r w:rsidRPr="003637CA">
        <w:rPr>
          <w:rFonts w:ascii="Times New Roman" w:hAnsi="Times New Roman"/>
          <w:bCs/>
          <w:sz w:val="24"/>
          <w:szCs w:val="24"/>
        </w:rPr>
        <w:t>.</w:t>
      </w:r>
    </w:p>
    <w:p w14:paraId="46C1EDA0" w14:textId="77777777" w:rsidR="00F5080F" w:rsidRPr="003637CA" w:rsidRDefault="00F5080F" w:rsidP="00F5080F">
      <w:pPr>
        <w:spacing w:after="0" w:line="480" w:lineRule="auto"/>
        <w:ind w:firstLine="720"/>
        <w:jc w:val="both"/>
        <w:rPr>
          <w:rFonts w:ascii="Times New Roman" w:hAnsi="Times New Roman"/>
          <w:bCs/>
          <w:sz w:val="24"/>
          <w:szCs w:val="24"/>
        </w:rPr>
      </w:pPr>
      <w:r w:rsidRPr="003637CA">
        <w:rPr>
          <w:rFonts w:ascii="Times New Roman" w:hAnsi="Times New Roman"/>
          <w:bCs/>
          <w:sz w:val="24"/>
          <w:szCs w:val="24"/>
        </w:rPr>
        <w:t>Whilst the cumulative uncertainty factor applied by CalEPA in calculating the 1-hr reference exposure limit from Graham et al. (1978) was 1000, the POD used was BMDL. Using the NOAEC (44 µg Ni/m</w:t>
      </w:r>
      <w:r w:rsidRPr="003637CA">
        <w:rPr>
          <w:rFonts w:ascii="Times New Roman" w:hAnsi="Times New Roman"/>
          <w:bCs/>
          <w:sz w:val="24"/>
          <w:szCs w:val="24"/>
          <w:vertAlign w:val="superscript"/>
        </w:rPr>
        <w:t>3</w:t>
      </w:r>
      <w:r w:rsidRPr="003637CA">
        <w:rPr>
          <w:rFonts w:ascii="Times New Roman" w:hAnsi="Times New Roman"/>
          <w:bCs/>
          <w:sz w:val="24"/>
          <w:szCs w:val="24"/>
        </w:rPr>
        <w:t>) as a POD and applying a lower cumulative uncertainty factor of 300, a 24-hr reference exposure standard would be as follows:</w:t>
      </w:r>
    </w:p>
    <w:p w14:paraId="18C5EA45" w14:textId="77777777" w:rsidR="00F5080F" w:rsidRPr="003637CA" w:rsidRDefault="00F5080F" w:rsidP="00F5080F">
      <w:pPr>
        <w:spacing w:after="0" w:line="480" w:lineRule="auto"/>
        <w:ind w:firstLine="360"/>
        <w:jc w:val="center"/>
        <w:rPr>
          <w:rFonts w:ascii="Times New Roman" w:hAnsi="Times New Roman"/>
          <w:b/>
          <w:bCs/>
          <w:sz w:val="24"/>
          <w:szCs w:val="24"/>
        </w:rPr>
      </w:pPr>
      <w:r w:rsidRPr="003637CA">
        <w:rPr>
          <w:rFonts w:ascii="Times New Roman" w:hAnsi="Times New Roman"/>
          <w:sz w:val="24"/>
          <w:szCs w:val="24"/>
        </w:rPr>
        <w:t>(44 µg Ni/m</w:t>
      </w:r>
      <w:r w:rsidRPr="003637CA">
        <w:rPr>
          <w:rFonts w:ascii="Times New Roman" w:hAnsi="Times New Roman"/>
          <w:sz w:val="24"/>
          <w:szCs w:val="24"/>
          <w:vertAlign w:val="superscript"/>
        </w:rPr>
        <w:t>3</w:t>
      </w:r>
      <w:r w:rsidRPr="003637CA">
        <w:rPr>
          <w:rFonts w:ascii="Times New Roman" w:hAnsi="Times New Roman"/>
          <w:sz w:val="24"/>
          <w:szCs w:val="24"/>
        </w:rPr>
        <w:t>)/300</w:t>
      </w:r>
      <w:r w:rsidRPr="003637CA">
        <w:rPr>
          <w:rFonts w:ascii="Times New Roman" w:hAnsi="Times New Roman"/>
          <w:sz w:val="24"/>
          <w:szCs w:val="24"/>
          <w:vertAlign w:val="superscript"/>
        </w:rPr>
        <w:t xml:space="preserve">   </w:t>
      </w:r>
      <w:r w:rsidRPr="003637CA">
        <w:rPr>
          <w:rFonts w:ascii="Times New Roman" w:hAnsi="Times New Roman"/>
          <w:sz w:val="24"/>
          <w:szCs w:val="24"/>
        </w:rPr>
        <w:t xml:space="preserve">= </w:t>
      </w:r>
      <w:r w:rsidRPr="003637CA">
        <w:rPr>
          <w:rFonts w:ascii="Times New Roman" w:hAnsi="Times New Roman"/>
          <w:b/>
          <w:bCs/>
          <w:sz w:val="24"/>
          <w:szCs w:val="24"/>
        </w:rPr>
        <w:t>0.15 µg Ni/m</w:t>
      </w:r>
      <w:r w:rsidRPr="003637CA">
        <w:rPr>
          <w:rFonts w:ascii="Times New Roman" w:hAnsi="Times New Roman"/>
          <w:b/>
          <w:bCs/>
          <w:sz w:val="24"/>
          <w:szCs w:val="24"/>
          <w:vertAlign w:val="superscript"/>
        </w:rPr>
        <w:t>3</w:t>
      </w:r>
    </w:p>
    <w:p w14:paraId="7BB9160E" w14:textId="77777777" w:rsidR="00F5080F" w:rsidRPr="003637CA" w:rsidRDefault="00F5080F" w:rsidP="00F5080F">
      <w:pPr>
        <w:spacing w:after="0" w:line="480" w:lineRule="auto"/>
        <w:rPr>
          <w:rFonts w:ascii="Times New Roman" w:hAnsi="Times New Roman"/>
          <w:bCs/>
          <w:sz w:val="24"/>
          <w:szCs w:val="24"/>
        </w:rPr>
      </w:pPr>
      <w:r w:rsidRPr="003637CA">
        <w:rPr>
          <w:rFonts w:ascii="Times New Roman" w:hAnsi="Times New Roman"/>
          <w:bCs/>
          <w:sz w:val="24"/>
          <w:szCs w:val="24"/>
        </w:rPr>
        <w:t>This ambient standard value corresponds to PM</w:t>
      </w:r>
      <w:r w:rsidRPr="003637CA">
        <w:rPr>
          <w:rFonts w:ascii="Times New Roman" w:hAnsi="Times New Roman"/>
          <w:bCs/>
          <w:sz w:val="24"/>
          <w:szCs w:val="24"/>
          <w:vertAlign w:val="subscript"/>
        </w:rPr>
        <w:t>10</w:t>
      </w:r>
      <w:r w:rsidRPr="003637CA">
        <w:rPr>
          <w:rFonts w:ascii="Times New Roman" w:hAnsi="Times New Roman"/>
          <w:bCs/>
          <w:sz w:val="24"/>
          <w:szCs w:val="24"/>
        </w:rPr>
        <w:t xml:space="preserve"> based on the particle size distribution of the Ni aerosol in this study.</w:t>
      </w:r>
    </w:p>
    <w:p w14:paraId="069011BF" w14:textId="77777777" w:rsidR="00F5080F" w:rsidRPr="003637CA" w:rsidRDefault="00F5080F" w:rsidP="00F5080F">
      <w:pPr>
        <w:spacing w:after="0" w:line="480" w:lineRule="auto"/>
        <w:ind w:firstLine="720"/>
        <w:jc w:val="both"/>
        <w:rPr>
          <w:rFonts w:ascii="Times New Roman" w:hAnsi="Times New Roman"/>
          <w:bCs/>
          <w:sz w:val="24"/>
          <w:szCs w:val="24"/>
        </w:rPr>
      </w:pPr>
      <w:r w:rsidRPr="003637CA">
        <w:rPr>
          <w:rFonts w:ascii="Times New Roman" w:hAnsi="Times New Roman"/>
          <w:bCs/>
          <w:sz w:val="24"/>
          <w:szCs w:val="24"/>
        </w:rPr>
        <w:t xml:space="preserve">An alternative approach is to calculate the HEC by applying </w:t>
      </w:r>
      <w:proofErr w:type="spellStart"/>
      <w:r w:rsidRPr="003637CA">
        <w:rPr>
          <w:rFonts w:ascii="Times New Roman" w:hAnsi="Times New Roman"/>
          <w:bCs/>
          <w:sz w:val="24"/>
          <w:szCs w:val="24"/>
        </w:rPr>
        <w:t>dosimetric</w:t>
      </w:r>
      <w:proofErr w:type="spellEnd"/>
      <w:r w:rsidRPr="003637CA">
        <w:rPr>
          <w:rFonts w:ascii="Times New Roman" w:hAnsi="Times New Roman"/>
          <w:bCs/>
          <w:sz w:val="24"/>
          <w:szCs w:val="24"/>
        </w:rPr>
        <w:t xml:space="preserve"> adjustments from animal-to-human to the POD. Using the TCEQ RDDR for particulate matter of 4.423 to the POD, a HEC of 195 µg Ni/m</w:t>
      </w:r>
      <w:r w:rsidRPr="003637CA">
        <w:rPr>
          <w:rFonts w:ascii="Times New Roman" w:hAnsi="Times New Roman"/>
          <w:bCs/>
          <w:sz w:val="24"/>
          <w:szCs w:val="24"/>
          <w:vertAlign w:val="superscript"/>
        </w:rPr>
        <w:t>3</w:t>
      </w:r>
      <w:r w:rsidRPr="003637CA">
        <w:rPr>
          <w:rFonts w:ascii="Times New Roman" w:hAnsi="Times New Roman"/>
          <w:bCs/>
          <w:sz w:val="24"/>
          <w:szCs w:val="24"/>
        </w:rPr>
        <w:t xml:space="preserve"> was calculated (</w:t>
      </w:r>
      <w:proofErr w:type="spellStart"/>
      <w:r w:rsidRPr="003637CA">
        <w:rPr>
          <w:rFonts w:ascii="Times New Roman" w:hAnsi="Times New Roman"/>
          <w:bCs/>
          <w:sz w:val="24"/>
          <w:szCs w:val="24"/>
        </w:rPr>
        <w:t>ie</w:t>
      </w:r>
      <w:proofErr w:type="spellEnd"/>
      <w:r w:rsidRPr="003637CA">
        <w:rPr>
          <w:rFonts w:ascii="Times New Roman" w:hAnsi="Times New Roman"/>
          <w:bCs/>
          <w:sz w:val="24"/>
          <w:szCs w:val="24"/>
        </w:rPr>
        <w:t>, 44 µg Ni/m</w:t>
      </w:r>
      <w:r w:rsidRPr="003637CA">
        <w:rPr>
          <w:rFonts w:ascii="Times New Roman" w:hAnsi="Times New Roman"/>
          <w:bCs/>
          <w:sz w:val="24"/>
          <w:szCs w:val="24"/>
          <w:vertAlign w:val="superscript"/>
        </w:rPr>
        <w:t>3</w:t>
      </w:r>
      <w:r w:rsidRPr="003637CA">
        <w:rPr>
          <w:rFonts w:ascii="Times New Roman" w:hAnsi="Times New Roman"/>
          <w:bCs/>
          <w:sz w:val="24"/>
          <w:szCs w:val="24"/>
        </w:rPr>
        <w:t xml:space="preserve"> x 4.423 = 195 µg Ni/m</w:t>
      </w:r>
      <w:r w:rsidRPr="003637CA">
        <w:rPr>
          <w:rFonts w:ascii="Times New Roman" w:hAnsi="Times New Roman"/>
          <w:bCs/>
          <w:sz w:val="24"/>
          <w:szCs w:val="24"/>
          <w:vertAlign w:val="superscript"/>
        </w:rPr>
        <w:t>3</w:t>
      </w:r>
      <w:r w:rsidRPr="003637CA">
        <w:rPr>
          <w:rFonts w:ascii="Times New Roman" w:hAnsi="Times New Roman"/>
          <w:bCs/>
          <w:sz w:val="24"/>
          <w:szCs w:val="24"/>
        </w:rPr>
        <w:t>). Using this HEC as a POD and applying the TCEQ total uncertainty factor of 100, a 24-hr reference exposure standard would be as follows:</w:t>
      </w:r>
    </w:p>
    <w:p w14:paraId="60058D33" w14:textId="77777777" w:rsidR="00F5080F" w:rsidRPr="003637CA" w:rsidRDefault="00F5080F" w:rsidP="00F5080F">
      <w:pPr>
        <w:spacing w:after="0" w:line="480" w:lineRule="auto"/>
        <w:ind w:firstLine="360"/>
        <w:jc w:val="center"/>
        <w:rPr>
          <w:rFonts w:ascii="Times New Roman" w:hAnsi="Times New Roman"/>
          <w:b/>
          <w:bCs/>
          <w:sz w:val="24"/>
          <w:szCs w:val="24"/>
          <w:vertAlign w:val="superscript"/>
        </w:rPr>
      </w:pPr>
      <w:r w:rsidRPr="003637CA">
        <w:rPr>
          <w:rFonts w:ascii="Times New Roman" w:hAnsi="Times New Roman"/>
          <w:sz w:val="24"/>
          <w:szCs w:val="24"/>
        </w:rPr>
        <w:t>(196 µg Ni/m</w:t>
      </w:r>
      <w:r w:rsidRPr="003637CA">
        <w:rPr>
          <w:rFonts w:ascii="Times New Roman" w:hAnsi="Times New Roman"/>
          <w:sz w:val="24"/>
          <w:szCs w:val="24"/>
          <w:vertAlign w:val="superscript"/>
        </w:rPr>
        <w:t>3</w:t>
      </w:r>
      <w:r w:rsidRPr="003637CA">
        <w:rPr>
          <w:rFonts w:ascii="Times New Roman" w:hAnsi="Times New Roman"/>
          <w:sz w:val="24"/>
          <w:szCs w:val="24"/>
        </w:rPr>
        <w:t>)/100</w:t>
      </w:r>
      <w:r w:rsidRPr="003637CA">
        <w:rPr>
          <w:rFonts w:ascii="Times New Roman" w:hAnsi="Times New Roman"/>
          <w:sz w:val="24"/>
          <w:szCs w:val="24"/>
          <w:vertAlign w:val="superscript"/>
        </w:rPr>
        <w:t xml:space="preserve">   </w:t>
      </w:r>
      <w:r w:rsidRPr="003637CA">
        <w:rPr>
          <w:rFonts w:ascii="Times New Roman" w:hAnsi="Times New Roman"/>
          <w:sz w:val="24"/>
          <w:szCs w:val="24"/>
        </w:rPr>
        <w:t xml:space="preserve">= </w:t>
      </w:r>
      <w:r w:rsidRPr="003637CA">
        <w:rPr>
          <w:rFonts w:ascii="Times New Roman" w:hAnsi="Times New Roman"/>
          <w:b/>
          <w:bCs/>
          <w:sz w:val="24"/>
          <w:szCs w:val="24"/>
        </w:rPr>
        <w:t>1.96 µg Ni/m</w:t>
      </w:r>
      <w:r w:rsidRPr="003637CA">
        <w:rPr>
          <w:rFonts w:ascii="Times New Roman" w:hAnsi="Times New Roman"/>
          <w:b/>
          <w:bCs/>
          <w:sz w:val="24"/>
          <w:szCs w:val="24"/>
          <w:vertAlign w:val="superscript"/>
        </w:rPr>
        <w:t>3</w:t>
      </w:r>
      <w:bookmarkEnd w:id="1"/>
    </w:p>
    <w:p w14:paraId="26E90553" w14:textId="77777777" w:rsidR="00F806DE" w:rsidRDefault="00F806DE"/>
    <w:sectPr w:rsidR="00F80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80F"/>
    <w:rsid w:val="008375F9"/>
    <w:rsid w:val="00F5080F"/>
    <w:rsid w:val="00F80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7B44"/>
  <w15:chartTrackingRefBased/>
  <w15:docId w15:val="{21FAA4B0-A8B2-4E85-B264-726FB099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8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Buxton</dc:creator>
  <cp:keywords/>
  <dc:description/>
  <cp:lastModifiedBy>Yatheesh Mohan</cp:lastModifiedBy>
  <cp:revision>2</cp:revision>
  <dcterms:created xsi:type="dcterms:W3CDTF">2021-10-11T19:10:00Z</dcterms:created>
  <dcterms:modified xsi:type="dcterms:W3CDTF">2021-10-11T19:10:00Z</dcterms:modified>
</cp:coreProperties>
</file>