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886C" w14:textId="77777777" w:rsidR="002E26C6" w:rsidRDefault="002E26C6" w:rsidP="002E26C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Supplementary Tables</w:t>
      </w:r>
    </w:p>
    <w:p w14:paraId="16D0604B" w14:textId="77777777" w:rsidR="002E26C6" w:rsidRDefault="002E26C6" w:rsidP="002E26C6">
      <w:pPr>
        <w:pStyle w:val="Heading2"/>
        <w:rPr>
          <w:rFonts w:ascii="Times New Roman" w:eastAsia="Times New Roman" w:hAnsi="Times New Roman" w:cs="Times New Roman"/>
          <w:b/>
        </w:rPr>
      </w:pPr>
      <w:r>
        <w:rPr>
          <w:rFonts w:ascii="Times New Roman" w:eastAsia="Times New Roman" w:hAnsi="Times New Roman" w:cs="Times New Roman"/>
          <w:b/>
        </w:rPr>
        <w:t>Supplementary Table 1: ICD-10 codes</w:t>
      </w:r>
      <w:r>
        <w:rPr>
          <w:rFonts w:ascii="Times New Roman" w:eastAsia="Times New Roman" w:hAnsi="Times New Roman" w:cs="Times New Roman"/>
          <w:b/>
        </w:rPr>
        <w:br/>
      </w:r>
    </w:p>
    <w:tbl>
      <w:tblPr>
        <w:tblW w:w="960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6"/>
        <w:gridCol w:w="7510"/>
      </w:tblGrid>
      <w:tr w:rsidR="002E26C6" w14:paraId="54791B8D" w14:textId="77777777" w:rsidTr="007A4AF7">
        <w:tc>
          <w:tcPr>
            <w:tcW w:w="2096" w:type="dxa"/>
            <w:tcBorders>
              <w:top w:val="single" w:sz="4" w:space="0" w:color="000000"/>
              <w:left w:val="single" w:sz="4" w:space="0" w:color="000000"/>
              <w:bottom w:val="single" w:sz="4" w:space="0" w:color="000000"/>
              <w:right w:val="single" w:sz="4" w:space="0" w:color="000000"/>
            </w:tcBorders>
            <w:shd w:val="clear" w:color="auto" w:fill="9CC3E5"/>
          </w:tcPr>
          <w:p w14:paraId="530AD48B" w14:textId="77777777" w:rsidR="002E26C6" w:rsidRDefault="002E26C6" w:rsidP="007A4AF7">
            <w:pPr>
              <w:rPr>
                <w:rFonts w:ascii="Times New Roman" w:eastAsia="Times New Roman" w:hAnsi="Times New Roman" w:cs="Times New Roman"/>
                <w:b/>
                <w:sz w:val="24"/>
                <w:szCs w:val="24"/>
              </w:rPr>
            </w:pPr>
          </w:p>
        </w:tc>
        <w:tc>
          <w:tcPr>
            <w:tcW w:w="7510" w:type="dxa"/>
            <w:tcBorders>
              <w:top w:val="single" w:sz="4" w:space="0" w:color="000000"/>
              <w:left w:val="single" w:sz="4" w:space="0" w:color="000000"/>
              <w:bottom w:val="single" w:sz="4" w:space="0" w:color="000000"/>
              <w:right w:val="single" w:sz="4" w:space="0" w:color="000000"/>
            </w:tcBorders>
            <w:shd w:val="clear" w:color="auto" w:fill="9CC3E5"/>
          </w:tcPr>
          <w:p w14:paraId="6188B448"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ICD-10 codes</w:t>
            </w:r>
          </w:p>
        </w:tc>
      </w:tr>
      <w:tr w:rsidR="002E26C6" w14:paraId="63CE0C8D" w14:textId="77777777" w:rsidTr="007A4AF7">
        <w:tc>
          <w:tcPr>
            <w:tcW w:w="9606" w:type="dxa"/>
            <w:gridSpan w:val="2"/>
            <w:tcBorders>
              <w:top w:val="single" w:sz="4" w:space="0" w:color="000000"/>
              <w:left w:val="single" w:sz="4" w:space="0" w:color="000000"/>
              <w:bottom w:val="single" w:sz="4" w:space="0" w:color="000000"/>
              <w:right w:val="single" w:sz="4" w:space="0" w:color="000000"/>
            </w:tcBorders>
          </w:tcPr>
          <w:p w14:paraId="4522D18E"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Bleeding events</w:t>
            </w:r>
          </w:p>
        </w:tc>
      </w:tr>
      <w:tr w:rsidR="002E26C6" w14:paraId="71DBD6A8"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72C46080"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Gastrointestinal bleeding (specific search)</w:t>
            </w:r>
          </w:p>
        </w:tc>
        <w:tc>
          <w:tcPr>
            <w:tcW w:w="7510" w:type="dxa"/>
            <w:tcBorders>
              <w:top w:val="single" w:sz="4" w:space="0" w:color="000000"/>
              <w:left w:val="single" w:sz="4" w:space="0" w:color="000000"/>
              <w:bottom w:val="single" w:sz="4" w:space="0" w:color="000000"/>
              <w:right w:val="single" w:sz="4" w:space="0" w:color="000000"/>
            </w:tcBorders>
          </w:tcPr>
          <w:p w14:paraId="72B70230"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K22.1, K22.3, K22.6</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K25, K25.0, K25.1, K25.2, K25.3, K25.4, K25.5, K25.6, K25.7, K25.9, K26, K26.0, K26.1, K26.2, K26.3, K26.4, K26.5, K26.6, K26.7, K26.9, K27, K27.0, K27.1, K27.2, K27.3, K27.4, K27.5, K27.6, K27.7, K27.9,  K28, K28.0, K28.1, K28.2, K28.3, K28.4, K28.5, K28.6, K28.7, K28.9, K29.0, K55.2, K62.5, K62.6, K63.1, K63.3, K92.0, K92.1, K92.2, I85.0, I98.3</w:t>
            </w:r>
          </w:p>
        </w:tc>
      </w:tr>
      <w:tr w:rsidR="002E26C6" w14:paraId="1A8E86CB"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19C6E88A"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Gastrointestinal bleeding (sensitive search)</w:t>
            </w:r>
          </w:p>
        </w:tc>
        <w:tc>
          <w:tcPr>
            <w:tcW w:w="7510" w:type="dxa"/>
            <w:tcBorders>
              <w:top w:val="single" w:sz="4" w:space="0" w:color="000000"/>
              <w:left w:val="single" w:sz="4" w:space="0" w:color="000000"/>
              <w:bottom w:val="single" w:sz="4" w:space="0" w:color="000000"/>
              <w:right w:val="single" w:sz="4" w:space="0" w:color="000000"/>
            </w:tcBorders>
          </w:tcPr>
          <w:p w14:paraId="7ED3B332"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C15, C15.3, C15.4, C15.5, C15.8, C15.9, C16, C16.0, C16.1, C16.2, C16.3, C16.4, C16.5, C16.6, C16.8, C16.9, C17, C17.0, C17.1, C17.2, C17.3, C17.8, C17.9,  C18, C18.0, C18.1, C18.2, C18.3, C18.4, C18.5, C18.6, C18.7, C18.8, C18.9, C19, C20, C21, C21.0, C21.1, C21.2, C21.8, D37.1, D37.2, D37.3, D37.4, D37.5, I85, I85.0, I85.1, I98.3, K29, K29.2, K29.3, K29.4, K29.5, K29.6, K29.7, K29.8, K29.9, K50, K50.0, K50.1, K50.8, K50.9, K51, K51.0, K51.2, K51.3, K51.4, K51.5, K51.8, K51.9, K55.0, K55.1, K55.8 K55.9, K57.1, K57.3, K57.5, K57.9, K22.1, K22.3, K22.6, K25, K25.0, K25.1, K25.2, K25.3, K25.4, K25.5, K25.6, K25.7, K25.9, K26, K26.0, K26.1, K26.2, K26.3, K26.4, K26.5, K26.6, K26.7, K26.9, K27, K27.0, K27.1, K27.2, K27.3, K27.4, K27.5, K27.6, K27.7, K27.9,  K28, K28.0, K28.1, K28.2, K28.3, K28.4, K28.5, K28.6, K28.7, K28.9, K29.0, K55.2, K62.5, K62.6, K63.1, K63.3, K92.0, K92.1, K92.2</w:t>
            </w:r>
          </w:p>
        </w:tc>
      </w:tr>
      <w:tr w:rsidR="002E26C6" w14:paraId="22D80E12"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68D5D683"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Non-traumatic intracranial hemorrhage</w:t>
            </w:r>
          </w:p>
        </w:tc>
        <w:tc>
          <w:tcPr>
            <w:tcW w:w="7510" w:type="dxa"/>
            <w:tcBorders>
              <w:top w:val="single" w:sz="4" w:space="0" w:color="000000"/>
              <w:left w:val="single" w:sz="4" w:space="0" w:color="000000"/>
              <w:bottom w:val="single" w:sz="4" w:space="0" w:color="000000"/>
              <w:right w:val="single" w:sz="4" w:space="0" w:color="000000"/>
            </w:tcBorders>
          </w:tcPr>
          <w:p w14:paraId="6E934557"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I60, I60.0, I60.1, I60.2, I60.3, I60.4, I60.5, I60.6, I60.7, I60.8, I60.9, I61, I61.0, I61.0, I61.1, I61.2, I61.3, I61.4, I61.5, I61.6, I61.7, I61.8, I61.9, I62, I62.0, I62.1, I62.9</w:t>
            </w:r>
          </w:p>
        </w:tc>
      </w:tr>
      <w:tr w:rsidR="002E26C6" w14:paraId="638DA110"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55A09EEE"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Traumatic intracranial hemorrhage</w:t>
            </w:r>
          </w:p>
        </w:tc>
        <w:tc>
          <w:tcPr>
            <w:tcW w:w="7510" w:type="dxa"/>
            <w:tcBorders>
              <w:top w:val="single" w:sz="4" w:space="0" w:color="000000"/>
              <w:left w:val="single" w:sz="4" w:space="0" w:color="000000"/>
              <w:bottom w:val="single" w:sz="4" w:space="0" w:color="000000"/>
              <w:right w:val="single" w:sz="4" w:space="0" w:color="000000"/>
            </w:tcBorders>
          </w:tcPr>
          <w:p w14:paraId="0DFDFADD"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S06.3, S06.4, S06.5, S06.6</w:t>
            </w:r>
          </w:p>
        </w:tc>
      </w:tr>
      <w:tr w:rsidR="002E26C6" w14:paraId="16DF7F1D"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4B68C62B"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bleeding</w:t>
            </w:r>
          </w:p>
        </w:tc>
        <w:tc>
          <w:tcPr>
            <w:tcW w:w="7510" w:type="dxa"/>
            <w:tcBorders>
              <w:top w:val="single" w:sz="4" w:space="0" w:color="000000"/>
              <w:left w:val="single" w:sz="4" w:space="0" w:color="000000"/>
              <w:bottom w:val="single" w:sz="4" w:space="0" w:color="000000"/>
              <w:right w:val="single" w:sz="4" w:space="0" w:color="000000"/>
            </w:tcBorders>
          </w:tcPr>
          <w:p w14:paraId="0D8733EB"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D50.0, D62, H11.3, H35.6, H43.1, J94.2, M25.0, N02, N02.0, N02.1, N02.2, N02.3, N02.4, N02.5, N02.6, N02.7, N02.8, N02.9, N95.0, R04, R04.0, R04.1, R04.2, R04.8, R04.9, R31, R58</w:t>
            </w:r>
          </w:p>
        </w:tc>
      </w:tr>
      <w:tr w:rsidR="002E26C6" w14:paraId="2EE85BE7" w14:textId="77777777" w:rsidTr="007A4AF7">
        <w:tc>
          <w:tcPr>
            <w:tcW w:w="9606" w:type="dxa"/>
            <w:gridSpan w:val="2"/>
            <w:tcBorders>
              <w:top w:val="single" w:sz="4" w:space="0" w:color="000000"/>
              <w:left w:val="single" w:sz="4" w:space="0" w:color="000000"/>
              <w:bottom w:val="single" w:sz="4" w:space="0" w:color="000000"/>
              <w:right w:val="single" w:sz="4" w:space="0" w:color="000000"/>
            </w:tcBorders>
          </w:tcPr>
          <w:p w14:paraId="171C2C9E"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Thrombotic events</w:t>
            </w:r>
          </w:p>
        </w:tc>
      </w:tr>
      <w:tr w:rsidR="002E26C6" w14:paraId="2B05F957"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231A70BB"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Stroke</w:t>
            </w:r>
          </w:p>
        </w:tc>
        <w:tc>
          <w:tcPr>
            <w:tcW w:w="7510" w:type="dxa"/>
            <w:tcBorders>
              <w:top w:val="single" w:sz="4" w:space="0" w:color="000000"/>
              <w:left w:val="single" w:sz="4" w:space="0" w:color="000000"/>
              <w:bottom w:val="single" w:sz="4" w:space="0" w:color="000000"/>
              <w:right w:val="single" w:sz="4" w:space="0" w:color="000000"/>
            </w:tcBorders>
          </w:tcPr>
          <w:p w14:paraId="4863782C"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I63, I63.0, I63.1, I63.2, I63.3, I63.4, I63.5, I63.6, I63.8, I63.9, I64, I64.0, I64.1, I64.2, I64.3, I64.4, I64.5, I64.6, I64.8, I64.9, G46, G46.0, G46.1, G46.2, G46.3, G46.4, G46.5, G46.6, G46.7, G46.8</w:t>
            </w:r>
          </w:p>
        </w:tc>
      </w:tr>
      <w:tr w:rsidR="002E26C6" w14:paraId="0C4C581E"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1F3B51C7"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TIA</w:t>
            </w:r>
          </w:p>
        </w:tc>
        <w:tc>
          <w:tcPr>
            <w:tcW w:w="7510" w:type="dxa"/>
            <w:tcBorders>
              <w:top w:val="single" w:sz="4" w:space="0" w:color="000000"/>
              <w:left w:val="single" w:sz="4" w:space="0" w:color="000000"/>
              <w:bottom w:val="single" w:sz="4" w:space="0" w:color="000000"/>
              <w:right w:val="single" w:sz="4" w:space="0" w:color="000000"/>
            </w:tcBorders>
          </w:tcPr>
          <w:p w14:paraId="41BD0A99"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G45, G45.0, G45.1, G45.2, G45.3, G45.4, G45.8, G45.9</w:t>
            </w:r>
          </w:p>
        </w:tc>
      </w:tr>
      <w:tr w:rsidR="002E26C6" w14:paraId="402F4BDF"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67DD23C7"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Myocardial infarct</w:t>
            </w:r>
          </w:p>
        </w:tc>
        <w:tc>
          <w:tcPr>
            <w:tcW w:w="7510" w:type="dxa"/>
            <w:tcBorders>
              <w:top w:val="single" w:sz="4" w:space="0" w:color="000000"/>
              <w:left w:val="single" w:sz="4" w:space="0" w:color="000000"/>
              <w:bottom w:val="single" w:sz="4" w:space="0" w:color="000000"/>
              <w:right w:val="single" w:sz="4" w:space="0" w:color="000000"/>
            </w:tcBorders>
          </w:tcPr>
          <w:p w14:paraId="29B281EE"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I21, I21.0, I21.1, I21.2, I21.3, I21.4, I21.9, I22, I22.0, I22.1, I22.2, I22.8, I22.9, I23, I23.0, I23.1, I23.2, I23.3, I23.4, I23.5, I23.6, I23.7, I23.8</w:t>
            </w:r>
          </w:p>
        </w:tc>
      </w:tr>
      <w:tr w:rsidR="002E26C6" w14:paraId="3A53B030"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717E7DA1"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Deep venous thrombosis</w:t>
            </w:r>
          </w:p>
        </w:tc>
        <w:tc>
          <w:tcPr>
            <w:tcW w:w="7510" w:type="dxa"/>
            <w:tcBorders>
              <w:top w:val="single" w:sz="4" w:space="0" w:color="000000"/>
              <w:left w:val="single" w:sz="4" w:space="0" w:color="000000"/>
              <w:bottom w:val="single" w:sz="4" w:space="0" w:color="000000"/>
              <w:right w:val="single" w:sz="4" w:space="0" w:color="000000"/>
            </w:tcBorders>
          </w:tcPr>
          <w:p w14:paraId="1CA67E9B"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I80.2, I80.3, I80.8, I80.9, I82, I82.2, I82.3, I82.4, I82.6, I82.8, I82.9</w:t>
            </w:r>
          </w:p>
        </w:tc>
      </w:tr>
      <w:tr w:rsidR="002E26C6" w14:paraId="5AA0BCCB"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379AFDE6"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Pulmonary embolism</w:t>
            </w:r>
          </w:p>
        </w:tc>
        <w:tc>
          <w:tcPr>
            <w:tcW w:w="7510" w:type="dxa"/>
            <w:tcBorders>
              <w:top w:val="single" w:sz="4" w:space="0" w:color="000000"/>
              <w:left w:val="single" w:sz="4" w:space="0" w:color="000000"/>
              <w:bottom w:val="single" w:sz="4" w:space="0" w:color="000000"/>
              <w:right w:val="single" w:sz="4" w:space="0" w:color="000000"/>
            </w:tcBorders>
          </w:tcPr>
          <w:p w14:paraId="500B3FF0"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I26, I26.0, I26.9</w:t>
            </w:r>
          </w:p>
        </w:tc>
      </w:tr>
      <w:tr w:rsidR="002E26C6" w14:paraId="5F9BDF75"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63779315"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thrombosis</w:t>
            </w:r>
          </w:p>
        </w:tc>
        <w:tc>
          <w:tcPr>
            <w:tcW w:w="7510" w:type="dxa"/>
            <w:tcBorders>
              <w:top w:val="single" w:sz="4" w:space="0" w:color="000000"/>
              <w:left w:val="single" w:sz="4" w:space="0" w:color="000000"/>
              <w:bottom w:val="single" w:sz="4" w:space="0" w:color="000000"/>
              <w:right w:val="single" w:sz="4" w:space="0" w:color="000000"/>
            </w:tcBorders>
          </w:tcPr>
          <w:p w14:paraId="7D527693"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H34.9, I63.6, I67.6, I74, I74.0, I74.1, I74.2, I74.3, I74.4, I74.5, I74.8, I74.9, I76, I79.0, I79.1, I81, I82.0, I65, I65.0, I65.1, I65.2, I65.8, I65.9, I66, I66.0, I66.1, I66.2, I66.3, I66.8, I66.9, I67, I67.0, I67.1, I67.2, I67.3, I67.4, I67.5, I67.6, I67.7, I67.8, I67.9, I68.8, G08, G95.1</w:t>
            </w:r>
          </w:p>
        </w:tc>
      </w:tr>
      <w:tr w:rsidR="002E26C6" w14:paraId="02D9376A" w14:textId="77777777" w:rsidTr="007A4AF7">
        <w:tc>
          <w:tcPr>
            <w:tcW w:w="9606" w:type="dxa"/>
            <w:gridSpan w:val="2"/>
            <w:tcBorders>
              <w:top w:val="single" w:sz="4" w:space="0" w:color="000000"/>
              <w:left w:val="single" w:sz="4" w:space="0" w:color="000000"/>
              <w:bottom w:val="single" w:sz="4" w:space="0" w:color="000000"/>
              <w:right w:val="single" w:sz="4" w:space="0" w:color="000000"/>
            </w:tcBorders>
          </w:tcPr>
          <w:p w14:paraId="79D887A8"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Treatment indication</w:t>
            </w:r>
          </w:p>
        </w:tc>
      </w:tr>
      <w:tr w:rsidR="002E26C6" w14:paraId="1D86D98C"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622F88E4"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Atrial fibrillation</w:t>
            </w:r>
          </w:p>
        </w:tc>
        <w:tc>
          <w:tcPr>
            <w:tcW w:w="7510" w:type="dxa"/>
            <w:tcBorders>
              <w:top w:val="single" w:sz="4" w:space="0" w:color="000000"/>
              <w:left w:val="single" w:sz="4" w:space="0" w:color="000000"/>
              <w:bottom w:val="single" w:sz="4" w:space="0" w:color="000000"/>
              <w:right w:val="single" w:sz="4" w:space="0" w:color="000000"/>
            </w:tcBorders>
          </w:tcPr>
          <w:p w14:paraId="54A37330"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I48, I48.0, I48.1, I48.2, I48.3, I48.4, I48.9</w:t>
            </w:r>
          </w:p>
        </w:tc>
      </w:tr>
      <w:tr w:rsidR="002E26C6" w14:paraId="228632A8"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595492EB"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Venous thromboembolism</w:t>
            </w:r>
          </w:p>
        </w:tc>
        <w:tc>
          <w:tcPr>
            <w:tcW w:w="7510" w:type="dxa"/>
            <w:tcBorders>
              <w:top w:val="single" w:sz="4" w:space="0" w:color="000000"/>
              <w:left w:val="single" w:sz="4" w:space="0" w:color="000000"/>
              <w:bottom w:val="single" w:sz="4" w:space="0" w:color="000000"/>
              <w:right w:val="single" w:sz="4" w:space="0" w:color="000000"/>
            </w:tcBorders>
          </w:tcPr>
          <w:p w14:paraId="1C953104"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I26, I26.0, I26.9, I80.2, I80.3, I80.8, I80.9, I82, I82.2, I82.3, I82.4, I82.6, I82.8, I82.9</w:t>
            </w:r>
          </w:p>
        </w:tc>
      </w:tr>
      <w:tr w:rsidR="002E26C6" w14:paraId="0E97102A"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11522675"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Ischemic stroke</w:t>
            </w:r>
          </w:p>
        </w:tc>
        <w:tc>
          <w:tcPr>
            <w:tcW w:w="7510" w:type="dxa"/>
            <w:tcBorders>
              <w:top w:val="single" w:sz="4" w:space="0" w:color="000000"/>
              <w:left w:val="single" w:sz="4" w:space="0" w:color="000000"/>
              <w:bottom w:val="single" w:sz="4" w:space="0" w:color="000000"/>
              <w:right w:val="single" w:sz="4" w:space="0" w:color="000000"/>
            </w:tcBorders>
          </w:tcPr>
          <w:p w14:paraId="179A1EAA"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G46, G46.0, G46.1, G46.2, G46.3, G46.4, G46.5, G46.6, G46.7, G46.8, I63, I63.0, I63.1, I63.2, I63.3, I63.4, I63.5, I63.6, I63.8, I63.9, I64, I64.0, I64.1, I64.2, I64.3, I64.4, I64.5, I64.6, I64.8, I64.9, I69, I69.3, I69.8, 169.9</w:t>
            </w:r>
          </w:p>
        </w:tc>
      </w:tr>
      <w:tr w:rsidR="002E26C6" w14:paraId="4962A375"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5453DBC5"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Mechanical heart valve</w:t>
            </w:r>
          </w:p>
        </w:tc>
        <w:tc>
          <w:tcPr>
            <w:tcW w:w="7510" w:type="dxa"/>
            <w:tcBorders>
              <w:top w:val="single" w:sz="4" w:space="0" w:color="000000"/>
              <w:left w:val="single" w:sz="4" w:space="0" w:color="000000"/>
              <w:bottom w:val="single" w:sz="4" w:space="0" w:color="000000"/>
              <w:right w:val="single" w:sz="4" w:space="0" w:color="000000"/>
            </w:tcBorders>
          </w:tcPr>
          <w:p w14:paraId="3022FD78"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Z95.2, Z95.3, Z95.4</w:t>
            </w:r>
          </w:p>
        </w:tc>
      </w:tr>
      <w:tr w:rsidR="002E26C6" w14:paraId="07C01C64" w14:textId="77777777" w:rsidTr="007A4AF7">
        <w:tc>
          <w:tcPr>
            <w:tcW w:w="9606" w:type="dxa"/>
            <w:gridSpan w:val="2"/>
            <w:tcBorders>
              <w:top w:val="single" w:sz="4" w:space="0" w:color="000000"/>
              <w:left w:val="single" w:sz="4" w:space="0" w:color="000000"/>
              <w:bottom w:val="single" w:sz="4" w:space="0" w:color="000000"/>
              <w:right w:val="single" w:sz="4" w:space="0" w:color="000000"/>
            </w:tcBorders>
          </w:tcPr>
          <w:p w14:paraId="6825A88D"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Comorbidities</w:t>
            </w:r>
          </w:p>
        </w:tc>
      </w:tr>
      <w:tr w:rsidR="002E26C6" w14:paraId="2043AF86"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700DE2C5"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Ischemic heart disease</w:t>
            </w:r>
          </w:p>
        </w:tc>
        <w:tc>
          <w:tcPr>
            <w:tcW w:w="7510" w:type="dxa"/>
            <w:tcBorders>
              <w:top w:val="single" w:sz="4" w:space="0" w:color="000000"/>
              <w:left w:val="single" w:sz="4" w:space="0" w:color="000000"/>
              <w:bottom w:val="single" w:sz="4" w:space="0" w:color="000000"/>
              <w:right w:val="single" w:sz="4" w:space="0" w:color="000000"/>
            </w:tcBorders>
          </w:tcPr>
          <w:p w14:paraId="5FC1937B"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I21, I21.0, I21.1, I21.2, I21.3, I21.4, I21.9, I22, I22.0, I22.1, I22.2, I22.8, I22.9, I23, I23.0, I23.1, I23.2, I23.3, I23.4, I23.5, I23.6, I23.7, I23.8</w:t>
            </w:r>
          </w:p>
        </w:tc>
      </w:tr>
      <w:tr w:rsidR="002E26C6" w14:paraId="4C125938"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5FB1795A"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Heart failure</w:t>
            </w:r>
          </w:p>
        </w:tc>
        <w:tc>
          <w:tcPr>
            <w:tcW w:w="7510" w:type="dxa"/>
            <w:tcBorders>
              <w:top w:val="single" w:sz="4" w:space="0" w:color="000000"/>
              <w:left w:val="single" w:sz="4" w:space="0" w:color="000000"/>
              <w:bottom w:val="single" w:sz="4" w:space="0" w:color="000000"/>
              <w:right w:val="single" w:sz="4" w:space="0" w:color="000000"/>
            </w:tcBorders>
          </w:tcPr>
          <w:p w14:paraId="36894B16"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I11.0, I13.0, I13.2, I50, I50.1, I50.2, I50.3, I50.4, I50.8, I50.9</w:t>
            </w:r>
          </w:p>
        </w:tc>
      </w:tr>
      <w:tr w:rsidR="002E26C6" w14:paraId="49AA0C7B"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76F58518"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Peripheral vascular disease</w:t>
            </w:r>
          </w:p>
        </w:tc>
        <w:tc>
          <w:tcPr>
            <w:tcW w:w="7510" w:type="dxa"/>
            <w:tcBorders>
              <w:top w:val="single" w:sz="4" w:space="0" w:color="000000"/>
              <w:left w:val="single" w:sz="4" w:space="0" w:color="000000"/>
              <w:bottom w:val="single" w:sz="4" w:space="0" w:color="000000"/>
              <w:right w:val="single" w:sz="4" w:space="0" w:color="000000"/>
            </w:tcBorders>
          </w:tcPr>
          <w:p w14:paraId="43FFDC0F"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I70, I70.0, I70.1, I70.2, I70.8, I70.9, I71, I71.0, I71.1, I71.2, I71.3, I71.4, I71.5, I71.6, I71.8, I71.9, I72, I72.0, I72.1, I72.2, I72.3, I72.4, I72.8, I72.9, I73.0, I73.1, I73.8, I73.9, I74, I74.0, I74.1, I74.2, I74.3, I74.4, I74.5, I74.8, I74.9, I77, I77.0, I77.1, I77.2, I77.3, I77.4, I77.5, I77.6, I77.8, I77.9</w:t>
            </w:r>
          </w:p>
        </w:tc>
      </w:tr>
      <w:tr w:rsidR="002E26C6" w14:paraId="2B3D3983"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1BADAD24"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Cerebral accident</w:t>
            </w:r>
          </w:p>
        </w:tc>
        <w:tc>
          <w:tcPr>
            <w:tcW w:w="7510" w:type="dxa"/>
            <w:tcBorders>
              <w:top w:val="single" w:sz="4" w:space="0" w:color="000000"/>
              <w:left w:val="single" w:sz="4" w:space="0" w:color="000000"/>
              <w:bottom w:val="single" w:sz="4" w:space="0" w:color="000000"/>
              <w:right w:val="single" w:sz="4" w:space="0" w:color="000000"/>
            </w:tcBorders>
          </w:tcPr>
          <w:p w14:paraId="70D80B7A"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I60, I60.0, I60.1, I60.2, I60.3, I60.4, I60.5, I60.6, I60.7, I60.8, I60.9, I61, I61.0,  I61.1, I61.2, I61.3, I61.4, I61.5, I61.6, I61.7, I61.8, I61.9, I62, I62.0, I62.1, I62.9, I63, I63.0, I63.1, I63.2, I63.3, I63.4, I63.5, I63.6,I63.8, I63.9, I64, I64.0, I64.1, I64.2, I64.3, I64.4, I64.5, I64.6, I64.8, I64.9, G45, G45.0, G45.1, G45.2, G45.3, G45.4, G45.8, G45.9, G46, G46.0, G46.1, G46.2, G46.3, G46.4, G46.5, G46.6, G46.7, G46.8</w:t>
            </w:r>
          </w:p>
        </w:tc>
      </w:tr>
      <w:tr w:rsidR="002E26C6" w14:paraId="60F3BB4C"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66D42989"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Hemiplegia</w:t>
            </w:r>
          </w:p>
        </w:tc>
        <w:tc>
          <w:tcPr>
            <w:tcW w:w="7510" w:type="dxa"/>
            <w:tcBorders>
              <w:top w:val="single" w:sz="4" w:space="0" w:color="000000"/>
              <w:left w:val="single" w:sz="4" w:space="0" w:color="000000"/>
              <w:bottom w:val="single" w:sz="4" w:space="0" w:color="000000"/>
              <w:right w:val="single" w:sz="4" w:space="0" w:color="000000"/>
            </w:tcBorders>
          </w:tcPr>
          <w:p w14:paraId="744A4987"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G81, G81.0, G81.1, G81.9, G82, G82.0, G82.1, G82.2, G82.3, G82.4, G82.5</w:t>
            </w:r>
          </w:p>
        </w:tc>
      </w:tr>
      <w:tr w:rsidR="002E26C6" w14:paraId="25A7F157"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01654B2C"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Dementia</w:t>
            </w:r>
          </w:p>
        </w:tc>
        <w:tc>
          <w:tcPr>
            <w:tcW w:w="7510" w:type="dxa"/>
            <w:tcBorders>
              <w:top w:val="single" w:sz="4" w:space="0" w:color="000000"/>
              <w:left w:val="single" w:sz="4" w:space="0" w:color="000000"/>
              <w:bottom w:val="single" w:sz="4" w:space="0" w:color="000000"/>
              <w:right w:val="single" w:sz="4" w:space="0" w:color="000000"/>
            </w:tcBorders>
          </w:tcPr>
          <w:p w14:paraId="2601946D"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F00, F00.0, F00.1, F00.2, F00.39, F01, F01.0, F01.1, F01.2, F01.3, F01.8, F01.9, F02, F02.0, F02.1, F02.2, F02.3, F02.4, F02.8, F03, F05, F05.0, F05.1, F05.8, F05.9, G30, G30.0, G30.1, G30.8, G30.9</w:t>
            </w:r>
          </w:p>
        </w:tc>
      </w:tr>
      <w:tr w:rsidR="002E26C6" w14:paraId="70D4355D"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36E2707C"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Chronic lung disease</w:t>
            </w:r>
          </w:p>
        </w:tc>
        <w:tc>
          <w:tcPr>
            <w:tcW w:w="7510" w:type="dxa"/>
            <w:tcBorders>
              <w:top w:val="single" w:sz="4" w:space="0" w:color="000000"/>
              <w:left w:val="single" w:sz="4" w:space="0" w:color="000000"/>
              <w:bottom w:val="single" w:sz="4" w:space="0" w:color="000000"/>
              <w:right w:val="single" w:sz="4" w:space="0" w:color="000000"/>
            </w:tcBorders>
          </w:tcPr>
          <w:p w14:paraId="28020706"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J40, J41, J41.0, J41.1, J41.8, J42, J43, J43.0, J43.1, J43.2, J43.8, J43.9, J44, J44.0, J44.1, J44.8, J44.9, J45, J45.0, J45.1, J45.8, J45.9, J46, J47, J60, J61, J62, J62.0, J62.8, J63, J63.0, J63.1, J63.2, J63.3, J63.4, J63.5, J63.8, J64, J65, J66, J66.0, J66.1, J66.2, J66.8, J67, J67.0, J67.1, J67.2, J67.3, J67.4, J67.5, J67.6, J67.7, J67.8, J67.9, J68.4, J70.1, J70.3, J84.1, J92.0, J96.1, J98.2, J98.3</w:t>
            </w:r>
          </w:p>
        </w:tc>
      </w:tr>
      <w:tr w:rsidR="002E26C6" w14:paraId="3CE9EFF8"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181015DE"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Connective tissue disease</w:t>
            </w:r>
          </w:p>
        </w:tc>
        <w:tc>
          <w:tcPr>
            <w:tcW w:w="7510" w:type="dxa"/>
            <w:tcBorders>
              <w:top w:val="single" w:sz="4" w:space="0" w:color="000000"/>
              <w:left w:val="single" w:sz="4" w:space="0" w:color="000000"/>
              <w:bottom w:val="single" w:sz="4" w:space="0" w:color="000000"/>
              <w:right w:val="single" w:sz="4" w:space="0" w:color="000000"/>
            </w:tcBorders>
          </w:tcPr>
          <w:p w14:paraId="3C239A79"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D86, D86.0, D86.1, D86.2, D86.3, D86.8, D86.9, M05, M05.0, M05.1, M05.2, M05.3, M05.8, M05.9, M06, M06.0, M06.1, M06.2, M06.3, M06.4, M06.8, M06.9, M08, M08.0, M08.1, M08.2, M08.3, M08.4, M08.8, M08.9, M09, M09.0, M09.1, M09.2, M09.8, M30, M30.0, M30.1, M30.2, M30.3, M30.8, M31, M31.0, M31.1, M31.2, M31.3, M31.4, M31.5, M31.6, M31.7, M31.8, M31.9, M32, M32.0, M32.1, M32.2, M32.8, M32.9, M33, M33.0, M33.1, M33.8, M33.9, M34, M34.0, M34.1, M34.2, M34.8, M34.9, M35, M35.0, M35.1, M35.2, M35.3, M35.4, M35.5, M35.6, M35.7, M35.8, M35.9, M36, M36.0, M36.1, M36.2, M36.3, M36.4, M36.8</w:t>
            </w:r>
          </w:p>
        </w:tc>
      </w:tr>
      <w:tr w:rsidR="002E26C6" w14:paraId="374F569E"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75A7D907"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Peptic ulcer disease</w:t>
            </w:r>
          </w:p>
        </w:tc>
        <w:tc>
          <w:tcPr>
            <w:tcW w:w="7510" w:type="dxa"/>
            <w:tcBorders>
              <w:top w:val="single" w:sz="4" w:space="0" w:color="000000"/>
              <w:left w:val="single" w:sz="4" w:space="0" w:color="000000"/>
              <w:bottom w:val="single" w:sz="4" w:space="0" w:color="000000"/>
              <w:right w:val="single" w:sz="4" w:space="0" w:color="000000"/>
            </w:tcBorders>
          </w:tcPr>
          <w:p w14:paraId="433DDCE0"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K22.1, K25, K25.0, K25.1, K25.2, K25.3, K25.4, K25.5, K25.6, K25.7, K25.9, K26, K26.0, K26.1, K26.2, K26.3, K26.4, K26.5, K26.6, K26.7, K26.9, K27, K27.0, K27.1, K27.2, K27.3, K27.4, K27.5, K27.6, K27.7, K27.9,  K28, K28.0, K28.1, K28.2, K28.3, K28.4, K28.5, K28.6, K28.7, K28.9</w:t>
            </w:r>
          </w:p>
        </w:tc>
      </w:tr>
      <w:tr w:rsidR="002E26C6" w14:paraId="42CF6621"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79BAABAF"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Mild liver disease</w:t>
            </w:r>
          </w:p>
        </w:tc>
        <w:tc>
          <w:tcPr>
            <w:tcW w:w="7510" w:type="dxa"/>
            <w:tcBorders>
              <w:top w:val="single" w:sz="4" w:space="0" w:color="000000"/>
              <w:left w:val="single" w:sz="4" w:space="0" w:color="000000"/>
              <w:bottom w:val="single" w:sz="4" w:space="0" w:color="000000"/>
              <w:right w:val="single" w:sz="4" w:space="0" w:color="000000"/>
            </w:tcBorders>
          </w:tcPr>
          <w:p w14:paraId="095952F0"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B18, B18.0, B18.1, B18.2, B18.8, B18.9, K70.0, K70.1, K70.2, 70.3, K70.9, K71, K71.0, K71.1, K71.2, K71.3, K71.4, K71.5, K71.6, K71.7, K71.8, K71.9, K73, K73.0, K73.1, K73.2, K73.8, K73.9, K74, K74.0, K74.1, K74.2, K74.3, K74.4, K74.5, K74.6,  K76.1, K76.2, K76.3, K76.4, K76.8, K76.9</w:t>
            </w:r>
          </w:p>
        </w:tc>
      </w:tr>
      <w:tr w:rsidR="002E26C6" w14:paraId="57A88B95"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298DC885"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Moderate or severe liver disease</w:t>
            </w:r>
          </w:p>
        </w:tc>
        <w:tc>
          <w:tcPr>
            <w:tcW w:w="7510" w:type="dxa"/>
            <w:tcBorders>
              <w:top w:val="single" w:sz="4" w:space="0" w:color="000000"/>
              <w:left w:val="single" w:sz="4" w:space="0" w:color="000000"/>
              <w:bottom w:val="single" w:sz="4" w:space="0" w:color="000000"/>
              <w:right w:val="single" w:sz="4" w:space="0" w:color="000000"/>
            </w:tcBorders>
          </w:tcPr>
          <w:p w14:paraId="3F526990"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B15.0, B16.0, B16.2, B19.0, K70.4, K72, K72.0, K72.1, K72.9, K76.6, I85, I85.0, I85.9, I86.4, I98.2</w:t>
            </w:r>
          </w:p>
        </w:tc>
      </w:tr>
      <w:tr w:rsidR="002E26C6" w14:paraId="0F77EEE3"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77FFBDE6"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Moderate or severe renal disease</w:t>
            </w:r>
          </w:p>
        </w:tc>
        <w:tc>
          <w:tcPr>
            <w:tcW w:w="7510" w:type="dxa"/>
            <w:tcBorders>
              <w:top w:val="single" w:sz="4" w:space="0" w:color="000000"/>
              <w:left w:val="single" w:sz="4" w:space="0" w:color="000000"/>
              <w:bottom w:val="single" w:sz="4" w:space="0" w:color="000000"/>
              <w:right w:val="single" w:sz="4" w:space="0" w:color="000000"/>
            </w:tcBorders>
          </w:tcPr>
          <w:p w14:paraId="29251A8A"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I12, I12.0, I12.9, I13, I13.0, I13.1, I13.2, I13.9, N00, N00.0, N00.1, N00.2, N00.3, N00.4, N00.5, N00.6, N00.7, N00.8, N00.9, N1, N01.0, N01.1, N01.2, N01.3, N01.4, N01.5, N01.6, N01.7, N01.8, N01.9, N02, N02.0, N02.1, N02.2, N02.3, N02.4, N02.5, N02.6, N02.7, N02.8, N02.9, N03, N03.0, N03.1, N03.2, N03.3, N03.4, N03.5, N03.6, N03.7, N03.8, N03.9, N04, N04.0, N04.1, N04.2, N04.3, N04.4, N04.5, N04.6, N04.7, N04.8, </w:t>
            </w:r>
            <w:r>
              <w:rPr>
                <w:rFonts w:ascii="Times New Roman" w:eastAsia="Times New Roman" w:hAnsi="Times New Roman" w:cs="Times New Roman"/>
                <w:sz w:val="24"/>
                <w:szCs w:val="24"/>
              </w:rPr>
              <w:lastRenderedPageBreak/>
              <w:t>N04.9, N05, N05.0, N05.1, N05.2, N05.3, N05.4, N05.5, N05.6, N05.7, N05.8, N05.9, N07, N07.0, N07.1, N07.2, N07.3, N07.4, N07.5, N07.6, N07.7, N07.8, N07.9, N11, N11.0, N11.1, N11.8, N11.9, N14, N14.0, N14.1, N14.2, N14.3, N14.4, N17, N17.0, N17.1, N17.2, N17.8, N17.9, N18, N18.0, N18.8, N18.9, N19, Q61, Q61.0, Q61.1, Q61.2, Q61.3, Q61.4, Q61.5, Q61.8, Q61.9</w:t>
            </w:r>
          </w:p>
        </w:tc>
      </w:tr>
      <w:tr w:rsidR="002E26C6" w14:paraId="2AEC4775"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07142A46"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Diabetes mellitus without signs of end-organ damage</w:t>
            </w:r>
          </w:p>
        </w:tc>
        <w:tc>
          <w:tcPr>
            <w:tcW w:w="7510" w:type="dxa"/>
            <w:tcBorders>
              <w:top w:val="single" w:sz="4" w:space="0" w:color="000000"/>
              <w:left w:val="single" w:sz="4" w:space="0" w:color="000000"/>
              <w:bottom w:val="single" w:sz="4" w:space="0" w:color="000000"/>
              <w:right w:val="single" w:sz="4" w:space="0" w:color="000000"/>
            </w:tcBorders>
          </w:tcPr>
          <w:p w14:paraId="2BA66E90"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E10.0, E10.1, E10.9, E11.0, E11.1, E11.9</w:t>
            </w:r>
          </w:p>
        </w:tc>
      </w:tr>
      <w:tr w:rsidR="002E26C6" w14:paraId="4C02AAB4"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457E0F5F"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Diabetes mellitus without end-organ damage</w:t>
            </w:r>
          </w:p>
        </w:tc>
        <w:tc>
          <w:tcPr>
            <w:tcW w:w="7510" w:type="dxa"/>
            <w:tcBorders>
              <w:top w:val="single" w:sz="4" w:space="0" w:color="000000"/>
              <w:left w:val="single" w:sz="4" w:space="0" w:color="000000"/>
              <w:bottom w:val="single" w:sz="4" w:space="0" w:color="000000"/>
              <w:right w:val="single" w:sz="4" w:space="0" w:color="000000"/>
            </w:tcBorders>
          </w:tcPr>
          <w:p w14:paraId="10208E60"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E10.2, E10.3, E10.4, E10.5, E10.6, E10.7, E10.8, E11.2, E11.3, E11.4, E11.5, E11.6, E11.7, E11.8</w:t>
            </w:r>
          </w:p>
        </w:tc>
      </w:tr>
      <w:tr w:rsidR="002E26C6" w14:paraId="668004E5"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1D5B8D37"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Tumor</w:t>
            </w:r>
          </w:p>
        </w:tc>
        <w:tc>
          <w:tcPr>
            <w:tcW w:w="7510" w:type="dxa"/>
            <w:tcBorders>
              <w:top w:val="single" w:sz="4" w:space="0" w:color="000000"/>
              <w:left w:val="single" w:sz="4" w:space="0" w:color="000000"/>
              <w:bottom w:val="single" w:sz="4" w:space="0" w:color="000000"/>
              <w:right w:val="single" w:sz="4" w:space="0" w:color="000000"/>
            </w:tcBorders>
          </w:tcPr>
          <w:p w14:paraId="5C4537F1"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C00-C75, C81-C85, C88, C90-C96</w:t>
            </w:r>
          </w:p>
        </w:tc>
      </w:tr>
      <w:tr w:rsidR="002E26C6" w14:paraId="731879A2"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5848B80E"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Metastasis</w:t>
            </w:r>
          </w:p>
        </w:tc>
        <w:tc>
          <w:tcPr>
            <w:tcW w:w="7510" w:type="dxa"/>
            <w:tcBorders>
              <w:top w:val="single" w:sz="4" w:space="0" w:color="000000"/>
              <w:left w:val="single" w:sz="4" w:space="0" w:color="000000"/>
              <w:bottom w:val="single" w:sz="4" w:space="0" w:color="000000"/>
              <w:right w:val="single" w:sz="4" w:space="0" w:color="000000"/>
            </w:tcBorders>
          </w:tcPr>
          <w:p w14:paraId="78C9DC61"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C76-C80</w:t>
            </w:r>
          </w:p>
        </w:tc>
      </w:tr>
      <w:tr w:rsidR="002E26C6" w14:paraId="7085A3EC"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0CFF3A8F"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HIV/AIDS</w:t>
            </w:r>
          </w:p>
        </w:tc>
        <w:tc>
          <w:tcPr>
            <w:tcW w:w="7510" w:type="dxa"/>
            <w:tcBorders>
              <w:top w:val="single" w:sz="4" w:space="0" w:color="000000"/>
              <w:left w:val="single" w:sz="4" w:space="0" w:color="000000"/>
              <w:bottom w:val="single" w:sz="4" w:space="0" w:color="000000"/>
              <w:right w:val="single" w:sz="4" w:space="0" w:color="000000"/>
            </w:tcBorders>
          </w:tcPr>
          <w:p w14:paraId="3676396C"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B20, B20.0, B20.1, B20.2, B20.3, B20.4, B20.5, B20.6, B20.7, B20.8, B20.9, B21, B21.0, B21.1, B21.2, B21.3, B21.7, B21.8, B21.9, B22, B22.0, B22.1, B22.2, B22.7, B23, B23.0, B23.1, B23.2, B23.8, B24</w:t>
            </w:r>
          </w:p>
        </w:tc>
      </w:tr>
      <w:tr w:rsidR="002E26C6" w14:paraId="13EB5314"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51EE7DB5"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Hypertension</w:t>
            </w:r>
          </w:p>
        </w:tc>
        <w:tc>
          <w:tcPr>
            <w:tcW w:w="7510" w:type="dxa"/>
            <w:tcBorders>
              <w:top w:val="single" w:sz="4" w:space="0" w:color="000000"/>
              <w:left w:val="single" w:sz="4" w:space="0" w:color="000000"/>
              <w:bottom w:val="single" w:sz="4" w:space="0" w:color="000000"/>
              <w:right w:val="single" w:sz="4" w:space="0" w:color="000000"/>
            </w:tcBorders>
          </w:tcPr>
          <w:p w14:paraId="45597506"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I10, I11, I11.0, I11.9, I12, I12.0, I12.9, I13, I13.0, I13.1, I13.2, I13.9, I15, I15.0, I15.1, I15.2, I15.8, I15.9</w:t>
            </w:r>
          </w:p>
        </w:tc>
      </w:tr>
      <w:tr w:rsidR="002E26C6" w14:paraId="7287E990" w14:textId="77777777" w:rsidTr="007A4AF7">
        <w:tc>
          <w:tcPr>
            <w:tcW w:w="2096" w:type="dxa"/>
            <w:tcBorders>
              <w:top w:val="single" w:sz="4" w:space="0" w:color="000000"/>
              <w:left w:val="single" w:sz="4" w:space="0" w:color="000000"/>
              <w:bottom w:val="single" w:sz="4" w:space="0" w:color="000000"/>
              <w:right w:val="single" w:sz="4" w:space="0" w:color="000000"/>
            </w:tcBorders>
          </w:tcPr>
          <w:p w14:paraId="45DEEF52"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Bleeding or coagulation disorders</w:t>
            </w:r>
          </w:p>
        </w:tc>
        <w:tc>
          <w:tcPr>
            <w:tcW w:w="7510" w:type="dxa"/>
            <w:tcBorders>
              <w:top w:val="single" w:sz="4" w:space="0" w:color="000000"/>
              <w:left w:val="single" w:sz="4" w:space="0" w:color="000000"/>
              <w:bottom w:val="single" w:sz="4" w:space="0" w:color="000000"/>
              <w:right w:val="single" w:sz="4" w:space="0" w:color="000000"/>
            </w:tcBorders>
          </w:tcPr>
          <w:p w14:paraId="148FFA74"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D65, D66, D67, D68.0, D68.1, D68.2, D68.3, D68.4, D68.5, D68.6, D68.8, D68.9, D69.1, D69.3, D69.4, D69.5, D69.6</w:t>
            </w:r>
          </w:p>
        </w:tc>
      </w:tr>
    </w:tbl>
    <w:p w14:paraId="631826B5" w14:textId="77777777" w:rsidR="002E26C6" w:rsidRDefault="002E26C6" w:rsidP="002E26C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ICD-10 codes used for the comorbidity variables were based on:</w:t>
      </w:r>
    </w:p>
    <w:p w14:paraId="3091CF16" w14:textId="77777777" w:rsidR="002E26C6" w:rsidRDefault="002E26C6" w:rsidP="002E26C6">
      <w:pPr>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Thygesen</w:t>
      </w:r>
      <w:proofErr w:type="spellEnd"/>
      <w:r>
        <w:rPr>
          <w:rFonts w:ascii="Times New Roman" w:eastAsia="Times New Roman" w:hAnsi="Times New Roman" w:cs="Times New Roman"/>
          <w:sz w:val="24"/>
          <w:szCs w:val="24"/>
        </w:rPr>
        <w:t xml:space="preserve"> SK, Christiansen CF, Christensen S, et al. The predictive value of ICD-10 diagnostic coding used to assess Charlson comorbidity index conditions in the population-based Danish National Registry of Patients. BMC Med Res </w:t>
      </w:r>
      <w:proofErr w:type="spellStart"/>
      <w:r>
        <w:rPr>
          <w:rFonts w:ascii="Times New Roman" w:eastAsia="Times New Roman" w:hAnsi="Times New Roman" w:cs="Times New Roman"/>
          <w:sz w:val="24"/>
          <w:szCs w:val="24"/>
        </w:rPr>
        <w:t>Methodol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2011;11:83</w:t>
      </w:r>
      <w:proofErr w:type="gramEnd"/>
      <w:r>
        <w:rPr>
          <w:rFonts w:ascii="Times New Roman" w:eastAsia="Times New Roman" w:hAnsi="Times New Roman" w:cs="Times New Roman"/>
          <w:sz w:val="24"/>
          <w:szCs w:val="24"/>
        </w:rPr>
        <w:t>.</w:t>
      </w:r>
    </w:p>
    <w:p w14:paraId="64C256F5" w14:textId="77777777" w:rsidR="002E26C6" w:rsidRDefault="002E26C6" w:rsidP="002E26C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 H, Khan N, </w:t>
      </w:r>
      <w:proofErr w:type="spellStart"/>
      <w:r>
        <w:rPr>
          <w:rFonts w:ascii="Times New Roman" w:eastAsia="Times New Roman" w:hAnsi="Times New Roman" w:cs="Times New Roman"/>
          <w:sz w:val="24"/>
          <w:szCs w:val="24"/>
        </w:rPr>
        <w:t>Hemmelgarn</w:t>
      </w:r>
      <w:proofErr w:type="spellEnd"/>
      <w:r>
        <w:rPr>
          <w:rFonts w:ascii="Times New Roman" w:eastAsia="Times New Roman" w:hAnsi="Times New Roman" w:cs="Times New Roman"/>
          <w:sz w:val="24"/>
          <w:szCs w:val="24"/>
        </w:rPr>
        <w:t xml:space="preserve"> BR, et al. Validation of a case definition to define hypertension using administrative data. Hypertension </w:t>
      </w:r>
      <w:proofErr w:type="gramStart"/>
      <w:r>
        <w:rPr>
          <w:rFonts w:ascii="Times New Roman" w:eastAsia="Times New Roman" w:hAnsi="Times New Roman" w:cs="Times New Roman"/>
          <w:sz w:val="24"/>
          <w:szCs w:val="24"/>
        </w:rPr>
        <w:t>2009;54:1423</w:t>
      </w:r>
      <w:proofErr w:type="gramEnd"/>
      <w:r>
        <w:rPr>
          <w:rFonts w:ascii="Times New Roman" w:eastAsia="Times New Roman" w:hAnsi="Times New Roman" w:cs="Times New Roman"/>
          <w:sz w:val="24"/>
          <w:szCs w:val="24"/>
        </w:rPr>
        <w:t>-8.</w:t>
      </w:r>
    </w:p>
    <w:p w14:paraId="0E8ED84A" w14:textId="77777777" w:rsidR="002E26C6" w:rsidRDefault="002E26C6" w:rsidP="002E26C6">
      <w:pPr>
        <w:rPr>
          <w:rFonts w:ascii="Times New Roman" w:eastAsia="Times New Roman" w:hAnsi="Times New Roman" w:cs="Times New Roman"/>
          <w:sz w:val="24"/>
          <w:szCs w:val="24"/>
        </w:rPr>
      </w:pPr>
    </w:p>
    <w:p w14:paraId="190C35D9" w14:textId="77777777" w:rsidR="002E26C6" w:rsidRDefault="002E26C6" w:rsidP="002E26C6">
      <w:pPr>
        <w:rPr>
          <w:rFonts w:ascii="Times New Roman" w:eastAsia="Times New Roman" w:hAnsi="Times New Roman" w:cs="Times New Roman"/>
          <w:sz w:val="24"/>
          <w:szCs w:val="24"/>
        </w:rPr>
      </w:pPr>
      <w:r>
        <w:br w:type="page"/>
      </w:r>
    </w:p>
    <w:p w14:paraId="047A8AB2" w14:textId="77777777" w:rsidR="002E26C6" w:rsidRDefault="002E26C6" w:rsidP="002E26C6">
      <w:pPr>
        <w:pStyle w:val="Heading2"/>
        <w:rPr>
          <w:rFonts w:ascii="Times New Roman" w:eastAsia="Times New Roman" w:hAnsi="Times New Roman" w:cs="Times New Roman"/>
          <w:b/>
        </w:rPr>
      </w:pPr>
      <w:r>
        <w:rPr>
          <w:rFonts w:ascii="Times New Roman" w:eastAsia="Times New Roman" w:hAnsi="Times New Roman" w:cs="Times New Roman"/>
          <w:b/>
        </w:rPr>
        <w:lastRenderedPageBreak/>
        <w:t>Supplementary Table 2: ATC codes for simultaneous drug use</w:t>
      </w:r>
      <w:r>
        <w:rPr>
          <w:rFonts w:ascii="Times New Roman" w:eastAsia="Times New Roman" w:hAnsi="Times New Roman" w:cs="Times New Roman"/>
          <w:b/>
        </w:rPr>
        <w:br/>
      </w:r>
    </w:p>
    <w:tbl>
      <w:tblPr>
        <w:tblW w:w="901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2E26C6" w14:paraId="489D0142" w14:textId="77777777" w:rsidTr="007A4AF7">
        <w:tc>
          <w:tcPr>
            <w:tcW w:w="4505" w:type="dxa"/>
            <w:tcBorders>
              <w:top w:val="single" w:sz="4" w:space="0" w:color="000000"/>
              <w:left w:val="single" w:sz="4" w:space="0" w:color="000000"/>
              <w:bottom w:val="single" w:sz="4" w:space="0" w:color="000000"/>
              <w:right w:val="single" w:sz="4" w:space="0" w:color="000000"/>
            </w:tcBorders>
            <w:shd w:val="clear" w:color="auto" w:fill="9CC3E5"/>
          </w:tcPr>
          <w:p w14:paraId="6C277F5D"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Drug class</w:t>
            </w:r>
          </w:p>
        </w:tc>
        <w:tc>
          <w:tcPr>
            <w:tcW w:w="4505" w:type="dxa"/>
            <w:tcBorders>
              <w:top w:val="single" w:sz="4" w:space="0" w:color="000000"/>
              <w:left w:val="single" w:sz="4" w:space="0" w:color="000000"/>
              <w:bottom w:val="single" w:sz="4" w:space="0" w:color="000000"/>
              <w:right w:val="single" w:sz="4" w:space="0" w:color="000000"/>
            </w:tcBorders>
            <w:shd w:val="clear" w:color="auto" w:fill="9CC3E5"/>
          </w:tcPr>
          <w:p w14:paraId="424E1589"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ATC codes</w:t>
            </w:r>
          </w:p>
        </w:tc>
      </w:tr>
      <w:tr w:rsidR="002E26C6" w14:paraId="267E8500"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4A462EAC"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Antihistamines</w:t>
            </w:r>
          </w:p>
        </w:tc>
        <w:tc>
          <w:tcPr>
            <w:tcW w:w="4505" w:type="dxa"/>
            <w:tcBorders>
              <w:top w:val="single" w:sz="4" w:space="0" w:color="000000"/>
              <w:left w:val="single" w:sz="4" w:space="0" w:color="000000"/>
              <w:bottom w:val="single" w:sz="4" w:space="0" w:color="000000"/>
              <w:right w:val="single" w:sz="4" w:space="0" w:color="000000"/>
            </w:tcBorders>
          </w:tcPr>
          <w:p w14:paraId="01795355"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A02BA</w:t>
            </w:r>
          </w:p>
        </w:tc>
      </w:tr>
      <w:tr w:rsidR="002E26C6" w14:paraId="5A96C2CF"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5EC10F6A"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Antiplatelets</w:t>
            </w:r>
          </w:p>
        </w:tc>
        <w:tc>
          <w:tcPr>
            <w:tcW w:w="4505" w:type="dxa"/>
            <w:tcBorders>
              <w:top w:val="single" w:sz="4" w:space="0" w:color="000000"/>
              <w:left w:val="single" w:sz="4" w:space="0" w:color="000000"/>
              <w:bottom w:val="single" w:sz="4" w:space="0" w:color="000000"/>
              <w:right w:val="single" w:sz="4" w:space="0" w:color="000000"/>
            </w:tcBorders>
          </w:tcPr>
          <w:p w14:paraId="2F79469D"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B01AC</w:t>
            </w:r>
          </w:p>
        </w:tc>
      </w:tr>
      <w:tr w:rsidR="002E26C6" w14:paraId="5C5FD554"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64BC6DDE"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NSAIDs</w:t>
            </w:r>
          </w:p>
        </w:tc>
        <w:tc>
          <w:tcPr>
            <w:tcW w:w="4505" w:type="dxa"/>
            <w:tcBorders>
              <w:top w:val="single" w:sz="4" w:space="0" w:color="000000"/>
              <w:left w:val="single" w:sz="4" w:space="0" w:color="000000"/>
              <w:bottom w:val="single" w:sz="4" w:space="0" w:color="000000"/>
              <w:right w:val="single" w:sz="4" w:space="0" w:color="000000"/>
            </w:tcBorders>
          </w:tcPr>
          <w:p w14:paraId="2BCFC25B"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M01A</w:t>
            </w:r>
          </w:p>
        </w:tc>
      </w:tr>
      <w:tr w:rsidR="002E26C6" w14:paraId="1EF66341"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6387E12A"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SSRI</w:t>
            </w:r>
          </w:p>
        </w:tc>
        <w:tc>
          <w:tcPr>
            <w:tcW w:w="4505" w:type="dxa"/>
            <w:tcBorders>
              <w:top w:val="single" w:sz="4" w:space="0" w:color="000000"/>
              <w:left w:val="single" w:sz="4" w:space="0" w:color="000000"/>
              <w:bottom w:val="single" w:sz="4" w:space="0" w:color="000000"/>
              <w:right w:val="single" w:sz="4" w:space="0" w:color="000000"/>
            </w:tcBorders>
          </w:tcPr>
          <w:p w14:paraId="6ED5E671"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N06AB</w:t>
            </w:r>
          </w:p>
        </w:tc>
      </w:tr>
      <w:tr w:rsidR="002E26C6" w14:paraId="52FABFA9"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6D4A8529"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Statins</w:t>
            </w:r>
          </w:p>
        </w:tc>
        <w:tc>
          <w:tcPr>
            <w:tcW w:w="4505" w:type="dxa"/>
            <w:tcBorders>
              <w:top w:val="single" w:sz="4" w:space="0" w:color="000000"/>
              <w:left w:val="single" w:sz="4" w:space="0" w:color="000000"/>
              <w:bottom w:val="single" w:sz="4" w:space="0" w:color="000000"/>
              <w:right w:val="single" w:sz="4" w:space="0" w:color="000000"/>
            </w:tcBorders>
          </w:tcPr>
          <w:p w14:paraId="5EE359D9"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C10AA</w:t>
            </w:r>
          </w:p>
        </w:tc>
      </w:tr>
      <w:tr w:rsidR="002E26C6" w14:paraId="07E73E7B"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78978A76"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Steroids</w:t>
            </w:r>
          </w:p>
        </w:tc>
        <w:tc>
          <w:tcPr>
            <w:tcW w:w="4505" w:type="dxa"/>
            <w:tcBorders>
              <w:top w:val="single" w:sz="4" w:space="0" w:color="000000"/>
              <w:left w:val="single" w:sz="4" w:space="0" w:color="000000"/>
              <w:bottom w:val="single" w:sz="4" w:space="0" w:color="000000"/>
              <w:right w:val="single" w:sz="4" w:space="0" w:color="000000"/>
            </w:tcBorders>
          </w:tcPr>
          <w:p w14:paraId="68A7C96D"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H02AB</w:t>
            </w:r>
          </w:p>
        </w:tc>
      </w:tr>
      <w:tr w:rsidR="002E26C6" w14:paraId="447ED629" w14:textId="77777777" w:rsidTr="007A4AF7">
        <w:tc>
          <w:tcPr>
            <w:tcW w:w="9010" w:type="dxa"/>
            <w:gridSpan w:val="2"/>
            <w:tcBorders>
              <w:top w:val="single" w:sz="4" w:space="0" w:color="000000"/>
              <w:left w:val="single" w:sz="4" w:space="0" w:color="000000"/>
              <w:bottom w:val="single" w:sz="4" w:space="0" w:color="000000"/>
              <w:right w:val="single" w:sz="4" w:space="0" w:color="000000"/>
            </w:tcBorders>
          </w:tcPr>
          <w:p w14:paraId="4D54AD07" w14:textId="77777777" w:rsidR="002E26C6" w:rsidRDefault="002E26C6" w:rsidP="007A4AF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Hypertensive medications</w:t>
            </w:r>
          </w:p>
        </w:tc>
      </w:tr>
      <w:tr w:rsidR="002E26C6" w14:paraId="7290C627"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50EABCF5"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a-blockers</w:t>
            </w:r>
          </w:p>
        </w:tc>
        <w:tc>
          <w:tcPr>
            <w:tcW w:w="4505" w:type="dxa"/>
            <w:tcBorders>
              <w:top w:val="single" w:sz="4" w:space="0" w:color="000000"/>
              <w:left w:val="single" w:sz="4" w:space="0" w:color="000000"/>
              <w:bottom w:val="single" w:sz="4" w:space="0" w:color="000000"/>
              <w:right w:val="single" w:sz="4" w:space="0" w:color="000000"/>
            </w:tcBorders>
          </w:tcPr>
          <w:p w14:paraId="585FE994"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C02A, C02B, C02C</w:t>
            </w:r>
          </w:p>
        </w:tc>
      </w:tr>
      <w:tr w:rsidR="002E26C6" w14:paraId="064467A5"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370EBBE2"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b-blockers</w:t>
            </w:r>
          </w:p>
        </w:tc>
        <w:tc>
          <w:tcPr>
            <w:tcW w:w="4505" w:type="dxa"/>
            <w:tcBorders>
              <w:top w:val="single" w:sz="4" w:space="0" w:color="000000"/>
              <w:left w:val="single" w:sz="4" w:space="0" w:color="000000"/>
              <w:bottom w:val="single" w:sz="4" w:space="0" w:color="000000"/>
              <w:right w:val="single" w:sz="4" w:space="0" w:color="000000"/>
            </w:tcBorders>
          </w:tcPr>
          <w:p w14:paraId="4B4A8E5D"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C07A, C07B</w:t>
            </w:r>
          </w:p>
        </w:tc>
      </w:tr>
      <w:tr w:rsidR="002E26C6" w14:paraId="11FD9F6D"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0948E0F6"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Ca2+-blockers</w:t>
            </w:r>
          </w:p>
        </w:tc>
        <w:tc>
          <w:tcPr>
            <w:tcW w:w="4505" w:type="dxa"/>
            <w:tcBorders>
              <w:top w:val="single" w:sz="4" w:space="0" w:color="000000"/>
              <w:left w:val="single" w:sz="4" w:space="0" w:color="000000"/>
              <w:bottom w:val="single" w:sz="4" w:space="0" w:color="000000"/>
              <w:right w:val="single" w:sz="4" w:space="0" w:color="000000"/>
            </w:tcBorders>
          </w:tcPr>
          <w:p w14:paraId="4BEB03CD"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C08, C09BB, C09DB, C07FB</w:t>
            </w:r>
          </w:p>
        </w:tc>
      </w:tr>
      <w:tr w:rsidR="002E26C6" w14:paraId="75FEAF65"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49D9C4CE"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Medications affecting the RAAS</w:t>
            </w:r>
          </w:p>
        </w:tc>
        <w:tc>
          <w:tcPr>
            <w:tcW w:w="4505" w:type="dxa"/>
            <w:tcBorders>
              <w:top w:val="single" w:sz="4" w:space="0" w:color="000000"/>
              <w:left w:val="single" w:sz="4" w:space="0" w:color="000000"/>
              <w:bottom w:val="single" w:sz="4" w:space="0" w:color="000000"/>
              <w:right w:val="single" w:sz="4" w:space="0" w:color="000000"/>
            </w:tcBorders>
          </w:tcPr>
          <w:p w14:paraId="425FF31E"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C09</w:t>
            </w:r>
          </w:p>
        </w:tc>
      </w:tr>
      <w:tr w:rsidR="002E26C6" w14:paraId="47095C8A"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469BAC4E"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Thiazides</w:t>
            </w:r>
          </w:p>
        </w:tc>
        <w:tc>
          <w:tcPr>
            <w:tcW w:w="4505" w:type="dxa"/>
            <w:tcBorders>
              <w:top w:val="single" w:sz="4" w:space="0" w:color="000000"/>
              <w:left w:val="single" w:sz="4" w:space="0" w:color="000000"/>
              <w:bottom w:val="single" w:sz="4" w:space="0" w:color="000000"/>
              <w:right w:val="single" w:sz="4" w:space="0" w:color="000000"/>
            </w:tcBorders>
          </w:tcPr>
          <w:p w14:paraId="5D2DF47E"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C03A, C09BA, C09DA, C07B, C07D, C08G</w:t>
            </w:r>
          </w:p>
        </w:tc>
      </w:tr>
      <w:tr w:rsidR="002E26C6" w14:paraId="2F3CE95B"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4D300102"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diuretics</w:t>
            </w:r>
          </w:p>
        </w:tc>
        <w:tc>
          <w:tcPr>
            <w:tcW w:w="4505" w:type="dxa"/>
            <w:tcBorders>
              <w:top w:val="single" w:sz="4" w:space="0" w:color="000000"/>
              <w:left w:val="single" w:sz="4" w:space="0" w:color="000000"/>
              <w:bottom w:val="single" w:sz="4" w:space="0" w:color="000000"/>
              <w:right w:val="single" w:sz="4" w:space="0" w:color="000000"/>
            </w:tcBorders>
          </w:tcPr>
          <w:p w14:paraId="45A392A0"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C02L, C03B, C03D, C03EA, C03X, C07C, C07D</w:t>
            </w:r>
          </w:p>
        </w:tc>
      </w:tr>
      <w:tr w:rsidR="002E26C6" w14:paraId="4BAB283F" w14:textId="77777777" w:rsidTr="007A4AF7">
        <w:tc>
          <w:tcPr>
            <w:tcW w:w="4505" w:type="dxa"/>
            <w:tcBorders>
              <w:top w:val="single" w:sz="4" w:space="0" w:color="000000"/>
              <w:left w:val="single" w:sz="4" w:space="0" w:color="000000"/>
              <w:bottom w:val="single" w:sz="4" w:space="0" w:color="000000"/>
              <w:right w:val="single" w:sz="4" w:space="0" w:color="000000"/>
            </w:tcBorders>
          </w:tcPr>
          <w:p w14:paraId="4ED10ABF" w14:textId="77777777" w:rsidR="002E26C6" w:rsidRDefault="002E26C6" w:rsidP="007A4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Vasodilators</w:t>
            </w:r>
          </w:p>
        </w:tc>
        <w:tc>
          <w:tcPr>
            <w:tcW w:w="4505" w:type="dxa"/>
            <w:tcBorders>
              <w:top w:val="single" w:sz="4" w:space="0" w:color="000000"/>
              <w:left w:val="single" w:sz="4" w:space="0" w:color="000000"/>
              <w:bottom w:val="single" w:sz="4" w:space="0" w:color="000000"/>
              <w:right w:val="single" w:sz="4" w:space="0" w:color="000000"/>
            </w:tcBorders>
          </w:tcPr>
          <w:p w14:paraId="44960E30" w14:textId="77777777" w:rsidR="002E26C6" w:rsidRDefault="002E26C6" w:rsidP="007A4AF7">
            <w:pPr>
              <w:rPr>
                <w:rFonts w:ascii="Times New Roman" w:eastAsia="Times New Roman" w:hAnsi="Times New Roman" w:cs="Times New Roman"/>
                <w:sz w:val="24"/>
                <w:szCs w:val="24"/>
              </w:rPr>
            </w:pPr>
            <w:r>
              <w:rPr>
                <w:rFonts w:ascii="Times New Roman" w:eastAsia="Times New Roman" w:hAnsi="Times New Roman" w:cs="Times New Roman"/>
                <w:sz w:val="24"/>
                <w:szCs w:val="24"/>
              </w:rPr>
              <w:t>C02D, C04, C05, C07E</w:t>
            </w:r>
          </w:p>
        </w:tc>
      </w:tr>
    </w:tbl>
    <w:p w14:paraId="0033C671" w14:textId="77777777" w:rsidR="002E26C6" w:rsidRDefault="002E26C6" w:rsidP="002E26C6">
      <w:pPr>
        <w:rPr>
          <w:rFonts w:ascii="Times New Roman" w:eastAsia="Times New Roman" w:hAnsi="Times New Roman" w:cs="Times New Roman"/>
        </w:rPr>
      </w:pPr>
      <w:r>
        <w:rPr>
          <w:rFonts w:ascii="Times New Roman" w:eastAsia="Times New Roman" w:hAnsi="Times New Roman" w:cs="Times New Roman"/>
          <w:sz w:val="24"/>
          <w:szCs w:val="24"/>
        </w:rPr>
        <w:br/>
      </w:r>
    </w:p>
    <w:p w14:paraId="5D509073" w14:textId="77777777" w:rsidR="002E26C6" w:rsidRDefault="002E26C6" w:rsidP="002E26C6">
      <w:pPr>
        <w:rPr>
          <w:rFonts w:ascii="Times New Roman" w:eastAsia="Times New Roman" w:hAnsi="Times New Roman" w:cs="Times New Roman"/>
        </w:rPr>
      </w:pPr>
      <w:r>
        <w:rPr>
          <w:rFonts w:ascii="Times New Roman" w:eastAsia="Times New Roman" w:hAnsi="Times New Roman" w:cs="Times New Roman"/>
        </w:rPr>
        <w:br w:type="page"/>
      </w:r>
    </w:p>
    <w:p w14:paraId="1E40155F" w14:textId="69088224" w:rsidR="002E26C6" w:rsidRPr="008C14A4" w:rsidRDefault="002E26C6" w:rsidP="002E26C6">
      <w:pPr>
        <w:pStyle w:val="Heading2"/>
        <w:rPr>
          <w:rFonts w:ascii="Times New Roman" w:eastAsia="Times New Roman" w:hAnsi="Times New Roman" w:cs="Times New Roman"/>
          <w:b/>
          <w:bCs/>
        </w:rPr>
      </w:pPr>
      <w:r w:rsidRPr="008C14A4">
        <w:rPr>
          <w:rFonts w:ascii="Times New Roman" w:eastAsia="Times New Roman" w:hAnsi="Times New Roman" w:cs="Times New Roman"/>
          <w:b/>
          <w:bCs/>
        </w:rPr>
        <w:lastRenderedPageBreak/>
        <w:t xml:space="preserve">Supplementary </w:t>
      </w:r>
      <w:r>
        <w:rPr>
          <w:rFonts w:ascii="Times New Roman" w:eastAsia="Times New Roman" w:hAnsi="Times New Roman" w:cs="Times New Roman"/>
          <w:b/>
          <w:bCs/>
        </w:rPr>
        <w:t>T</w:t>
      </w:r>
      <w:r w:rsidRPr="008C14A4">
        <w:rPr>
          <w:rFonts w:ascii="Times New Roman" w:eastAsia="Times New Roman" w:hAnsi="Times New Roman" w:cs="Times New Roman"/>
          <w:b/>
          <w:bCs/>
        </w:rPr>
        <w:t xml:space="preserve">able </w:t>
      </w:r>
      <w:r w:rsidR="00C76CB9">
        <w:rPr>
          <w:rFonts w:ascii="Times New Roman" w:eastAsia="Times New Roman" w:hAnsi="Times New Roman" w:cs="Times New Roman"/>
          <w:b/>
          <w:bCs/>
        </w:rPr>
        <w:t>3</w:t>
      </w:r>
      <w:r w:rsidRPr="008C14A4">
        <w:rPr>
          <w:rFonts w:ascii="Times New Roman" w:eastAsia="Times New Roman" w:hAnsi="Times New Roman" w:cs="Times New Roman"/>
          <w:b/>
          <w:bCs/>
        </w:rPr>
        <w:t>: Origin of bleeding event identification in patients on oral anticoagulation.</w:t>
      </w:r>
      <w:r>
        <w:rPr>
          <w:rFonts w:ascii="Times New Roman" w:eastAsia="Times New Roman" w:hAnsi="Times New Roman" w:cs="Times New Roman"/>
          <w:b/>
          <w:bCs/>
        </w:rPr>
        <w:br/>
      </w:r>
    </w:p>
    <w:tbl>
      <w:tblPr>
        <w:tblStyle w:val="TableGrid"/>
        <w:tblW w:w="9410" w:type="dxa"/>
        <w:tblLook w:val="04A0" w:firstRow="1" w:lastRow="0" w:firstColumn="1" w:lastColumn="0" w:noHBand="0" w:noVBand="1"/>
      </w:tblPr>
      <w:tblGrid>
        <w:gridCol w:w="4705"/>
        <w:gridCol w:w="4705"/>
      </w:tblGrid>
      <w:tr w:rsidR="002E26C6" w14:paraId="1378E0CD" w14:textId="77777777" w:rsidTr="007A4AF7">
        <w:trPr>
          <w:trHeight w:val="514"/>
        </w:trPr>
        <w:tc>
          <w:tcPr>
            <w:tcW w:w="4705" w:type="dxa"/>
            <w:shd w:val="clear" w:color="auto" w:fill="9CC2E5" w:themeFill="accent5" w:themeFillTint="99"/>
          </w:tcPr>
          <w:p w14:paraId="1B80AAD7" w14:textId="77777777" w:rsidR="002E26C6" w:rsidRPr="00B26259" w:rsidRDefault="002E26C6" w:rsidP="007A4AF7">
            <w:pP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Bleeding event origin</w:t>
            </w:r>
          </w:p>
        </w:tc>
        <w:tc>
          <w:tcPr>
            <w:tcW w:w="4705" w:type="dxa"/>
            <w:shd w:val="clear" w:color="auto" w:fill="9CC2E5" w:themeFill="accent5" w:themeFillTint="99"/>
          </w:tcPr>
          <w:p w14:paraId="3226BEF7" w14:textId="77777777" w:rsidR="002E26C6" w:rsidRPr="00B26259" w:rsidRDefault="002E26C6" w:rsidP="007A4AF7">
            <w:pPr>
              <w:jc w:val="cente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n (%)</w:t>
            </w:r>
          </w:p>
        </w:tc>
      </w:tr>
      <w:tr w:rsidR="002E26C6" w14:paraId="18A225F4" w14:textId="77777777" w:rsidTr="007A4AF7">
        <w:trPr>
          <w:trHeight w:val="502"/>
        </w:trPr>
        <w:tc>
          <w:tcPr>
            <w:tcW w:w="4705" w:type="dxa"/>
          </w:tcPr>
          <w:p w14:paraId="1F54CE80" w14:textId="77777777" w:rsidR="002E26C6" w:rsidRPr="00B26259" w:rsidRDefault="002E26C6" w:rsidP="007A4AF7">
            <w:pP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Landspitali University hospital Iceland</w:t>
            </w:r>
          </w:p>
        </w:tc>
        <w:tc>
          <w:tcPr>
            <w:tcW w:w="4705" w:type="dxa"/>
          </w:tcPr>
          <w:p w14:paraId="1382B68E" w14:textId="77777777" w:rsidR="002E26C6" w:rsidRPr="00B26259" w:rsidRDefault="002E26C6" w:rsidP="007A4AF7">
            <w:pPr>
              <w:jc w:val="center"/>
              <w:rPr>
                <w:rFonts w:ascii="Times New Roman" w:eastAsia="Times New Roman" w:hAnsi="Times New Roman" w:cs="Times New Roman"/>
                <w:sz w:val="24"/>
                <w:szCs w:val="24"/>
              </w:rPr>
            </w:pPr>
            <w:r w:rsidRPr="00B26259">
              <w:rPr>
                <w:rFonts w:ascii="Times New Roman" w:eastAsia="Times New Roman" w:hAnsi="Times New Roman" w:cs="Times New Roman"/>
                <w:sz w:val="24"/>
                <w:szCs w:val="24"/>
              </w:rPr>
              <w:t>482 (64%)</w:t>
            </w:r>
          </w:p>
        </w:tc>
      </w:tr>
      <w:tr w:rsidR="002E26C6" w14:paraId="14621BCB" w14:textId="77777777" w:rsidTr="007A4AF7">
        <w:trPr>
          <w:trHeight w:val="514"/>
        </w:trPr>
        <w:tc>
          <w:tcPr>
            <w:tcW w:w="4705" w:type="dxa"/>
          </w:tcPr>
          <w:p w14:paraId="1F96B63E" w14:textId="77777777" w:rsidR="002E26C6" w:rsidRPr="00B26259" w:rsidRDefault="002E26C6" w:rsidP="007A4AF7">
            <w:pP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Regional Hospitals</w:t>
            </w:r>
          </w:p>
        </w:tc>
        <w:tc>
          <w:tcPr>
            <w:tcW w:w="4705" w:type="dxa"/>
          </w:tcPr>
          <w:p w14:paraId="73DA2FA1" w14:textId="77777777" w:rsidR="002E26C6" w:rsidRPr="00B26259" w:rsidRDefault="002E26C6" w:rsidP="007A4AF7">
            <w:pPr>
              <w:jc w:val="center"/>
              <w:rPr>
                <w:rFonts w:ascii="Times New Roman" w:eastAsia="Times New Roman" w:hAnsi="Times New Roman" w:cs="Times New Roman"/>
                <w:sz w:val="24"/>
                <w:szCs w:val="24"/>
              </w:rPr>
            </w:pPr>
            <w:r w:rsidRPr="00B26259">
              <w:rPr>
                <w:rFonts w:ascii="Times New Roman" w:eastAsia="Times New Roman" w:hAnsi="Times New Roman" w:cs="Times New Roman"/>
                <w:sz w:val="24"/>
                <w:szCs w:val="24"/>
              </w:rPr>
              <w:t>106 (14%)</w:t>
            </w:r>
          </w:p>
        </w:tc>
      </w:tr>
      <w:tr w:rsidR="002E26C6" w14:paraId="3F459560" w14:textId="77777777" w:rsidTr="007A4AF7">
        <w:trPr>
          <w:trHeight w:val="514"/>
        </w:trPr>
        <w:tc>
          <w:tcPr>
            <w:tcW w:w="4705" w:type="dxa"/>
          </w:tcPr>
          <w:p w14:paraId="12D0E83B" w14:textId="77777777" w:rsidR="002E26C6" w:rsidRPr="00B26259" w:rsidRDefault="002E26C6" w:rsidP="007A4AF7">
            <w:pP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Cause of Death Registry</w:t>
            </w:r>
          </w:p>
        </w:tc>
        <w:tc>
          <w:tcPr>
            <w:tcW w:w="4705" w:type="dxa"/>
          </w:tcPr>
          <w:p w14:paraId="7369DCB9" w14:textId="77777777" w:rsidR="002E26C6" w:rsidRPr="00B26259" w:rsidRDefault="002E26C6" w:rsidP="007A4AF7">
            <w:pPr>
              <w:jc w:val="center"/>
              <w:rPr>
                <w:rFonts w:ascii="Times New Roman" w:eastAsia="Times New Roman" w:hAnsi="Times New Roman" w:cs="Times New Roman"/>
                <w:sz w:val="24"/>
                <w:szCs w:val="24"/>
              </w:rPr>
            </w:pPr>
            <w:r w:rsidRPr="00B26259">
              <w:rPr>
                <w:rFonts w:ascii="Times New Roman" w:eastAsia="Times New Roman" w:hAnsi="Times New Roman" w:cs="Times New Roman"/>
                <w:sz w:val="24"/>
                <w:szCs w:val="24"/>
              </w:rPr>
              <w:t>18 (2%)</w:t>
            </w:r>
          </w:p>
        </w:tc>
      </w:tr>
      <w:tr w:rsidR="002E26C6" w14:paraId="69C9DD26" w14:textId="77777777" w:rsidTr="007A4AF7">
        <w:trPr>
          <w:trHeight w:val="514"/>
        </w:trPr>
        <w:tc>
          <w:tcPr>
            <w:tcW w:w="4705" w:type="dxa"/>
          </w:tcPr>
          <w:p w14:paraId="6B805A91" w14:textId="77777777" w:rsidR="002E26C6" w:rsidRPr="00B26259" w:rsidRDefault="002E26C6" w:rsidP="007A4AF7">
            <w:pP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Endoscopy Database</w:t>
            </w:r>
          </w:p>
        </w:tc>
        <w:tc>
          <w:tcPr>
            <w:tcW w:w="4705" w:type="dxa"/>
          </w:tcPr>
          <w:p w14:paraId="361F4C96" w14:textId="77777777" w:rsidR="002E26C6" w:rsidRPr="00B26259" w:rsidRDefault="002E26C6" w:rsidP="007A4AF7">
            <w:pPr>
              <w:jc w:val="center"/>
              <w:rPr>
                <w:rFonts w:ascii="Times New Roman" w:eastAsia="Times New Roman" w:hAnsi="Times New Roman" w:cs="Times New Roman"/>
                <w:sz w:val="24"/>
                <w:szCs w:val="24"/>
              </w:rPr>
            </w:pPr>
            <w:r w:rsidRPr="00B26259">
              <w:rPr>
                <w:rFonts w:ascii="Times New Roman" w:eastAsia="Times New Roman" w:hAnsi="Times New Roman" w:cs="Times New Roman"/>
                <w:sz w:val="24"/>
                <w:szCs w:val="24"/>
              </w:rPr>
              <w:t>146 (19%)</w:t>
            </w:r>
          </w:p>
        </w:tc>
      </w:tr>
    </w:tbl>
    <w:p w14:paraId="0035DFAA" w14:textId="77777777" w:rsidR="002E26C6" w:rsidRDefault="002E26C6" w:rsidP="002E26C6">
      <w:pPr>
        <w:rPr>
          <w:rFonts w:ascii="Times New Roman" w:eastAsia="Times New Roman" w:hAnsi="Times New Roman" w:cs="Times New Roman"/>
        </w:rPr>
      </w:pPr>
    </w:p>
    <w:p w14:paraId="2DD21C9B" w14:textId="6447DA0F" w:rsidR="002E26C6" w:rsidRPr="008C14A4" w:rsidRDefault="002E26C6" w:rsidP="002E26C6">
      <w:pPr>
        <w:pStyle w:val="Heading2"/>
        <w:rPr>
          <w:rFonts w:ascii="Times New Roman" w:eastAsia="Times New Roman" w:hAnsi="Times New Roman" w:cs="Times New Roman"/>
          <w:b/>
          <w:bCs/>
        </w:rPr>
      </w:pPr>
      <w:r w:rsidRPr="008C14A4">
        <w:rPr>
          <w:rFonts w:ascii="Times New Roman" w:eastAsia="Times New Roman" w:hAnsi="Times New Roman" w:cs="Times New Roman"/>
          <w:b/>
          <w:bCs/>
        </w:rPr>
        <w:t xml:space="preserve">Supplementary </w:t>
      </w:r>
      <w:r>
        <w:rPr>
          <w:rFonts w:ascii="Times New Roman" w:eastAsia="Times New Roman" w:hAnsi="Times New Roman" w:cs="Times New Roman"/>
          <w:b/>
          <w:bCs/>
        </w:rPr>
        <w:t>T</w:t>
      </w:r>
      <w:r w:rsidRPr="008C14A4">
        <w:rPr>
          <w:rFonts w:ascii="Times New Roman" w:eastAsia="Times New Roman" w:hAnsi="Times New Roman" w:cs="Times New Roman"/>
          <w:b/>
          <w:bCs/>
        </w:rPr>
        <w:t xml:space="preserve">able </w:t>
      </w:r>
      <w:r w:rsidR="00C76CB9">
        <w:rPr>
          <w:rFonts w:ascii="Times New Roman" w:eastAsia="Times New Roman" w:hAnsi="Times New Roman" w:cs="Times New Roman"/>
          <w:b/>
          <w:bCs/>
        </w:rPr>
        <w:t>4</w:t>
      </w:r>
      <w:r w:rsidRPr="008C14A4">
        <w:rPr>
          <w:rFonts w:ascii="Times New Roman" w:eastAsia="Times New Roman" w:hAnsi="Times New Roman" w:cs="Times New Roman"/>
          <w:b/>
          <w:bCs/>
        </w:rPr>
        <w:t>: Indications for oral anticoagulation in patients with gastrointestinal bleeding events.</w:t>
      </w:r>
      <w:r>
        <w:rPr>
          <w:rFonts w:ascii="Times New Roman" w:eastAsia="Times New Roman" w:hAnsi="Times New Roman" w:cs="Times New Roman"/>
          <w:b/>
          <w:bCs/>
        </w:rPr>
        <w:br/>
      </w:r>
    </w:p>
    <w:tbl>
      <w:tblPr>
        <w:tblStyle w:val="TableGrid"/>
        <w:tblW w:w="9428" w:type="dxa"/>
        <w:tblLook w:val="04A0" w:firstRow="1" w:lastRow="0" w:firstColumn="1" w:lastColumn="0" w:noHBand="0" w:noVBand="1"/>
      </w:tblPr>
      <w:tblGrid>
        <w:gridCol w:w="4714"/>
        <w:gridCol w:w="4714"/>
      </w:tblGrid>
      <w:tr w:rsidR="002E26C6" w14:paraId="2478DEE5" w14:textId="77777777" w:rsidTr="007A4AF7">
        <w:trPr>
          <w:trHeight w:val="486"/>
        </w:trPr>
        <w:tc>
          <w:tcPr>
            <w:tcW w:w="4714" w:type="dxa"/>
            <w:shd w:val="clear" w:color="auto" w:fill="9CC2E5" w:themeFill="accent5" w:themeFillTint="99"/>
          </w:tcPr>
          <w:p w14:paraId="70A0215A" w14:textId="77777777" w:rsidR="002E26C6" w:rsidRPr="00B26259" w:rsidRDefault="002E26C6" w:rsidP="007A4AF7">
            <w:pP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Indication for oral anticoagulation</w:t>
            </w:r>
          </w:p>
        </w:tc>
        <w:tc>
          <w:tcPr>
            <w:tcW w:w="4714" w:type="dxa"/>
            <w:shd w:val="clear" w:color="auto" w:fill="9CC2E5" w:themeFill="accent5" w:themeFillTint="99"/>
          </w:tcPr>
          <w:p w14:paraId="4A2C6704" w14:textId="77777777" w:rsidR="002E26C6" w:rsidRPr="00B26259" w:rsidRDefault="002E26C6" w:rsidP="007A4AF7">
            <w:pPr>
              <w:jc w:val="cente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n (%)</w:t>
            </w:r>
          </w:p>
        </w:tc>
      </w:tr>
      <w:tr w:rsidR="002E26C6" w14:paraId="5067ACB0" w14:textId="77777777" w:rsidTr="007A4AF7">
        <w:trPr>
          <w:trHeight w:val="486"/>
        </w:trPr>
        <w:tc>
          <w:tcPr>
            <w:tcW w:w="4714" w:type="dxa"/>
          </w:tcPr>
          <w:p w14:paraId="4C0BB3E2" w14:textId="77777777" w:rsidR="002E26C6" w:rsidRPr="00B26259" w:rsidRDefault="002E26C6" w:rsidP="007A4AF7">
            <w:pP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Atrial fibrillation</w:t>
            </w:r>
          </w:p>
        </w:tc>
        <w:tc>
          <w:tcPr>
            <w:tcW w:w="4714" w:type="dxa"/>
          </w:tcPr>
          <w:p w14:paraId="7800C3E2" w14:textId="77777777" w:rsidR="002E26C6" w:rsidRPr="00B26259" w:rsidRDefault="002E26C6" w:rsidP="007A4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550 (</w:t>
            </w:r>
            <w:r w:rsidRPr="00B26259">
              <w:rPr>
                <w:rFonts w:ascii="Times New Roman" w:eastAsia="Times New Roman" w:hAnsi="Times New Roman" w:cs="Times New Roman"/>
                <w:sz w:val="24"/>
                <w:szCs w:val="24"/>
              </w:rPr>
              <w:t>73%</w:t>
            </w:r>
            <w:r>
              <w:rPr>
                <w:rFonts w:ascii="Times New Roman" w:eastAsia="Times New Roman" w:hAnsi="Times New Roman" w:cs="Times New Roman"/>
                <w:sz w:val="24"/>
                <w:szCs w:val="24"/>
              </w:rPr>
              <w:t>)</w:t>
            </w:r>
          </w:p>
        </w:tc>
      </w:tr>
      <w:tr w:rsidR="002E26C6" w14:paraId="09DAAECF" w14:textId="77777777" w:rsidTr="007A4AF7">
        <w:trPr>
          <w:trHeight w:val="486"/>
        </w:trPr>
        <w:tc>
          <w:tcPr>
            <w:tcW w:w="4714" w:type="dxa"/>
          </w:tcPr>
          <w:p w14:paraId="3458B1E2" w14:textId="77777777" w:rsidR="002E26C6" w:rsidRPr="00B26259" w:rsidRDefault="002E26C6" w:rsidP="007A4AF7">
            <w:pP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Venous thromboembolism</w:t>
            </w:r>
          </w:p>
        </w:tc>
        <w:tc>
          <w:tcPr>
            <w:tcW w:w="4714" w:type="dxa"/>
          </w:tcPr>
          <w:p w14:paraId="49ACEBB1" w14:textId="77777777" w:rsidR="002E26C6" w:rsidRPr="00B26259" w:rsidRDefault="002E26C6" w:rsidP="007A4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 (</w:t>
            </w:r>
            <w:r w:rsidRPr="00B26259">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tc>
      </w:tr>
      <w:tr w:rsidR="002E26C6" w14:paraId="5876CB19" w14:textId="77777777" w:rsidTr="007A4AF7">
        <w:trPr>
          <w:trHeight w:val="475"/>
        </w:trPr>
        <w:tc>
          <w:tcPr>
            <w:tcW w:w="4714" w:type="dxa"/>
          </w:tcPr>
          <w:p w14:paraId="2570F5F2" w14:textId="77777777" w:rsidR="002E26C6" w:rsidRPr="00B26259" w:rsidRDefault="002E26C6" w:rsidP="007A4AF7">
            <w:pP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Mechanical heart valve</w:t>
            </w:r>
          </w:p>
        </w:tc>
        <w:tc>
          <w:tcPr>
            <w:tcW w:w="4714" w:type="dxa"/>
          </w:tcPr>
          <w:p w14:paraId="799807F9" w14:textId="77777777" w:rsidR="002E26C6" w:rsidRPr="00B26259" w:rsidRDefault="002E26C6" w:rsidP="007A4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w:t>
            </w:r>
            <w:r w:rsidRPr="00B26259">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r>
      <w:tr w:rsidR="002E26C6" w14:paraId="681224DE" w14:textId="77777777" w:rsidTr="007A4AF7">
        <w:trPr>
          <w:trHeight w:val="486"/>
        </w:trPr>
        <w:tc>
          <w:tcPr>
            <w:tcW w:w="4714" w:type="dxa"/>
          </w:tcPr>
          <w:p w14:paraId="605A70CC" w14:textId="77777777" w:rsidR="002E26C6" w:rsidRPr="00B26259" w:rsidRDefault="002E26C6" w:rsidP="007A4AF7">
            <w:pPr>
              <w:rPr>
                <w:rFonts w:ascii="Times New Roman" w:eastAsia="Times New Roman" w:hAnsi="Times New Roman" w:cs="Times New Roman"/>
                <w:b/>
                <w:bCs/>
                <w:sz w:val="24"/>
                <w:szCs w:val="24"/>
              </w:rPr>
            </w:pPr>
            <w:r w:rsidRPr="00B26259">
              <w:rPr>
                <w:rFonts w:ascii="Times New Roman" w:eastAsia="Times New Roman" w:hAnsi="Times New Roman" w:cs="Times New Roman"/>
                <w:b/>
                <w:bCs/>
                <w:sz w:val="24"/>
                <w:szCs w:val="24"/>
              </w:rPr>
              <w:t>Unknown</w:t>
            </w:r>
          </w:p>
        </w:tc>
        <w:tc>
          <w:tcPr>
            <w:tcW w:w="4714" w:type="dxa"/>
          </w:tcPr>
          <w:p w14:paraId="08A61F79" w14:textId="77777777" w:rsidR="002E26C6" w:rsidRPr="00B26259" w:rsidRDefault="002E26C6" w:rsidP="007A4A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w:t>
            </w:r>
            <w:r w:rsidRPr="00B26259">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r>
    </w:tbl>
    <w:p w14:paraId="1B1D5688" w14:textId="77777777" w:rsidR="002E26C6" w:rsidRDefault="002E26C6" w:rsidP="002E26C6">
      <w:pPr>
        <w:rPr>
          <w:rFonts w:ascii="Times New Roman" w:eastAsia="Times New Roman" w:hAnsi="Times New Roman" w:cs="Times New Roman"/>
        </w:rPr>
      </w:pPr>
    </w:p>
    <w:p w14:paraId="4F8D58E0" w14:textId="77777777" w:rsidR="002E26C6" w:rsidRDefault="002E26C6" w:rsidP="002E26C6">
      <w:pPr>
        <w:rPr>
          <w:rFonts w:ascii="Times New Roman" w:eastAsia="Times New Roman" w:hAnsi="Times New Roman" w:cs="Times New Roman"/>
        </w:rPr>
      </w:pPr>
    </w:p>
    <w:p w14:paraId="7C976F6D" w14:textId="77777777" w:rsidR="002E26C6" w:rsidRDefault="002E26C6" w:rsidP="002E26C6">
      <w:pPr>
        <w:rPr>
          <w:rFonts w:ascii="Times New Roman" w:eastAsia="Times New Roman" w:hAnsi="Times New Roman" w:cs="Times New Roman"/>
        </w:rPr>
      </w:pPr>
    </w:p>
    <w:p w14:paraId="7DC10883" w14:textId="2D820CBC" w:rsidR="00EF7A6B" w:rsidRDefault="00EF7A6B">
      <w:r>
        <w:br w:type="page"/>
      </w:r>
    </w:p>
    <w:p w14:paraId="71F33309" w14:textId="77777777" w:rsidR="00EF7A6B" w:rsidRDefault="00EF7A6B" w:rsidP="00EF7A6B">
      <w:pPr>
        <w:pStyle w:val="TableTitle"/>
      </w:pPr>
      <w:r>
        <w:lastRenderedPageBreak/>
        <w:t>STROBE Statement—c STROBE Statement—checklist of items that should be included in reports of observational studies</w:t>
      </w:r>
    </w:p>
    <w:p w14:paraId="19F9C1FB" w14:textId="77777777" w:rsidR="00EF7A6B" w:rsidRDefault="00EF7A6B" w:rsidP="00EF7A6B">
      <w:pPr>
        <w:spacing w:after="0" w:line="300" w:lineRule="exact"/>
        <w:rPr>
          <w:rFonts w:ascii="Times New Roman" w:eastAsia="Times New Roman" w:hAnsi="Times New Roman" w:cs="Times New Roman"/>
          <w:sz w:val="24"/>
          <w:szCs w:val="20"/>
          <w:lang w:val="en-GB" w:eastAsia="en-US"/>
        </w:rPr>
      </w:pPr>
    </w:p>
    <w:tbl>
      <w:tblPr>
        <w:tblW w:w="10725" w:type="dxa"/>
        <w:tblBorders>
          <w:top w:val="single" w:sz="4" w:space="0" w:color="auto"/>
          <w:bottom w:val="single" w:sz="4" w:space="0" w:color="auto"/>
          <w:insideH w:val="single" w:sz="4" w:space="0" w:color="auto"/>
        </w:tblBorders>
        <w:tblLook w:val="04A0" w:firstRow="1" w:lastRow="0" w:firstColumn="1" w:lastColumn="0" w:noHBand="0" w:noVBand="1"/>
      </w:tblPr>
      <w:tblGrid>
        <w:gridCol w:w="1949"/>
        <w:gridCol w:w="616"/>
        <w:gridCol w:w="5150"/>
        <w:gridCol w:w="1045"/>
        <w:gridCol w:w="1965"/>
      </w:tblGrid>
      <w:tr w:rsidR="00EF7A6B" w14:paraId="187BD0D1" w14:textId="77777777" w:rsidTr="00EF7A6B">
        <w:trPr>
          <w:trHeight w:val="463"/>
        </w:trPr>
        <w:tc>
          <w:tcPr>
            <w:tcW w:w="1395" w:type="dxa"/>
            <w:tcBorders>
              <w:top w:val="single" w:sz="4" w:space="0" w:color="auto"/>
              <w:left w:val="nil"/>
              <w:bottom w:val="single" w:sz="4" w:space="0" w:color="auto"/>
              <w:right w:val="nil"/>
            </w:tcBorders>
          </w:tcPr>
          <w:p w14:paraId="1D936844"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440" w:type="dxa"/>
            <w:tcBorders>
              <w:top w:val="single" w:sz="4" w:space="0" w:color="auto"/>
              <w:left w:val="nil"/>
              <w:bottom w:val="single" w:sz="4" w:space="0" w:color="auto"/>
              <w:right w:val="nil"/>
            </w:tcBorders>
            <w:hideMark/>
          </w:tcPr>
          <w:p w14:paraId="3B13C761" w14:textId="77777777" w:rsidR="00EF7A6B" w:rsidRDefault="00EF7A6B">
            <w:pPr>
              <w:tabs>
                <w:tab w:val="left" w:pos="5400"/>
              </w:tabs>
              <w:spacing w:before="120" w:after="0" w:line="240" w:lineRule="auto"/>
              <w:jc w:val="center"/>
              <w:rPr>
                <w:rFonts w:ascii="Times New Roman" w:eastAsia="Times New Roman" w:hAnsi="Times New Roman" w:cs="Times New Roman"/>
                <w:b/>
                <w:bCs/>
                <w:sz w:val="20"/>
                <w:szCs w:val="20"/>
                <w:lang w:val="en-GB" w:eastAsia="en-US"/>
              </w:rPr>
            </w:pPr>
            <w:r>
              <w:rPr>
                <w:rFonts w:ascii="Times New Roman" w:eastAsia="Times New Roman" w:hAnsi="Times New Roman" w:cs="Times New Roman"/>
                <w:b/>
                <w:bCs/>
                <w:sz w:val="20"/>
                <w:szCs w:val="20"/>
                <w:lang w:val="en-GB" w:eastAsia="en-US"/>
              </w:rPr>
              <w:t>Item No.</w:t>
            </w:r>
          </w:p>
        </w:tc>
        <w:tc>
          <w:tcPr>
            <w:tcW w:w="5745" w:type="dxa"/>
            <w:tcBorders>
              <w:top w:val="single" w:sz="4" w:space="0" w:color="auto"/>
              <w:left w:val="nil"/>
              <w:bottom w:val="single" w:sz="4" w:space="0" w:color="auto"/>
              <w:right w:val="nil"/>
            </w:tcBorders>
            <w:vAlign w:val="bottom"/>
            <w:hideMark/>
          </w:tcPr>
          <w:p w14:paraId="00D4A371" w14:textId="77777777" w:rsidR="00EF7A6B" w:rsidRDefault="00EF7A6B">
            <w:pPr>
              <w:tabs>
                <w:tab w:val="left" w:pos="5400"/>
              </w:tabs>
              <w:spacing w:before="120" w:after="0" w:line="240" w:lineRule="auto"/>
              <w:jc w:val="center"/>
              <w:rPr>
                <w:rFonts w:ascii="Times New Roman" w:eastAsia="Times New Roman" w:hAnsi="Times New Roman" w:cs="Times New Roman"/>
                <w:b/>
                <w:bCs/>
                <w:sz w:val="20"/>
                <w:szCs w:val="20"/>
                <w:lang w:val="en-GB" w:eastAsia="en-US"/>
              </w:rPr>
            </w:pPr>
            <w:r>
              <w:rPr>
                <w:rFonts w:ascii="Times New Roman" w:eastAsia="Times New Roman" w:hAnsi="Times New Roman" w:cs="Times New Roman"/>
                <w:b/>
                <w:bCs/>
                <w:sz w:val="20"/>
                <w:szCs w:val="20"/>
                <w:lang w:val="en-GB" w:eastAsia="en-US"/>
              </w:rPr>
              <w:t>Recommendation</w:t>
            </w:r>
          </w:p>
        </w:tc>
        <w:tc>
          <w:tcPr>
            <w:tcW w:w="1115" w:type="dxa"/>
            <w:tcBorders>
              <w:top w:val="single" w:sz="4" w:space="0" w:color="auto"/>
              <w:left w:val="nil"/>
              <w:bottom w:val="single" w:sz="4" w:space="0" w:color="auto"/>
              <w:right w:val="nil"/>
            </w:tcBorders>
            <w:hideMark/>
          </w:tcPr>
          <w:p w14:paraId="788ED94C" w14:textId="77777777" w:rsidR="00EF7A6B" w:rsidRDefault="00EF7A6B">
            <w:pPr>
              <w:tabs>
                <w:tab w:val="left" w:pos="5400"/>
              </w:tabs>
              <w:spacing w:before="120" w:after="0" w:line="240" w:lineRule="auto"/>
              <w:jc w:val="center"/>
              <w:rPr>
                <w:rFonts w:ascii="Times New Roman" w:eastAsia="Times New Roman" w:hAnsi="Times New Roman" w:cs="Times New Roman"/>
                <w:b/>
                <w:bCs/>
                <w:sz w:val="20"/>
                <w:szCs w:val="20"/>
                <w:lang w:val="en-GB" w:eastAsia="en-US"/>
              </w:rPr>
            </w:pPr>
            <w:r>
              <w:rPr>
                <w:rFonts w:ascii="Times New Roman" w:eastAsia="Times New Roman" w:hAnsi="Times New Roman" w:cs="Times New Roman"/>
                <w:b/>
                <w:bCs/>
                <w:sz w:val="20"/>
                <w:szCs w:val="20"/>
                <w:lang w:val="en-GB" w:eastAsia="en-US"/>
              </w:rPr>
              <w:t xml:space="preserve">Page </w:t>
            </w:r>
            <w:r>
              <w:rPr>
                <w:rFonts w:ascii="Times New Roman" w:eastAsia="Times New Roman" w:hAnsi="Times New Roman" w:cs="Times New Roman"/>
                <w:b/>
                <w:bCs/>
                <w:sz w:val="20"/>
                <w:szCs w:val="20"/>
                <w:lang w:val="en-GB" w:eastAsia="en-US"/>
              </w:rPr>
              <w:br/>
              <w:t>No.</w:t>
            </w:r>
          </w:p>
        </w:tc>
        <w:tc>
          <w:tcPr>
            <w:tcW w:w="2028" w:type="dxa"/>
            <w:tcBorders>
              <w:top w:val="single" w:sz="4" w:space="0" w:color="auto"/>
              <w:left w:val="nil"/>
              <w:bottom w:val="single" w:sz="4" w:space="0" w:color="auto"/>
              <w:right w:val="nil"/>
            </w:tcBorders>
            <w:hideMark/>
          </w:tcPr>
          <w:p w14:paraId="1B33421B" w14:textId="77777777" w:rsidR="00EF7A6B" w:rsidRDefault="00EF7A6B">
            <w:pPr>
              <w:tabs>
                <w:tab w:val="left" w:pos="5400"/>
              </w:tabs>
              <w:spacing w:before="120" w:after="0" w:line="240" w:lineRule="auto"/>
              <w:jc w:val="center"/>
              <w:rPr>
                <w:rFonts w:ascii="Times New Roman" w:eastAsia="Times New Roman" w:hAnsi="Times New Roman" w:cs="Times New Roman"/>
                <w:b/>
                <w:bCs/>
                <w:sz w:val="20"/>
                <w:szCs w:val="20"/>
                <w:lang w:val="en-GB" w:eastAsia="en-US"/>
              </w:rPr>
            </w:pPr>
            <w:r>
              <w:rPr>
                <w:rFonts w:ascii="Times New Roman" w:eastAsia="Times New Roman" w:hAnsi="Times New Roman" w:cs="Times New Roman"/>
                <w:b/>
                <w:bCs/>
                <w:sz w:val="20"/>
                <w:szCs w:val="20"/>
                <w:lang w:val="en-GB" w:eastAsia="en-US"/>
              </w:rPr>
              <w:t>Relevant text from manuscript</w:t>
            </w:r>
          </w:p>
        </w:tc>
      </w:tr>
      <w:tr w:rsidR="00EF7A6B" w14:paraId="7CD420DF" w14:textId="77777777" w:rsidTr="00EF7A6B">
        <w:trPr>
          <w:trHeight w:val="241"/>
        </w:trPr>
        <w:tc>
          <w:tcPr>
            <w:tcW w:w="1395" w:type="dxa"/>
            <w:vMerge w:val="restart"/>
            <w:tcBorders>
              <w:top w:val="single" w:sz="4" w:space="0" w:color="auto"/>
              <w:left w:val="nil"/>
              <w:bottom w:val="single" w:sz="4" w:space="0" w:color="auto"/>
              <w:right w:val="nil"/>
            </w:tcBorders>
            <w:hideMark/>
          </w:tcPr>
          <w:p w14:paraId="61068E95" w14:textId="77777777" w:rsidR="00EF7A6B" w:rsidRDefault="00EF7A6B">
            <w:pPr>
              <w:tabs>
                <w:tab w:val="left" w:pos="5400"/>
              </w:tabs>
              <w:spacing w:after="0" w:line="300" w:lineRule="exact"/>
              <w:rPr>
                <w:rFonts w:ascii="Times New Roman" w:eastAsia="Times New Roman" w:hAnsi="Times New Roman" w:cs="Times New Roman"/>
                <w:b/>
                <w:bCs/>
                <w:sz w:val="20"/>
                <w:szCs w:val="20"/>
                <w:lang w:val="en-GB" w:eastAsia="en-US"/>
              </w:rPr>
            </w:pPr>
            <w:r>
              <w:rPr>
                <w:rFonts w:ascii="Times New Roman" w:eastAsia="Times New Roman" w:hAnsi="Times New Roman" w:cs="Times New Roman"/>
                <w:b/>
                <w:sz w:val="20"/>
                <w:szCs w:val="20"/>
                <w:lang w:val="en-GB" w:eastAsia="en-US"/>
              </w:rPr>
              <w:t>Title and abstract</w:t>
            </w:r>
          </w:p>
        </w:tc>
        <w:tc>
          <w:tcPr>
            <w:tcW w:w="440" w:type="dxa"/>
            <w:vMerge w:val="restart"/>
            <w:tcBorders>
              <w:top w:val="single" w:sz="4" w:space="0" w:color="auto"/>
              <w:left w:val="nil"/>
              <w:bottom w:val="single" w:sz="4" w:space="0" w:color="auto"/>
              <w:right w:val="nil"/>
            </w:tcBorders>
            <w:hideMark/>
          </w:tcPr>
          <w:p w14:paraId="5398CDDC"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w:t>
            </w:r>
          </w:p>
        </w:tc>
        <w:tc>
          <w:tcPr>
            <w:tcW w:w="5745" w:type="dxa"/>
            <w:tcBorders>
              <w:top w:val="single" w:sz="4" w:space="0" w:color="auto"/>
              <w:left w:val="nil"/>
              <w:bottom w:val="single" w:sz="4" w:space="0" w:color="auto"/>
              <w:right w:val="nil"/>
            </w:tcBorders>
            <w:hideMark/>
          </w:tcPr>
          <w:p w14:paraId="281E41B2"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lang w:val="en-GB" w:eastAsia="en-US"/>
              </w:rPr>
              <w:t>a</w:t>
            </w:r>
            <w:r>
              <w:rPr>
                <w:rFonts w:ascii="Times New Roman" w:eastAsia="Times New Roman" w:hAnsi="Times New Roman" w:cs="Times New Roman"/>
                <w:sz w:val="20"/>
                <w:szCs w:val="20"/>
                <w:lang w:val="en-GB" w:eastAsia="en-US"/>
              </w:rPr>
              <w:t>) Indicate the study’s design with a commonly used term in the title or the abstract</w:t>
            </w:r>
          </w:p>
        </w:tc>
        <w:tc>
          <w:tcPr>
            <w:tcW w:w="1115" w:type="dxa"/>
            <w:tcBorders>
              <w:top w:val="single" w:sz="4" w:space="0" w:color="auto"/>
              <w:left w:val="nil"/>
              <w:bottom w:val="single" w:sz="4" w:space="0" w:color="auto"/>
              <w:right w:val="nil"/>
            </w:tcBorders>
            <w:hideMark/>
          </w:tcPr>
          <w:p w14:paraId="2BCB1C29"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w:t>
            </w:r>
          </w:p>
        </w:tc>
        <w:tc>
          <w:tcPr>
            <w:tcW w:w="2028" w:type="dxa"/>
            <w:tcBorders>
              <w:top w:val="single" w:sz="4" w:space="0" w:color="auto"/>
              <w:left w:val="nil"/>
              <w:bottom w:val="single" w:sz="4" w:space="0" w:color="auto"/>
              <w:right w:val="nil"/>
            </w:tcBorders>
            <w:hideMark/>
          </w:tcPr>
          <w:p w14:paraId="2A042A36"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Population-based</w:t>
            </w:r>
          </w:p>
        </w:tc>
      </w:tr>
      <w:tr w:rsidR="00EF7A6B" w14:paraId="1297F763" w14:textId="77777777" w:rsidTr="00EF7A6B">
        <w:trPr>
          <w:trHeight w:val="241"/>
        </w:trPr>
        <w:tc>
          <w:tcPr>
            <w:tcW w:w="0" w:type="auto"/>
            <w:vMerge/>
            <w:tcBorders>
              <w:top w:val="single" w:sz="4" w:space="0" w:color="auto"/>
              <w:left w:val="nil"/>
              <w:bottom w:val="single" w:sz="4" w:space="0" w:color="auto"/>
              <w:right w:val="nil"/>
            </w:tcBorders>
            <w:vAlign w:val="center"/>
            <w:hideMark/>
          </w:tcPr>
          <w:p w14:paraId="70FE013F" w14:textId="77777777" w:rsidR="00EF7A6B" w:rsidRDefault="00EF7A6B">
            <w:pPr>
              <w:spacing w:after="0"/>
              <w:rPr>
                <w:rFonts w:ascii="Times New Roman" w:eastAsia="Times New Roman" w:hAnsi="Times New Roman" w:cs="Times New Roman"/>
                <w:b/>
                <w:bCs/>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5B82C000" w14:textId="77777777" w:rsidR="00EF7A6B" w:rsidRDefault="00EF7A6B">
            <w:pPr>
              <w:spacing w:after="0"/>
              <w:rPr>
                <w:rFonts w:ascii="Times New Roman" w:eastAsia="Times New Roman" w:hAnsi="Times New Roman" w:cs="Times New Roman"/>
                <w:sz w:val="20"/>
                <w:szCs w:val="20"/>
                <w:lang w:val="en-GB" w:eastAsia="en-US"/>
              </w:rPr>
            </w:pPr>
          </w:p>
        </w:tc>
        <w:tc>
          <w:tcPr>
            <w:tcW w:w="5745" w:type="dxa"/>
            <w:tcBorders>
              <w:top w:val="single" w:sz="4" w:space="0" w:color="auto"/>
              <w:left w:val="nil"/>
              <w:bottom w:val="single" w:sz="4" w:space="0" w:color="auto"/>
              <w:right w:val="nil"/>
            </w:tcBorders>
            <w:hideMark/>
          </w:tcPr>
          <w:p w14:paraId="420CB26A"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lang w:val="en-GB" w:eastAsia="en-US"/>
              </w:rPr>
              <w:t>b</w:t>
            </w:r>
            <w:r>
              <w:rPr>
                <w:rFonts w:ascii="Times New Roman" w:eastAsia="Times New Roman" w:hAnsi="Times New Roman" w:cs="Times New Roman"/>
                <w:sz w:val="20"/>
                <w:szCs w:val="20"/>
                <w:lang w:val="en-GB" w:eastAsia="en-US"/>
              </w:rPr>
              <w:t>) Provide in the abstract an informative and balanced summary of what was done and what was found</w:t>
            </w:r>
          </w:p>
        </w:tc>
        <w:tc>
          <w:tcPr>
            <w:tcW w:w="1115" w:type="dxa"/>
            <w:tcBorders>
              <w:top w:val="single" w:sz="4" w:space="0" w:color="auto"/>
              <w:left w:val="nil"/>
              <w:bottom w:val="single" w:sz="4" w:space="0" w:color="auto"/>
              <w:right w:val="nil"/>
            </w:tcBorders>
            <w:hideMark/>
          </w:tcPr>
          <w:p w14:paraId="7C25745B"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2</w:t>
            </w:r>
          </w:p>
        </w:tc>
        <w:tc>
          <w:tcPr>
            <w:tcW w:w="2028" w:type="dxa"/>
            <w:tcBorders>
              <w:top w:val="single" w:sz="4" w:space="0" w:color="auto"/>
              <w:left w:val="nil"/>
              <w:bottom w:val="single" w:sz="4" w:space="0" w:color="auto"/>
              <w:right w:val="nil"/>
            </w:tcBorders>
            <w:hideMark/>
          </w:tcPr>
          <w:p w14:paraId="43EDBDD2"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Causes of gastrointestinal bleeding (GIB) in patients on oral anticoagulants (OACs) are not well established. (…) A high proportion of GIB caused by colonic polyps and colorectal cancer among OAC patients indicates that OACs treatment may facilitate cancer diagnosis. The low proportion of ischemic colitis among those on OACs suggests that OACs provide a protective effect against ischemic colitis. OACs seem to increase the bleeding from angiodysplasia and mucosal erosive disease.</w:t>
            </w:r>
          </w:p>
        </w:tc>
      </w:tr>
      <w:tr w:rsidR="00EF7A6B" w14:paraId="52A2412E" w14:textId="77777777" w:rsidTr="00EF7A6B">
        <w:trPr>
          <w:trHeight w:val="280"/>
        </w:trPr>
        <w:tc>
          <w:tcPr>
            <w:tcW w:w="8697" w:type="dxa"/>
            <w:gridSpan w:val="4"/>
            <w:tcBorders>
              <w:top w:val="single" w:sz="4" w:space="0" w:color="auto"/>
              <w:left w:val="nil"/>
              <w:bottom w:val="single" w:sz="4" w:space="0" w:color="auto"/>
              <w:right w:val="nil"/>
            </w:tcBorders>
            <w:hideMark/>
          </w:tcPr>
          <w:p w14:paraId="6AFA3920" w14:textId="77777777" w:rsidR="00EF7A6B" w:rsidRDefault="00EF7A6B">
            <w:pPr>
              <w:tabs>
                <w:tab w:val="left" w:pos="5400"/>
              </w:tabs>
              <w:spacing w:before="120" w:after="0" w:line="240" w:lineRule="auto"/>
              <w:rPr>
                <w:rFonts w:ascii="Times New Roman" w:eastAsia="Times New Roman" w:hAnsi="Times New Roman" w:cs="Times New Roman"/>
                <w:b/>
                <w:sz w:val="20"/>
                <w:szCs w:val="20"/>
                <w:lang w:val="en-GB" w:eastAsia="en-US"/>
              </w:rPr>
            </w:pPr>
            <w:r>
              <w:rPr>
                <w:rFonts w:ascii="Times New Roman" w:eastAsia="Times New Roman" w:hAnsi="Times New Roman" w:cs="Times New Roman"/>
                <w:b/>
                <w:sz w:val="20"/>
                <w:szCs w:val="20"/>
                <w:lang w:val="en-GB" w:eastAsia="en-US"/>
              </w:rPr>
              <w:t>Introduction</w:t>
            </w:r>
          </w:p>
        </w:tc>
        <w:tc>
          <w:tcPr>
            <w:tcW w:w="2028" w:type="dxa"/>
            <w:tcBorders>
              <w:top w:val="single" w:sz="4" w:space="0" w:color="auto"/>
              <w:left w:val="nil"/>
              <w:bottom w:val="single" w:sz="4" w:space="0" w:color="auto"/>
              <w:right w:val="nil"/>
            </w:tcBorders>
          </w:tcPr>
          <w:p w14:paraId="1C6E6841" w14:textId="77777777" w:rsidR="00EF7A6B" w:rsidRDefault="00EF7A6B">
            <w:pPr>
              <w:tabs>
                <w:tab w:val="left" w:pos="5400"/>
              </w:tabs>
              <w:spacing w:before="120" w:after="0" w:line="240" w:lineRule="auto"/>
              <w:rPr>
                <w:rFonts w:ascii="Times New Roman" w:eastAsia="Times New Roman" w:hAnsi="Times New Roman" w:cs="Times New Roman"/>
                <w:b/>
                <w:sz w:val="20"/>
                <w:szCs w:val="20"/>
                <w:lang w:val="en-GB" w:eastAsia="en-US"/>
              </w:rPr>
            </w:pPr>
          </w:p>
        </w:tc>
      </w:tr>
      <w:tr w:rsidR="00EF7A6B" w14:paraId="15FFA8BB" w14:textId="77777777" w:rsidTr="00EF7A6B">
        <w:trPr>
          <w:trHeight w:val="3134"/>
        </w:trPr>
        <w:tc>
          <w:tcPr>
            <w:tcW w:w="1395" w:type="dxa"/>
            <w:tcBorders>
              <w:top w:val="single" w:sz="4" w:space="0" w:color="auto"/>
              <w:left w:val="nil"/>
              <w:bottom w:val="single" w:sz="4" w:space="0" w:color="auto"/>
              <w:right w:val="nil"/>
            </w:tcBorders>
            <w:hideMark/>
          </w:tcPr>
          <w:p w14:paraId="35AB6B10"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lastRenderedPageBreak/>
              <w:t>Background/rationale</w:t>
            </w:r>
          </w:p>
        </w:tc>
        <w:tc>
          <w:tcPr>
            <w:tcW w:w="440" w:type="dxa"/>
            <w:tcBorders>
              <w:top w:val="single" w:sz="4" w:space="0" w:color="auto"/>
              <w:left w:val="nil"/>
              <w:bottom w:val="single" w:sz="4" w:space="0" w:color="auto"/>
              <w:right w:val="nil"/>
            </w:tcBorders>
            <w:hideMark/>
          </w:tcPr>
          <w:p w14:paraId="0C370721"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2</w:t>
            </w:r>
          </w:p>
        </w:tc>
        <w:tc>
          <w:tcPr>
            <w:tcW w:w="5745" w:type="dxa"/>
            <w:tcBorders>
              <w:top w:val="single" w:sz="4" w:space="0" w:color="auto"/>
              <w:left w:val="nil"/>
              <w:bottom w:val="single" w:sz="4" w:space="0" w:color="auto"/>
              <w:right w:val="nil"/>
            </w:tcBorders>
            <w:hideMark/>
          </w:tcPr>
          <w:p w14:paraId="361926F3"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Explain the scientific background and rationale for the investigation being reported</w:t>
            </w:r>
          </w:p>
        </w:tc>
        <w:tc>
          <w:tcPr>
            <w:tcW w:w="1115" w:type="dxa"/>
            <w:tcBorders>
              <w:top w:val="single" w:sz="4" w:space="0" w:color="auto"/>
              <w:left w:val="nil"/>
              <w:bottom w:val="single" w:sz="4" w:space="0" w:color="auto"/>
              <w:right w:val="nil"/>
            </w:tcBorders>
            <w:hideMark/>
          </w:tcPr>
          <w:p w14:paraId="7DF80753"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3</w:t>
            </w:r>
          </w:p>
        </w:tc>
        <w:tc>
          <w:tcPr>
            <w:tcW w:w="2028" w:type="dxa"/>
            <w:tcBorders>
              <w:top w:val="single" w:sz="4" w:space="0" w:color="auto"/>
              <w:left w:val="nil"/>
              <w:bottom w:val="single" w:sz="4" w:space="0" w:color="auto"/>
              <w:right w:val="nil"/>
            </w:tcBorders>
          </w:tcPr>
          <w:p w14:paraId="2F3DED32"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The different aetiologies of gastrointestinal bleeding in the general population are well documented (Table 1). However, very limited data exist on the aetiology of GIB in patients using OACs. Further head-to-head comparisons of GIB events in non-OAC users might reveal the potential effects of OACs on the causes of GIB.</w:t>
            </w:r>
          </w:p>
          <w:p w14:paraId="75C15C52"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r w:rsidR="00EF7A6B" w14:paraId="0213D89A" w14:textId="77777777" w:rsidTr="00EF7A6B">
        <w:trPr>
          <w:trHeight w:val="965"/>
        </w:trPr>
        <w:tc>
          <w:tcPr>
            <w:tcW w:w="1395" w:type="dxa"/>
            <w:tcBorders>
              <w:top w:val="single" w:sz="4" w:space="0" w:color="auto"/>
              <w:left w:val="nil"/>
              <w:bottom w:val="single" w:sz="4" w:space="0" w:color="auto"/>
              <w:right w:val="nil"/>
            </w:tcBorders>
            <w:hideMark/>
          </w:tcPr>
          <w:p w14:paraId="0BF8D9FD"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Objectives</w:t>
            </w:r>
          </w:p>
        </w:tc>
        <w:tc>
          <w:tcPr>
            <w:tcW w:w="440" w:type="dxa"/>
            <w:tcBorders>
              <w:top w:val="single" w:sz="4" w:space="0" w:color="auto"/>
              <w:left w:val="nil"/>
              <w:bottom w:val="single" w:sz="4" w:space="0" w:color="auto"/>
              <w:right w:val="nil"/>
            </w:tcBorders>
            <w:hideMark/>
          </w:tcPr>
          <w:p w14:paraId="64CF8065"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3</w:t>
            </w:r>
          </w:p>
        </w:tc>
        <w:tc>
          <w:tcPr>
            <w:tcW w:w="5745" w:type="dxa"/>
            <w:tcBorders>
              <w:top w:val="single" w:sz="4" w:space="0" w:color="auto"/>
              <w:left w:val="nil"/>
              <w:bottom w:val="single" w:sz="4" w:space="0" w:color="auto"/>
              <w:right w:val="nil"/>
            </w:tcBorders>
            <w:hideMark/>
          </w:tcPr>
          <w:p w14:paraId="077D9975"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State specific objectives, including any prespecified hypotheses</w:t>
            </w:r>
          </w:p>
        </w:tc>
        <w:tc>
          <w:tcPr>
            <w:tcW w:w="1115" w:type="dxa"/>
            <w:tcBorders>
              <w:top w:val="single" w:sz="4" w:space="0" w:color="auto"/>
              <w:left w:val="nil"/>
              <w:bottom w:val="single" w:sz="4" w:space="0" w:color="auto"/>
              <w:right w:val="nil"/>
            </w:tcBorders>
            <w:hideMark/>
          </w:tcPr>
          <w:p w14:paraId="7874CD28"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3</w:t>
            </w:r>
          </w:p>
        </w:tc>
        <w:tc>
          <w:tcPr>
            <w:tcW w:w="2028" w:type="dxa"/>
            <w:tcBorders>
              <w:top w:val="single" w:sz="4" w:space="0" w:color="auto"/>
              <w:left w:val="nil"/>
              <w:bottom w:val="single" w:sz="4" w:space="0" w:color="auto"/>
              <w:right w:val="nil"/>
            </w:tcBorders>
            <w:hideMark/>
          </w:tcPr>
          <w:p w14:paraId="33EF6574"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 xml:space="preserve">The aim of the study was to examine the impact of oral anticoagulants on the causes of GIB … </w:t>
            </w:r>
          </w:p>
        </w:tc>
      </w:tr>
      <w:tr w:rsidR="00EF7A6B" w14:paraId="0780D45B" w14:textId="77777777" w:rsidTr="00EF7A6B">
        <w:trPr>
          <w:trHeight w:val="280"/>
        </w:trPr>
        <w:tc>
          <w:tcPr>
            <w:tcW w:w="8697" w:type="dxa"/>
            <w:gridSpan w:val="4"/>
            <w:tcBorders>
              <w:top w:val="single" w:sz="4" w:space="0" w:color="auto"/>
              <w:left w:val="nil"/>
              <w:bottom w:val="single" w:sz="4" w:space="0" w:color="auto"/>
              <w:right w:val="nil"/>
            </w:tcBorders>
            <w:hideMark/>
          </w:tcPr>
          <w:p w14:paraId="4E694E08" w14:textId="77777777" w:rsidR="00EF7A6B" w:rsidRDefault="00EF7A6B">
            <w:pPr>
              <w:tabs>
                <w:tab w:val="left" w:pos="5400"/>
              </w:tabs>
              <w:spacing w:before="120" w:after="0" w:line="240" w:lineRule="auto"/>
              <w:rPr>
                <w:rFonts w:ascii="Times New Roman" w:eastAsia="Times New Roman" w:hAnsi="Times New Roman" w:cs="Times New Roman"/>
                <w:b/>
                <w:sz w:val="20"/>
                <w:szCs w:val="20"/>
                <w:lang w:val="en-GB" w:eastAsia="en-US"/>
              </w:rPr>
            </w:pPr>
            <w:r>
              <w:rPr>
                <w:rFonts w:ascii="Times New Roman" w:eastAsia="Times New Roman" w:hAnsi="Times New Roman" w:cs="Times New Roman"/>
                <w:b/>
                <w:sz w:val="20"/>
                <w:szCs w:val="20"/>
                <w:lang w:val="en-GB" w:eastAsia="en-US"/>
              </w:rPr>
              <w:t>Methods</w:t>
            </w:r>
          </w:p>
        </w:tc>
        <w:tc>
          <w:tcPr>
            <w:tcW w:w="2028" w:type="dxa"/>
            <w:tcBorders>
              <w:top w:val="single" w:sz="4" w:space="0" w:color="auto"/>
              <w:left w:val="nil"/>
              <w:bottom w:val="single" w:sz="4" w:space="0" w:color="auto"/>
              <w:right w:val="nil"/>
            </w:tcBorders>
          </w:tcPr>
          <w:p w14:paraId="38E36AB1" w14:textId="77777777" w:rsidR="00EF7A6B" w:rsidRDefault="00EF7A6B">
            <w:pPr>
              <w:tabs>
                <w:tab w:val="left" w:pos="5400"/>
              </w:tabs>
              <w:spacing w:before="120" w:after="0" w:line="240" w:lineRule="auto"/>
              <w:rPr>
                <w:rFonts w:ascii="Times New Roman" w:eastAsia="Times New Roman" w:hAnsi="Times New Roman" w:cs="Times New Roman"/>
                <w:b/>
                <w:sz w:val="20"/>
                <w:szCs w:val="20"/>
                <w:lang w:val="en-GB" w:eastAsia="en-US"/>
              </w:rPr>
            </w:pPr>
          </w:p>
        </w:tc>
      </w:tr>
      <w:tr w:rsidR="00EF7A6B" w14:paraId="583C918B" w14:textId="77777777" w:rsidTr="00EF7A6B">
        <w:trPr>
          <w:trHeight w:val="1448"/>
        </w:trPr>
        <w:tc>
          <w:tcPr>
            <w:tcW w:w="1395" w:type="dxa"/>
            <w:tcBorders>
              <w:top w:val="single" w:sz="4" w:space="0" w:color="auto"/>
              <w:left w:val="nil"/>
              <w:bottom w:val="single" w:sz="4" w:space="0" w:color="auto"/>
              <w:right w:val="nil"/>
            </w:tcBorders>
            <w:hideMark/>
          </w:tcPr>
          <w:p w14:paraId="745F688B"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Study design</w:t>
            </w:r>
          </w:p>
        </w:tc>
        <w:tc>
          <w:tcPr>
            <w:tcW w:w="440" w:type="dxa"/>
            <w:tcBorders>
              <w:top w:val="single" w:sz="4" w:space="0" w:color="auto"/>
              <w:left w:val="nil"/>
              <w:bottom w:val="single" w:sz="4" w:space="0" w:color="auto"/>
              <w:right w:val="nil"/>
            </w:tcBorders>
            <w:hideMark/>
          </w:tcPr>
          <w:p w14:paraId="0B3A9343"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4</w:t>
            </w:r>
          </w:p>
        </w:tc>
        <w:tc>
          <w:tcPr>
            <w:tcW w:w="5745" w:type="dxa"/>
            <w:tcBorders>
              <w:top w:val="single" w:sz="4" w:space="0" w:color="auto"/>
              <w:left w:val="nil"/>
              <w:bottom w:val="single" w:sz="4" w:space="0" w:color="auto"/>
              <w:right w:val="nil"/>
            </w:tcBorders>
            <w:hideMark/>
          </w:tcPr>
          <w:p w14:paraId="61302111"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Present key elements of study design early in the paper</w:t>
            </w:r>
          </w:p>
        </w:tc>
        <w:tc>
          <w:tcPr>
            <w:tcW w:w="1115" w:type="dxa"/>
            <w:tcBorders>
              <w:top w:val="single" w:sz="4" w:space="0" w:color="auto"/>
              <w:left w:val="nil"/>
              <w:bottom w:val="single" w:sz="4" w:space="0" w:color="auto"/>
              <w:right w:val="nil"/>
            </w:tcBorders>
            <w:hideMark/>
          </w:tcPr>
          <w:p w14:paraId="0E717E11"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4</w:t>
            </w:r>
          </w:p>
        </w:tc>
        <w:tc>
          <w:tcPr>
            <w:tcW w:w="2028" w:type="dxa"/>
            <w:tcBorders>
              <w:top w:val="single" w:sz="4" w:space="0" w:color="auto"/>
              <w:left w:val="nil"/>
              <w:bottom w:val="single" w:sz="4" w:space="0" w:color="auto"/>
              <w:right w:val="nil"/>
            </w:tcBorders>
            <w:hideMark/>
          </w:tcPr>
          <w:p w14:paraId="32FE1370"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This was a retrospective nationwide study that included all individuals in Iceland with a prescription for OACs and were found to have a GIB event during 2014-2019.</w:t>
            </w:r>
          </w:p>
        </w:tc>
      </w:tr>
      <w:tr w:rsidR="00EF7A6B" w14:paraId="724976F4" w14:textId="77777777" w:rsidTr="00EF7A6B">
        <w:trPr>
          <w:trHeight w:val="2893"/>
        </w:trPr>
        <w:tc>
          <w:tcPr>
            <w:tcW w:w="1395" w:type="dxa"/>
            <w:tcBorders>
              <w:top w:val="single" w:sz="4" w:space="0" w:color="auto"/>
              <w:left w:val="nil"/>
              <w:bottom w:val="single" w:sz="4" w:space="0" w:color="auto"/>
              <w:right w:val="nil"/>
            </w:tcBorders>
            <w:hideMark/>
          </w:tcPr>
          <w:p w14:paraId="26A863E1"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lastRenderedPageBreak/>
              <w:t>Setting</w:t>
            </w:r>
          </w:p>
        </w:tc>
        <w:tc>
          <w:tcPr>
            <w:tcW w:w="440" w:type="dxa"/>
            <w:tcBorders>
              <w:top w:val="single" w:sz="4" w:space="0" w:color="auto"/>
              <w:left w:val="nil"/>
              <w:bottom w:val="single" w:sz="4" w:space="0" w:color="auto"/>
              <w:right w:val="nil"/>
            </w:tcBorders>
            <w:hideMark/>
          </w:tcPr>
          <w:p w14:paraId="250C752C"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5</w:t>
            </w:r>
          </w:p>
        </w:tc>
        <w:tc>
          <w:tcPr>
            <w:tcW w:w="5745" w:type="dxa"/>
            <w:tcBorders>
              <w:top w:val="single" w:sz="4" w:space="0" w:color="auto"/>
              <w:left w:val="nil"/>
              <w:bottom w:val="single" w:sz="4" w:space="0" w:color="auto"/>
              <w:right w:val="nil"/>
            </w:tcBorders>
            <w:hideMark/>
          </w:tcPr>
          <w:p w14:paraId="69F7E8EE"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Describe the setting, locations, and relevant dates, including periods of recruitment, exposure, follow-up, and data collection</w:t>
            </w:r>
          </w:p>
        </w:tc>
        <w:tc>
          <w:tcPr>
            <w:tcW w:w="1115" w:type="dxa"/>
            <w:tcBorders>
              <w:top w:val="single" w:sz="4" w:space="0" w:color="auto"/>
              <w:left w:val="nil"/>
              <w:bottom w:val="single" w:sz="4" w:space="0" w:color="auto"/>
              <w:right w:val="nil"/>
            </w:tcBorders>
            <w:hideMark/>
          </w:tcPr>
          <w:p w14:paraId="66AFEB65"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4</w:t>
            </w:r>
          </w:p>
        </w:tc>
        <w:tc>
          <w:tcPr>
            <w:tcW w:w="2028" w:type="dxa"/>
            <w:tcBorders>
              <w:top w:val="single" w:sz="4" w:space="0" w:color="auto"/>
              <w:left w:val="nil"/>
              <w:bottom w:val="single" w:sz="4" w:space="0" w:color="auto"/>
              <w:right w:val="nil"/>
            </w:tcBorders>
            <w:hideMark/>
          </w:tcPr>
          <w:p w14:paraId="05E661FA"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Cases were found through a nationwide prescription database, GIB events were identified using ICD-codes, death registry or hospital endoscopy databases and confirmed by manual review of electronic medical records. Cases were compared to patients not on OACs from two prior Icelandic population-based studies on GIB.</w:t>
            </w:r>
          </w:p>
        </w:tc>
      </w:tr>
      <w:tr w:rsidR="00EF7A6B" w14:paraId="39B5371F" w14:textId="77777777" w:rsidTr="00EF7A6B">
        <w:trPr>
          <w:trHeight w:val="3622"/>
        </w:trPr>
        <w:tc>
          <w:tcPr>
            <w:tcW w:w="1395" w:type="dxa"/>
            <w:vMerge w:val="restart"/>
            <w:tcBorders>
              <w:top w:val="single" w:sz="4" w:space="0" w:color="auto"/>
              <w:left w:val="nil"/>
              <w:bottom w:val="single" w:sz="4" w:space="0" w:color="auto"/>
              <w:right w:val="nil"/>
            </w:tcBorders>
            <w:hideMark/>
          </w:tcPr>
          <w:p w14:paraId="07656542"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Participants</w:t>
            </w:r>
          </w:p>
        </w:tc>
        <w:tc>
          <w:tcPr>
            <w:tcW w:w="440" w:type="dxa"/>
            <w:vMerge w:val="restart"/>
            <w:tcBorders>
              <w:top w:val="single" w:sz="4" w:space="0" w:color="auto"/>
              <w:left w:val="nil"/>
              <w:bottom w:val="single" w:sz="4" w:space="0" w:color="auto"/>
              <w:right w:val="nil"/>
            </w:tcBorders>
            <w:hideMark/>
          </w:tcPr>
          <w:p w14:paraId="57EA36C5"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6</w:t>
            </w:r>
          </w:p>
        </w:tc>
        <w:tc>
          <w:tcPr>
            <w:tcW w:w="5745" w:type="dxa"/>
            <w:tcBorders>
              <w:top w:val="single" w:sz="4" w:space="0" w:color="auto"/>
              <w:left w:val="nil"/>
              <w:bottom w:val="single" w:sz="4" w:space="0" w:color="auto"/>
              <w:right w:val="nil"/>
            </w:tcBorders>
            <w:hideMark/>
          </w:tcPr>
          <w:p w14:paraId="4F43FA55"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lang w:val="en-GB" w:eastAsia="en-US"/>
              </w:rPr>
              <w:t>a</w:t>
            </w:r>
            <w:r>
              <w:rPr>
                <w:rFonts w:ascii="Times New Roman" w:eastAsia="Times New Roman" w:hAnsi="Times New Roman" w:cs="Times New Roman"/>
                <w:sz w:val="20"/>
                <w:szCs w:val="20"/>
                <w:lang w:val="en-GB" w:eastAsia="en-US"/>
              </w:rPr>
              <w:t xml:space="preserve">) </w:t>
            </w:r>
            <w:r>
              <w:rPr>
                <w:rFonts w:ascii="Times New Roman" w:eastAsia="Times New Roman" w:hAnsi="Times New Roman" w:cs="Times New Roman"/>
                <w:i/>
                <w:sz w:val="20"/>
                <w:szCs w:val="20"/>
                <w:lang w:val="en-GB" w:eastAsia="en-US"/>
              </w:rPr>
              <w:t>Cohort study</w:t>
            </w:r>
            <w:r>
              <w:rPr>
                <w:rFonts w:ascii="Times New Roman" w:eastAsia="Times New Roman" w:hAnsi="Times New Roman" w:cs="Times New Roman"/>
                <w:sz w:val="20"/>
                <w:szCs w:val="20"/>
                <w:lang w:val="en-GB" w:eastAsia="en-US"/>
              </w:rPr>
              <w:t>—Give the eligibility criteria, and the sources and methods of selection of participants. Describe methods of follow-up</w:t>
            </w:r>
          </w:p>
          <w:p w14:paraId="7DE775C1"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i/>
                <w:sz w:val="20"/>
                <w:szCs w:val="20"/>
                <w:lang w:val="en-GB" w:eastAsia="en-US"/>
              </w:rPr>
              <w:t>Case-control study</w:t>
            </w:r>
            <w:r>
              <w:rPr>
                <w:rFonts w:ascii="Times New Roman" w:eastAsia="Times New Roman" w:hAnsi="Times New Roman" w:cs="Times New Roman"/>
                <w:sz w:val="20"/>
                <w:szCs w:val="20"/>
                <w:lang w:val="en-GB" w:eastAsia="en-US"/>
              </w:rPr>
              <w:t>—Give the eligibility criteria, and the sources and methods of case ascertainment and control selection. Give the rationale for the choice of cases and controls</w:t>
            </w:r>
          </w:p>
          <w:p w14:paraId="339D5604"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i/>
                <w:sz w:val="20"/>
                <w:szCs w:val="20"/>
                <w:lang w:val="en-GB" w:eastAsia="en-US"/>
              </w:rPr>
              <w:t>Cross-sectional study</w:t>
            </w:r>
            <w:r>
              <w:rPr>
                <w:rFonts w:ascii="Times New Roman" w:eastAsia="Times New Roman" w:hAnsi="Times New Roman" w:cs="Times New Roman"/>
                <w:sz w:val="20"/>
                <w:szCs w:val="20"/>
                <w:lang w:val="en-GB" w:eastAsia="en-US"/>
              </w:rPr>
              <w:t>—Give the eligibility criteria, and the sources and methods of selection of participants</w:t>
            </w:r>
          </w:p>
        </w:tc>
        <w:tc>
          <w:tcPr>
            <w:tcW w:w="1115" w:type="dxa"/>
            <w:tcBorders>
              <w:top w:val="single" w:sz="4" w:space="0" w:color="auto"/>
              <w:left w:val="nil"/>
              <w:bottom w:val="single" w:sz="4" w:space="0" w:color="auto"/>
              <w:right w:val="nil"/>
            </w:tcBorders>
            <w:hideMark/>
          </w:tcPr>
          <w:p w14:paraId="35F99652"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4</w:t>
            </w:r>
          </w:p>
        </w:tc>
        <w:tc>
          <w:tcPr>
            <w:tcW w:w="2028" w:type="dxa"/>
            <w:tcBorders>
              <w:top w:val="single" w:sz="4" w:space="0" w:color="auto"/>
              <w:left w:val="nil"/>
              <w:bottom w:val="single" w:sz="4" w:space="0" w:color="auto"/>
              <w:right w:val="nil"/>
            </w:tcBorders>
            <w:hideMark/>
          </w:tcPr>
          <w:p w14:paraId="43088A7A"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 xml:space="preserve">Data on all individuals that received a prescription for oral anticoagulants in Iceland were obtained from the Icelandic Medicine Registry (…) GIB events in patients with an OAC prescription were found by linking the patient’s personal identification number to their medical records. </w:t>
            </w:r>
            <w:r>
              <w:rPr>
                <w:rFonts w:ascii="Times New Roman" w:eastAsia="Times New Roman" w:hAnsi="Times New Roman" w:cs="Times New Roman"/>
                <w:sz w:val="20"/>
                <w:szCs w:val="20"/>
                <w:lang w:val="en-GB" w:eastAsia="en-US"/>
              </w:rPr>
              <w:tab/>
              <w:t>Bleeding events were identified by ICD-10 code search, endoscopy review and the cause of death registry.</w:t>
            </w:r>
          </w:p>
        </w:tc>
      </w:tr>
      <w:tr w:rsidR="00EF7A6B" w14:paraId="09DD8E4E" w14:textId="77777777" w:rsidTr="00EF7A6B">
        <w:trPr>
          <w:trHeight w:val="3622"/>
        </w:trPr>
        <w:tc>
          <w:tcPr>
            <w:tcW w:w="0" w:type="auto"/>
            <w:vMerge/>
            <w:tcBorders>
              <w:top w:val="single" w:sz="4" w:space="0" w:color="auto"/>
              <w:left w:val="nil"/>
              <w:bottom w:val="single" w:sz="4" w:space="0" w:color="auto"/>
              <w:right w:val="nil"/>
            </w:tcBorders>
            <w:vAlign w:val="center"/>
            <w:hideMark/>
          </w:tcPr>
          <w:p w14:paraId="78108111" w14:textId="77777777" w:rsidR="00EF7A6B" w:rsidRDefault="00EF7A6B">
            <w:pPr>
              <w:spacing w:after="0"/>
              <w:rPr>
                <w:rFonts w:ascii="Times New Roman" w:eastAsia="Times New Roman" w:hAnsi="Times New Roman" w:cs="Times New Roman"/>
                <w:bCs/>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2C345D17" w14:textId="77777777" w:rsidR="00EF7A6B" w:rsidRDefault="00EF7A6B">
            <w:pPr>
              <w:spacing w:after="0"/>
              <w:rPr>
                <w:rFonts w:ascii="Times New Roman" w:eastAsia="Times New Roman" w:hAnsi="Times New Roman" w:cs="Times New Roman"/>
                <w:sz w:val="20"/>
                <w:szCs w:val="20"/>
                <w:lang w:val="en-GB" w:eastAsia="en-US"/>
              </w:rPr>
            </w:pPr>
          </w:p>
        </w:tc>
        <w:tc>
          <w:tcPr>
            <w:tcW w:w="5745" w:type="dxa"/>
            <w:tcBorders>
              <w:top w:val="single" w:sz="4" w:space="0" w:color="auto"/>
              <w:left w:val="nil"/>
              <w:bottom w:val="single" w:sz="4" w:space="0" w:color="auto"/>
              <w:right w:val="nil"/>
            </w:tcBorders>
            <w:hideMark/>
          </w:tcPr>
          <w:p w14:paraId="6FE41531"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lang w:val="en-GB" w:eastAsia="en-US"/>
              </w:rPr>
              <w:t>b</w:t>
            </w:r>
            <w:r>
              <w:rPr>
                <w:rFonts w:ascii="Times New Roman" w:eastAsia="Times New Roman" w:hAnsi="Times New Roman" w:cs="Times New Roman"/>
                <w:sz w:val="20"/>
                <w:szCs w:val="20"/>
                <w:lang w:val="en-GB" w:eastAsia="en-US"/>
              </w:rPr>
              <w:t>)</w:t>
            </w:r>
            <w:r>
              <w:rPr>
                <w:rFonts w:ascii="Times New Roman" w:eastAsia="Times New Roman" w:hAnsi="Times New Roman" w:cs="Times New Roman"/>
                <w:b/>
                <w:bCs/>
                <w:sz w:val="20"/>
                <w:szCs w:val="20"/>
                <w:lang w:val="en-GB" w:eastAsia="en-US"/>
              </w:rPr>
              <w:t xml:space="preserve"> </w:t>
            </w:r>
            <w:r>
              <w:rPr>
                <w:rFonts w:ascii="Times New Roman" w:eastAsia="Times New Roman" w:hAnsi="Times New Roman" w:cs="Times New Roman"/>
                <w:bCs/>
                <w:i/>
                <w:sz w:val="20"/>
                <w:szCs w:val="20"/>
                <w:lang w:val="en-GB" w:eastAsia="en-US"/>
              </w:rPr>
              <w:t>Cohort study</w:t>
            </w:r>
            <w:r>
              <w:rPr>
                <w:rFonts w:ascii="Times New Roman" w:eastAsia="Times New Roman" w:hAnsi="Times New Roman" w:cs="Times New Roman"/>
                <w:sz w:val="20"/>
                <w:szCs w:val="20"/>
                <w:lang w:val="en-GB" w:eastAsia="en-US"/>
              </w:rPr>
              <w:t>—For matched studies, give matching criteria and number of exposed and unexposed</w:t>
            </w:r>
          </w:p>
          <w:p w14:paraId="1C0DF0D7" w14:textId="77777777" w:rsidR="00EF7A6B" w:rsidRDefault="00EF7A6B">
            <w:pPr>
              <w:tabs>
                <w:tab w:val="left" w:pos="5400"/>
              </w:tabs>
              <w:spacing w:after="0" w:line="300" w:lineRule="exact"/>
              <w:rPr>
                <w:rFonts w:ascii="Times New Roman" w:eastAsia="Times New Roman" w:hAnsi="Times New Roman" w:cs="Times New Roman"/>
                <w:i/>
                <w:sz w:val="20"/>
                <w:szCs w:val="20"/>
                <w:lang w:val="en-GB" w:eastAsia="en-US"/>
              </w:rPr>
            </w:pPr>
            <w:r>
              <w:rPr>
                <w:rFonts w:ascii="Times New Roman" w:eastAsia="Times New Roman" w:hAnsi="Times New Roman" w:cs="Times New Roman"/>
                <w:bCs/>
                <w:i/>
                <w:sz w:val="20"/>
                <w:szCs w:val="20"/>
                <w:lang w:val="en-GB" w:eastAsia="en-US"/>
              </w:rPr>
              <w:t>Case-control study</w:t>
            </w:r>
            <w:r>
              <w:rPr>
                <w:rFonts w:ascii="Times New Roman" w:eastAsia="Times New Roman" w:hAnsi="Times New Roman" w:cs="Times New Roman"/>
                <w:sz w:val="20"/>
                <w:szCs w:val="20"/>
                <w:lang w:val="en-GB" w:eastAsia="en-US"/>
              </w:rPr>
              <w:t>—For matched studies, give matching criteria and the number of controls per case</w:t>
            </w:r>
          </w:p>
        </w:tc>
        <w:tc>
          <w:tcPr>
            <w:tcW w:w="1115" w:type="dxa"/>
            <w:tcBorders>
              <w:top w:val="single" w:sz="4" w:space="0" w:color="auto"/>
              <w:left w:val="nil"/>
              <w:bottom w:val="single" w:sz="4" w:space="0" w:color="auto"/>
              <w:right w:val="nil"/>
            </w:tcBorders>
            <w:hideMark/>
          </w:tcPr>
          <w:p w14:paraId="5DDD1B48"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5</w:t>
            </w:r>
          </w:p>
        </w:tc>
        <w:tc>
          <w:tcPr>
            <w:tcW w:w="2028" w:type="dxa"/>
            <w:tcBorders>
              <w:top w:val="single" w:sz="4" w:space="0" w:color="auto"/>
              <w:left w:val="nil"/>
              <w:bottom w:val="single" w:sz="4" w:space="0" w:color="auto"/>
              <w:right w:val="nil"/>
            </w:tcBorders>
            <w:hideMark/>
          </w:tcPr>
          <w:p w14:paraId="066C7552"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Exposed OAC UGIB 273 vs unexposed UGIB 258</w:t>
            </w:r>
            <w:r>
              <w:rPr>
                <w:rFonts w:ascii="Times New Roman" w:eastAsia="Times New Roman" w:hAnsi="Times New Roman" w:cs="Times New Roman"/>
                <w:sz w:val="20"/>
                <w:szCs w:val="20"/>
                <w:lang w:val="en-GB" w:eastAsia="en-US"/>
              </w:rPr>
              <w:br/>
              <w:t>Exposed OAC LGIB 391 vs unexposed LGIB 560</w:t>
            </w:r>
          </w:p>
        </w:tc>
      </w:tr>
      <w:tr w:rsidR="00EF7A6B" w14:paraId="45B83DF1" w14:textId="77777777" w:rsidTr="00EF7A6B">
        <w:trPr>
          <w:trHeight w:val="1444"/>
        </w:trPr>
        <w:tc>
          <w:tcPr>
            <w:tcW w:w="1395" w:type="dxa"/>
            <w:tcBorders>
              <w:top w:val="single" w:sz="4" w:space="0" w:color="auto"/>
              <w:left w:val="nil"/>
              <w:bottom w:val="single" w:sz="4" w:space="0" w:color="auto"/>
              <w:right w:val="nil"/>
            </w:tcBorders>
            <w:hideMark/>
          </w:tcPr>
          <w:p w14:paraId="13A8ECB4"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Variables</w:t>
            </w:r>
          </w:p>
        </w:tc>
        <w:tc>
          <w:tcPr>
            <w:tcW w:w="440" w:type="dxa"/>
            <w:tcBorders>
              <w:top w:val="single" w:sz="4" w:space="0" w:color="auto"/>
              <w:left w:val="nil"/>
              <w:bottom w:val="single" w:sz="4" w:space="0" w:color="auto"/>
              <w:right w:val="nil"/>
            </w:tcBorders>
            <w:hideMark/>
          </w:tcPr>
          <w:p w14:paraId="528D68DE"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7</w:t>
            </w:r>
          </w:p>
        </w:tc>
        <w:tc>
          <w:tcPr>
            <w:tcW w:w="5745" w:type="dxa"/>
            <w:tcBorders>
              <w:top w:val="single" w:sz="4" w:space="0" w:color="auto"/>
              <w:left w:val="nil"/>
              <w:bottom w:val="single" w:sz="4" w:space="0" w:color="auto"/>
              <w:right w:val="nil"/>
            </w:tcBorders>
            <w:hideMark/>
          </w:tcPr>
          <w:p w14:paraId="15FCDE53"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Clearly define all outcomes, exposures, predictors, potential confounders, and effect modifiers. Give diagnostic criteria, if applicable</w:t>
            </w:r>
          </w:p>
        </w:tc>
        <w:tc>
          <w:tcPr>
            <w:tcW w:w="1115" w:type="dxa"/>
            <w:tcBorders>
              <w:top w:val="single" w:sz="4" w:space="0" w:color="auto"/>
              <w:left w:val="nil"/>
              <w:bottom w:val="single" w:sz="4" w:space="0" w:color="auto"/>
              <w:right w:val="nil"/>
            </w:tcBorders>
            <w:hideMark/>
          </w:tcPr>
          <w:p w14:paraId="20E9C92E"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4-5</w:t>
            </w:r>
          </w:p>
        </w:tc>
        <w:tc>
          <w:tcPr>
            <w:tcW w:w="2028" w:type="dxa"/>
            <w:tcBorders>
              <w:top w:val="single" w:sz="4" w:space="0" w:color="auto"/>
              <w:left w:val="nil"/>
              <w:bottom w:val="single" w:sz="4" w:space="0" w:color="auto"/>
              <w:right w:val="nil"/>
            </w:tcBorders>
            <w:hideMark/>
          </w:tcPr>
          <w:p w14:paraId="43D7B7F0"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Data on all individuals that received a prescription for oral anticoagulants in Iceland were obtained from the Icelandic Medicine Registry in the period (…), Bleeding events were identified by ICD-10 code search, endoscopy review and the cause of death registry.</w:t>
            </w:r>
            <w:r>
              <w:rPr>
                <w:rFonts w:ascii="Times New Roman" w:eastAsia="Times New Roman" w:hAnsi="Times New Roman" w:cs="Times New Roman"/>
                <w:sz w:val="20"/>
                <w:szCs w:val="20"/>
                <w:lang w:val="en-GB" w:eastAsia="en-US"/>
              </w:rPr>
              <w:br/>
              <w:t xml:space="preserve">The primary endpoint was any confirmed clinically relevant GIB event during the study period. Acute upper gastrointestinal bleeding (AUGIB) was defined as (…), The medical records of all patients with GIB events on OACs were searched for simultaneous PPI, NSAID, and antiplatelet therapy </w:t>
            </w:r>
            <w:r>
              <w:rPr>
                <w:rFonts w:ascii="Times New Roman" w:eastAsia="Times New Roman" w:hAnsi="Times New Roman" w:cs="Times New Roman"/>
                <w:sz w:val="20"/>
                <w:szCs w:val="20"/>
                <w:lang w:val="en-GB" w:eastAsia="en-US"/>
              </w:rPr>
              <w:lastRenderedPageBreak/>
              <w:t>as they are available over the counter…</w:t>
            </w:r>
          </w:p>
        </w:tc>
      </w:tr>
      <w:tr w:rsidR="00EF7A6B" w14:paraId="68FE07E4" w14:textId="77777777" w:rsidTr="00EF7A6B">
        <w:trPr>
          <w:trHeight w:val="236"/>
        </w:trPr>
        <w:tc>
          <w:tcPr>
            <w:tcW w:w="1395" w:type="dxa"/>
            <w:tcBorders>
              <w:top w:val="single" w:sz="4" w:space="0" w:color="auto"/>
              <w:left w:val="nil"/>
              <w:bottom w:val="single" w:sz="4" w:space="0" w:color="auto"/>
              <w:right w:val="nil"/>
            </w:tcBorders>
            <w:hideMark/>
          </w:tcPr>
          <w:p w14:paraId="482D1287"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lastRenderedPageBreak/>
              <w:t>Data sources/ measurement</w:t>
            </w:r>
          </w:p>
        </w:tc>
        <w:tc>
          <w:tcPr>
            <w:tcW w:w="440" w:type="dxa"/>
            <w:tcBorders>
              <w:top w:val="single" w:sz="4" w:space="0" w:color="auto"/>
              <w:left w:val="nil"/>
              <w:bottom w:val="single" w:sz="4" w:space="0" w:color="auto"/>
              <w:right w:val="nil"/>
            </w:tcBorders>
            <w:hideMark/>
          </w:tcPr>
          <w:p w14:paraId="042CA5EE"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8</w:t>
            </w:r>
            <w:r>
              <w:rPr>
                <w:rFonts w:ascii="Times New Roman" w:eastAsia="Times New Roman" w:hAnsi="Times New Roman" w:cs="Times New Roman"/>
                <w:bCs/>
                <w:sz w:val="20"/>
                <w:szCs w:val="20"/>
                <w:lang w:val="en-GB" w:eastAsia="en-US"/>
              </w:rPr>
              <w:t>*</w:t>
            </w:r>
          </w:p>
        </w:tc>
        <w:tc>
          <w:tcPr>
            <w:tcW w:w="5745" w:type="dxa"/>
            <w:tcBorders>
              <w:top w:val="single" w:sz="4" w:space="0" w:color="auto"/>
              <w:left w:val="nil"/>
              <w:bottom w:val="single" w:sz="4" w:space="0" w:color="auto"/>
              <w:right w:val="nil"/>
            </w:tcBorders>
            <w:hideMark/>
          </w:tcPr>
          <w:p w14:paraId="3FE6499E"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i/>
                <w:sz w:val="20"/>
                <w:szCs w:val="20"/>
                <w:lang w:val="en-GB" w:eastAsia="en-US"/>
              </w:rPr>
              <w:t xml:space="preserve"> </w:t>
            </w:r>
            <w:r>
              <w:rPr>
                <w:rFonts w:ascii="Times New Roman" w:eastAsia="Times New Roman" w:hAnsi="Times New Roman" w:cs="Times New Roman"/>
                <w:sz w:val="20"/>
                <w:szCs w:val="20"/>
                <w:lang w:val="en-GB" w:eastAsia="en-US"/>
              </w:rPr>
              <w:t>For each variable of interest, give sources of data and details of methods of assessment (measurement). Describe comparability of assessment methods if there is more than one group</w:t>
            </w:r>
          </w:p>
        </w:tc>
        <w:tc>
          <w:tcPr>
            <w:tcW w:w="1115" w:type="dxa"/>
            <w:tcBorders>
              <w:top w:val="single" w:sz="4" w:space="0" w:color="auto"/>
              <w:left w:val="nil"/>
              <w:bottom w:val="single" w:sz="4" w:space="0" w:color="auto"/>
              <w:right w:val="nil"/>
            </w:tcBorders>
            <w:hideMark/>
          </w:tcPr>
          <w:p w14:paraId="00A3080C" w14:textId="77777777" w:rsidR="00EF7A6B" w:rsidRDefault="00EF7A6B">
            <w:pPr>
              <w:tabs>
                <w:tab w:val="left" w:pos="5400"/>
              </w:tabs>
              <w:spacing w:after="0" w:line="300" w:lineRule="exact"/>
              <w:rPr>
                <w:rFonts w:ascii="Times New Roman" w:eastAsia="Times New Roman" w:hAnsi="Times New Roman" w:cs="Times New Roman"/>
                <w:iCs/>
                <w:sz w:val="20"/>
                <w:szCs w:val="20"/>
                <w:lang w:val="en-GB" w:eastAsia="en-US"/>
              </w:rPr>
            </w:pPr>
            <w:r>
              <w:rPr>
                <w:rFonts w:ascii="Times New Roman" w:eastAsia="Times New Roman" w:hAnsi="Times New Roman" w:cs="Times New Roman"/>
                <w:iCs/>
                <w:sz w:val="20"/>
                <w:szCs w:val="20"/>
                <w:lang w:val="en-GB" w:eastAsia="en-US"/>
              </w:rPr>
              <w:t>4-5</w:t>
            </w:r>
          </w:p>
        </w:tc>
        <w:tc>
          <w:tcPr>
            <w:tcW w:w="2028" w:type="dxa"/>
            <w:tcBorders>
              <w:top w:val="single" w:sz="4" w:space="0" w:color="auto"/>
              <w:left w:val="nil"/>
              <w:bottom w:val="single" w:sz="4" w:space="0" w:color="auto"/>
              <w:right w:val="nil"/>
            </w:tcBorders>
            <w:hideMark/>
          </w:tcPr>
          <w:p w14:paraId="09785914" w14:textId="77777777" w:rsidR="00EF7A6B" w:rsidRDefault="00EF7A6B">
            <w:pPr>
              <w:tabs>
                <w:tab w:val="left" w:pos="5400"/>
              </w:tabs>
              <w:spacing w:after="0" w:line="300" w:lineRule="exact"/>
              <w:rPr>
                <w:rFonts w:ascii="Times New Roman" w:eastAsia="Times New Roman" w:hAnsi="Times New Roman" w:cs="Times New Roman"/>
                <w:iCs/>
                <w:sz w:val="20"/>
                <w:szCs w:val="20"/>
                <w:lang w:val="en-GB" w:eastAsia="en-US"/>
              </w:rPr>
            </w:pPr>
            <w:r>
              <w:rPr>
                <w:rFonts w:ascii="Times New Roman" w:eastAsia="Times New Roman" w:hAnsi="Times New Roman" w:cs="Times New Roman"/>
                <w:iCs/>
                <w:sz w:val="20"/>
                <w:szCs w:val="20"/>
                <w:lang w:val="en-GB" w:eastAsia="en-US"/>
              </w:rPr>
              <w:t>ICD-10 codes for any bleeding event, thromboembolic events, comorbidities, and indications for OACs were collected (…), Information was gathered from admission notes …. for simultaneous PPI, NSAID, and antiplatelet therapy</w:t>
            </w:r>
          </w:p>
        </w:tc>
      </w:tr>
      <w:tr w:rsidR="00EF7A6B" w14:paraId="2364FCF9" w14:textId="77777777" w:rsidTr="00EF7A6B">
        <w:trPr>
          <w:trHeight w:val="482"/>
        </w:trPr>
        <w:tc>
          <w:tcPr>
            <w:tcW w:w="1395" w:type="dxa"/>
            <w:tcBorders>
              <w:top w:val="single" w:sz="4" w:space="0" w:color="auto"/>
              <w:left w:val="nil"/>
              <w:bottom w:val="single" w:sz="4" w:space="0" w:color="auto"/>
              <w:right w:val="nil"/>
            </w:tcBorders>
            <w:hideMark/>
          </w:tcPr>
          <w:p w14:paraId="7481A0EF" w14:textId="77777777" w:rsidR="00EF7A6B" w:rsidRDefault="00EF7A6B">
            <w:pPr>
              <w:tabs>
                <w:tab w:val="left" w:pos="5400"/>
              </w:tabs>
              <w:spacing w:after="0" w:line="300" w:lineRule="exact"/>
              <w:rPr>
                <w:rFonts w:ascii="Times New Roman" w:eastAsia="Times New Roman" w:hAnsi="Times New Roman" w:cs="Times New Roman"/>
                <w:bCs/>
                <w:color w:val="000000"/>
                <w:sz w:val="20"/>
                <w:szCs w:val="20"/>
                <w:lang w:val="en-GB" w:eastAsia="en-US"/>
              </w:rPr>
            </w:pPr>
            <w:r>
              <w:rPr>
                <w:rFonts w:ascii="Times New Roman" w:eastAsia="Times New Roman" w:hAnsi="Times New Roman" w:cs="Times New Roman"/>
                <w:bCs/>
                <w:color w:val="000000"/>
                <w:sz w:val="20"/>
                <w:szCs w:val="20"/>
                <w:lang w:val="en-GB" w:eastAsia="en-US"/>
              </w:rPr>
              <w:t>Bias</w:t>
            </w:r>
          </w:p>
        </w:tc>
        <w:tc>
          <w:tcPr>
            <w:tcW w:w="440" w:type="dxa"/>
            <w:tcBorders>
              <w:top w:val="single" w:sz="4" w:space="0" w:color="auto"/>
              <w:left w:val="nil"/>
              <w:bottom w:val="single" w:sz="4" w:space="0" w:color="auto"/>
              <w:right w:val="nil"/>
            </w:tcBorders>
            <w:hideMark/>
          </w:tcPr>
          <w:p w14:paraId="2C07F6F3"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9</w:t>
            </w:r>
          </w:p>
        </w:tc>
        <w:tc>
          <w:tcPr>
            <w:tcW w:w="5745" w:type="dxa"/>
            <w:tcBorders>
              <w:top w:val="single" w:sz="4" w:space="0" w:color="auto"/>
              <w:left w:val="nil"/>
              <w:bottom w:val="single" w:sz="4" w:space="0" w:color="auto"/>
              <w:right w:val="nil"/>
            </w:tcBorders>
            <w:hideMark/>
          </w:tcPr>
          <w:p w14:paraId="48998126" w14:textId="77777777" w:rsidR="00EF7A6B" w:rsidRDefault="00EF7A6B">
            <w:pPr>
              <w:tabs>
                <w:tab w:val="left" w:pos="5400"/>
              </w:tabs>
              <w:spacing w:after="0" w:line="300" w:lineRule="exact"/>
              <w:rPr>
                <w:rFonts w:ascii="Times New Roman" w:eastAsia="Times New Roman" w:hAnsi="Times New Roman" w:cs="Times New Roman"/>
                <w:color w:val="000000"/>
                <w:sz w:val="20"/>
                <w:szCs w:val="20"/>
                <w:lang w:val="en-GB" w:eastAsia="en-US"/>
              </w:rPr>
            </w:pPr>
            <w:r>
              <w:rPr>
                <w:rFonts w:ascii="Times New Roman" w:eastAsia="Times New Roman" w:hAnsi="Times New Roman" w:cs="Times New Roman"/>
                <w:color w:val="000000"/>
                <w:sz w:val="20"/>
                <w:szCs w:val="20"/>
                <w:lang w:val="en-GB" w:eastAsia="en-US"/>
              </w:rPr>
              <w:t>Describe any efforts to address potential sources of bias</w:t>
            </w:r>
          </w:p>
        </w:tc>
        <w:tc>
          <w:tcPr>
            <w:tcW w:w="1115" w:type="dxa"/>
            <w:tcBorders>
              <w:top w:val="single" w:sz="4" w:space="0" w:color="auto"/>
              <w:left w:val="nil"/>
              <w:bottom w:val="single" w:sz="4" w:space="0" w:color="auto"/>
              <w:right w:val="nil"/>
            </w:tcBorders>
            <w:hideMark/>
          </w:tcPr>
          <w:p w14:paraId="43FC6379" w14:textId="77777777" w:rsidR="00EF7A6B" w:rsidRDefault="00EF7A6B">
            <w:pPr>
              <w:tabs>
                <w:tab w:val="left" w:pos="5400"/>
              </w:tabs>
              <w:spacing w:after="0" w:line="300" w:lineRule="exact"/>
              <w:rPr>
                <w:rFonts w:ascii="Times New Roman" w:eastAsia="Times New Roman" w:hAnsi="Times New Roman" w:cs="Times New Roman"/>
                <w:color w:val="000000"/>
                <w:sz w:val="20"/>
                <w:szCs w:val="20"/>
                <w:lang w:val="en-GB" w:eastAsia="en-US"/>
              </w:rPr>
            </w:pPr>
            <w:r>
              <w:rPr>
                <w:rFonts w:ascii="Times New Roman" w:eastAsia="Times New Roman" w:hAnsi="Times New Roman" w:cs="Times New Roman"/>
                <w:color w:val="000000"/>
                <w:sz w:val="20"/>
                <w:szCs w:val="20"/>
                <w:lang w:val="en-GB" w:eastAsia="en-US"/>
              </w:rPr>
              <w:t>5</w:t>
            </w:r>
          </w:p>
        </w:tc>
        <w:tc>
          <w:tcPr>
            <w:tcW w:w="2028" w:type="dxa"/>
            <w:tcBorders>
              <w:top w:val="single" w:sz="4" w:space="0" w:color="auto"/>
              <w:left w:val="nil"/>
              <w:bottom w:val="single" w:sz="4" w:space="0" w:color="auto"/>
              <w:right w:val="nil"/>
            </w:tcBorders>
            <w:hideMark/>
          </w:tcPr>
          <w:p w14:paraId="4480FC89" w14:textId="77777777" w:rsidR="00EF7A6B" w:rsidRDefault="00EF7A6B">
            <w:pPr>
              <w:tabs>
                <w:tab w:val="left" w:pos="5400"/>
              </w:tabs>
              <w:spacing w:after="0" w:line="300" w:lineRule="exact"/>
              <w:rPr>
                <w:rFonts w:ascii="Times New Roman" w:eastAsia="Times New Roman" w:hAnsi="Times New Roman" w:cs="Times New Roman"/>
                <w:color w:val="000000"/>
                <w:sz w:val="20"/>
                <w:szCs w:val="20"/>
                <w:lang w:val="en-GB" w:eastAsia="en-US"/>
              </w:rPr>
            </w:pPr>
            <w:r>
              <w:rPr>
                <w:rFonts w:ascii="Times New Roman" w:eastAsia="Times New Roman" w:hAnsi="Times New Roman" w:cs="Times New Roman"/>
                <w:color w:val="000000"/>
                <w:sz w:val="20"/>
                <w:szCs w:val="20"/>
                <w:lang w:val="en-GB" w:eastAsia="en-US"/>
              </w:rPr>
              <w:t>By having a population-based cohort.</w:t>
            </w:r>
          </w:p>
        </w:tc>
      </w:tr>
      <w:tr w:rsidR="00EF7A6B" w14:paraId="79FF7C8C" w14:textId="77777777" w:rsidTr="00EF7A6B">
        <w:trPr>
          <w:trHeight w:val="478"/>
        </w:trPr>
        <w:tc>
          <w:tcPr>
            <w:tcW w:w="1395" w:type="dxa"/>
            <w:tcBorders>
              <w:top w:val="single" w:sz="4" w:space="0" w:color="auto"/>
              <w:left w:val="nil"/>
              <w:bottom w:val="single" w:sz="4" w:space="0" w:color="auto"/>
              <w:right w:val="nil"/>
            </w:tcBorders>
            <w:hideMark/>
          </w:tcPr>
          <w:p w14:paraId="744990D4"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Study size</w:t>
            </w:r>
          </w:p>
        </w:tc>
        <w:tc>
          <w:tcPr>
            <w:tcW w:w="440" w:type="dxa"/>
            <w:tcBorders>
              <w:top w:val="single" w:sz="4" w:space="0" w:color="auto"/>
              <w:left w:val="nil"/>
              <w:bottom w:val="single" w:sz="4" w:space="0" w:color="auto"/>
              <w:right w:val="nil"/>
            </w:tcBorders>
            <w:hideMark/>
          </w:tcPr>
          <w:p w14:paraId="454613F2"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10</w:t>
            </w:r>
          </w:p>
        </w:tc>
        <w:tc>
          <w:tcPr>
            <w:tcW w:w="5745" w:type="dxa"/>
            <w:tcBorders>
              <w:top w:val="single" w:sz="4" w:space="0" w:color="auto"/>
              <w:left w:val="nil"/>
              <w:bottom w:val="single" w:sz="4" w:space="0" w:color="auto"/>
              <w:right w:val="nil"/>
            </w:tcBorders>
            <w:hideMark/>
          </w:tcPr>
          <w:p w14:paraId="2C77F95E"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Explain how the study size was arrived at</w:t>
            </w:r>
          </w:p>
        </w:tc>
        <w:tc>
          <w:tcPr>
            <w:tcW w:w="1115" w:type="dxa"/>
            <w:tcBorders>
              <w:top w:val="single" w:sz="4" w:space="0" w:color="auto"/>
              <w:left w:val="nil"/>
              <w:bottom w:val="single" w:sz="4" w:space="0" w:color="auto"/>
              <w:right w:val="nil"/>
            </w:tcBorders>
          </w:tcPr>
          <w:p w14:paraId="11A64572"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028" w:type="dxa"/>
            <w:tcBorders>
              <w:top w:val="single" w:sz="4" w:space="0" w:color="auto"/>
              <w:left w:val="nil"/>
              <w:bottom w:val="single" w:sz="4" w:space="0" w:color="auto"/>
              <w:right w:val="nil"/>
            </w:tcBorders>
            <w:hideMark/>
          </w:tcPr>
          <w:p w14:paraId="32C2E608"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 xml:space="preserve">Population-based cohort and </w:t>
            </w:r>
            <w:proofErr w:type="gramStart"/>
            <w:r>
              <w:rPr>
                <w:rFonts w:ascii="Times New Roman" w:eastAsia="Times New Roman" w:hAnsi="Times New Roman" w:cs="Times New Roman"/>
                <w:sz w:val="20"/>
                <w:szCs w:val="20"/>
                <w:lang w:val="en-GB" w:eastAsia="en-US"/>
              </w:rPr>
              <w:t>population based</w:t>
            </w:r>
            <w:proofErr w:type="gramEnd"/>
            <w:r>
              <w:rPr>
                <w:rFonts w:ascii="Times New Roman" w:eastAsia="Times New Roman" w:hAnsi="Times New Roman" w:cs="Times New Roman"/>
                <w:sz w:val="20"/>
                <w:szCs w:val="20"/>
                <w:lang w:val="en-GB" w:eastAsia="en-US"/>
              </w:rPr>
              <w:t xml:space="preserve"> control.</w:t>
            </w:r>
          </w:p>
        </w:tc>
      </w:tr>
    </w:tbl>
    <w:p w14:paraId="5959F72D" w14:textId="77777777" w:rsidR="00EF7A6B" w:rsidRDefault="00EF7A6B" w:rsidP="00EF7A6B">
      <w:pPr>
        <w:spacing w:after="0" w:line="300" w:lineRule="exact"/>
        <w:rPr>
          <w:rFonts w:ascii="Times New Roman" w:eastAsia="Times New Roman" w:hAnsi="Times New Roman" w:cs="Times New Roman"/>
          <w:sz w:val="24"/>
          <w:szCs w:val="20"/>
          <w:lang w:val="en-GB" w:eastAsia="en-US"/>
        </w:rPr>
      </w:pPr>
      <w:proofErr w:type="gramStart"/>
      <w:r>
        <w:rPr>
          <w:rFonts w:ascii="Times New Roman" w:eastAsia="Times New Roman" w:hAnsi="Times New Roman" w:cs="Times New Roman"/>
          <w:sz w:val="16"/>
          <w:szCs w:val="16"/>
          <w:lang w:val="en-GB" w:eastAsia="en-US"/>
        </w:rPr>
        <w:t>Continued on</w:t>
      </w:r>
      <w:proofErr w:type="gramEnd"/>
      <w:r>
        <w:rPr>
          <w:rFonts w:ascii="Times New Roman" w:eastAsia="Times New Roman" w:hAnsi="Times New Roman" w:cs="Times New Roman"/>
          <w:sz w:val="16"/>
          <w:szCs w:val="16"/>
          <w:lang w:val="en-GB" w:eastAsia="en-US"/>
        </w:rPr>
        <w:t xml:space="preserve"> next page</w:t>
      </w:r>
      <w:r>
        <w:rPr>
          <w:rFonts w:ascii="Times New Roman" w:eastAsia="Times New Roman" w:hAnsi="Times New Roman" w:cs="Times New Roman"/>
          <w:sz w:val="24"/>
          <w:szCs w:val="20"/>
          <w:lang w:val="en-GB" w:eastAsia="en-US"/>
        </w:rPr>
        <w:t xml:space="preserve"> </w:t>
      </w:r>
      <w:r>
        <w:rPr>
          <w:rFonts w:ascii="Times New Roman" w:eastAsia="Times New Roman" w:hAnsi="Times New Roman" w:cs="Times New Roman"/>
          <w:sz w:val="24"/>
          <w:szCs w:val="20"/>
          <w:lang w:val="en-GB" w:eastAsia="en-US"/>
        </w:rPr>
        <w:br w:type="page"/>
      </w:r>
    </w:p>
    <w:tbl>
      <w:tblPr>
        <w:tblW w:w="10737" w:type="dxa"/>
        <w:tblBorders>
          <w:top w:val="single" w:sz="4" w:space="0" w:color="auto"/>
          <w:bottom w:val="single" w:sz="4" w:space="0" w:color="auto"/>
          <w:insideH w:val="single" w:sz="4" w:space="0" w:color="auto"/>
        </w:tblBorders>
        <w:tblLook w:val="04A0" w:firstRow="1" w:lastRow="0" w:firstColumn="1" w:lastColumn="0" w:noHBand="0" w:noVBand="1"/>
      </w:tblPr>
      <w:tblGrid>
        <w:gridCol w:w="1498"/>
        <w:gridCol w:w="535"/>
        <w:gridCol w:w="5644"/>
        <w:gridCol w:w="876"/>
        <w:gridCol w:w="2184"/>
      </w:tblGrid>
      <w:tr w:rsidR="00EF7A6B" w14:paraId="587A7B60" w14:textId="77777777" w:rsidTr="00EF7A6B">
        <w:trPr>
          <w:trHeight w:val="2444"/>
        </w:trPr>
        <w:tc>
          <w:tcPr>
            <w:tcW w:w="1089" w:type="dxa"/>
            <w:tcBorders>
              <w:top w:val="single" w:sz="4" w:space="0" w:color="auto"/>
              <w:left w:val="nil"/>
              <w:bottom w:val="single" w:sz="4" w:space="0" w:color="auto"/>
              <w:right w:val="nil"/>
            </w:tcBorders>
            <w:hideMark/>
          </w:tcPr>
          <w:p w14:paraId="6B6C5DF9"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lastRenderedPageBreak/>
              <w:t>Quantitative variables</w:t>
            </w:r>
          </w:p>
        </w:tc>
        <w:tc>
          <w:tcPr>
            <w:tcW w:w="536" w:type="dxa"/>
            <w:tcBorders>
              <w:top w:val="single" w:sz="4" w:space="0" w:color="auto"/>
              <w:left w:val="nil"/>
              <w:bottom w:val="single" w:sz="4" w:space="0" w:color="auto"/>
              <w:right w:val="nil"/>
            </w:tcBorders>
            <w:hideMark/>
          </w:tcPr>
          <w:p w14:paraId="375E177D"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11</w:t>
            </w:r>
          </w:p>
        </w:tc>
        <w:tc>
          <w:tcPr>
            <w:tcW w:w="5964" w:type="dxa"/>
            <w:tcBorders>
              <w:top w:val="single" w:sz="4" w:space="0" w:color="auto"/>
              <w:left w:val="nil"/>
              <w:bottom w:val="single" w:sz="4" w:space="0" w:color="auto"/>
              <w:right w:val="nil"/>
            </w:tcBorders>
            <w:hideMark/>
          </w:tcPr>
          <w:p w14:paraId="2FB7DDF8"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Explain how quantitative variables were handled in the analyses. If applicable, describe which groupings were chosen and why</w:t>
            </w:r>
          </w:p>
        </w:tc>
        <w:tc>
          <w:tcPr>
            <w:tcW w:w="913" w:type="dxa"/>
            <w:tcBorders>
              <w:top w:val="single" w:sz="4" w:space="0" w:color="auto"/>
              <w:left w:val="nil"/>
              <w:bottom w:val="single" w:sz="4" w:space="0" w:color="auto"/>
              <w:right w:val="nil"/>
            </w:tcBorders>
            <w:hideMark/>
          </w:tcPr>
          <w:p w14:paraId="3BCB387A"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6</w:t>
            </w:r>
          </w:p>
        </w:tc>
        <w:tc>
          <w:tcPr>
            <w:tcW w:w="2233" w:type="dxa"/>
            <w:tcBorders>
              <w:top w:val="single" w:sz="4" w:space="0" w:color="auto"/>
              <w:left w:val="nil"/>
              <w:bottom w:val="single" w:sz="4" w:space="0" w:color="auto"/>
              <w:right w:val="nil"/>
            </w:tcBorders>
            <w:hideMark/>
          </w:tcPr>
          <w:p w14:paraId="7E4281CC"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Continuous variables are presented as mean (standard deviation); categorical variables are presented as n (%). The Mann-Whitney test was used for comparison of continuous variables and the Fisher’s exact test was used for comparison of categorical variables.</w:t>
            </w:r>
          </w:p>
        </w:tc>
      </w:tr>
      <w:tr w:rsidR="00EF7A6B" w14:paraId="4D6E6055" w14:textId="77777777" w:rsidTr="00EF7A6B">
        <w:trPr>
          <w:trHeight w:val="2743"/>
        </w:trPr>
        <w:tc>
          <w:tcPr>
            <w:tcW w:w="1089" w:type="dxa"/>
            <w:vMerge w:val="restart"/>
            <w:tcBorders>
              <w:top w:val="single" w:sz="4" w:space="0" w:color="auto"/>
              <w:left w:val="nil"/>
              <w:bottom w:val="single" w:sz="4" w:space="0" w:color="auto"/>
              <w:right w:val="nil"/>
            </w:tcBorders>
            <w:hideMark/>
          </w:tcPr>
          <w:p w14:paraId="6DDBECE9"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Statistical methods</w:t>
            </w:r>
          </w:p>
        </w:tc>
        <w:tc>
          <w:tcPr>
            <w:tcW w:w="536" w:type="dxa"/>
            <w:vMerge w:val="restart"/>
            <w:tcBorders>
              <w:top w:val="single" w:sz="4" w:space="0" w:color="auto"/>
              <w:left w:val="nil"/>
              <w:bottom w:val="single" w:sz="4" w:space="0" w:color="auto"/>
              <w:right w:val="nil"/>
            </w:tcBorders>
            <w:hideMark/>
          </w:tcPr>
          <w:p w14:paraId="291C9B16"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12</w:t>
            </w:r>
          </w:p>
        </w:tc>
        <w:tc>
          <w:tcPr>
            <w:tcW w:w="5964" w:type="dxa"/>
            <w:tcBorders>
              <w:top w:val="single" w:sz="4" w:space="0" w:color="auto"/>
              <w:left w:val="nil"/>
              <w:bottom w:val="single" w:sz="4" w:space="0" w:color="auto"/>
              <w:right w:val="nil"/>
            </w:tcBorders>
            <w:hideMark/>
          </w:tcPr>
          <w:p w14:paraId="497658F5"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lang w:val="en-GB" w:eastAsia="en-US"/>
              </w:rPr>
              <w:t>a</w:t>
            </w:r>
            <w:r>
              <w:rPr>
                <w:rFonts w:ascii="Times New Roman" w:eastAsia="Times New Roman" w:hAnsi="Times New Roman" w:cs="Times New Roman"/>
                <w:sz w:val="20"/>
                <w:szCs w:val="20"/>
                <w:lang w:val="en-GB" w:eastAsia="en-US"/>
              </w:rPr>
              <w:t>) Describe all statistical methods, including those used to control for confounding</w:t>
            </w:r>
          </w:p>
        </w:tc>
        <w:tc>
          <w:tcPr>
            <w:tcW w:w="913" w:type="dxa"/>
            <w:tcBorders>
              <w:top w:val="single" w:sz="4" w:space="0" w:color="auto"/>
              <w:left w:val="nil"/>
              <w:bottom w:val="single" w:sz="4" w:space="0" w:color="auto"/>
              <w:right w:val="nil"/>
            </w:tcBorders>
            <w:hideMark/>
          </w:tcPr>
          <w:p w14:paraId="5C3F9129"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6</w:t>
            </w:r>
          </w:p>
        </w:tc>
        <w:tc>
          <w:tcPr>
            <w:tcW w:w="2233" w:type="dxa"/>
            <w:tcBorders>
              <w:top w:val="single" w:sz="4" w:space="0" w:color="auto"/>
              <w:left w:val="nil"/>
              <w:bottom w:val="single" w:sz="4" w:space="0" w:color="auto"/>
              <w:right w:val="nil"/>
            </w:tcBorders>
            <w:hideMark/>
          </w:tcPr>
          <w:p w14:paraId="0DB0A9CA"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 xml:space="preserve">…. with mixed effects logistic regression. Aetiologies with </w:t>
            </w:r>
            <w:r>
              <w:rPr>
                <w:rFonts w:ascii="Times New Roman" w:eastAsia="Times New Roman" w:hAnsi="Times New Roman" w:cs="Times New Roman"/>
                <w:i/>
                <w:sz w:val="20"/>
                <w:szCs w:val="20"/>
                <w:lang w:val="en-GB" w:eastAsia="en-US"/>
              </w:rPr>
              <w:t xml:space="preserve">n </w:t>
            </w:r>
            <w:r>
              <w:rPr>
                <w:rFonts w:ascii="Times New Roman" w:eastAsia="Times New Roman" w:hAnsi="Times New Roman" w:cs="Times New Roman"/>
                <w:sz w:val="20"/>
                <w:szCs w:val="20"/>
                <w:lang w:val="en-GB" w:eastAsia="en-US"/>
              </w:rPr>
              <w:t xml:space="preserve">&gt; 10 were analysed. The variables corrected for were selected </w:t>
            </w:r>
            <w:r>
              <w:rPr>
                <w:rFonts w:ascii="Times New Roman" w:eastAsia="Times New Roman" w:hAnsi="Times New Roman" w:cs="Times New Roman"/>
                <w:i/>
                <w:sz w:val="20"/>
                <w:szCs w:val="20"/>
                <w:lang w:val="en-GB" w:eastAsia="en-US"/>
              </w:rPr>
              <w:t>a priori</w:t>
            </w:r>
            <w:r>
              <w:rPr>
                <w:rFonts w:ascii="Times New Roman" w:eastAsia="Times New Roman" w:hAnsi="Times New Roman" w:cs="Times New Roman"/>
                <w:sz w:val="20"/>
                <w:szCs w:val="20"/>
                <w:lang w:val="en-GB" w:eastAsia="en-US"/>
              </w:rPr>
              <w:t>. They included age, sex, Charlson Comorbidity Index, antiplatelet use and NSAID use. Additionally, the use of PPI was corrected for patients with upper GIB.</w:t>
            </w:r>
          </w:p>
        </w:tc>
      </w:tr>
      <w:tr w:rsidR="00EF7A6B" w14:paraId="58D5B7D3" w14:textId="77777777" w:rsidTr="00EF7A6B">
        <w:trPr>
          <w:trHeight w:val="317"/>
        </w:trPr>
        <w:tc>
          <w:tcPr>
            <w:tcW w:w="0" w:type="auto"/>
            <w:vMerge/>
            <w:tcBorders>
              <w:top w:val="single" w:sz="4" w:space="0" w:color="auto"/>
              <w:left w:val="nil"/>
              <w:bottom w:val="single" w:sz="4" w:space="0" w:color="auto"/>
              <w:right w:val="nil"/>
            </w:tcBorders>
            <w:vAlign w:val="center"/>
            <w:hideMark/>
          </w:tcPr>
          <w:p w14:paraId="1E726E54" w14:textId="77777777" w:rsidR="00EF7A6B" w:rsidRDefault="00EF7A6B">
            <w:pPr>
              <w:spacing w:after="0"/>
              <w:rPr>
                <w:rFonts w:ascii="Times New Roman" w:eastAsia="Times New Roman" w:hAnsi="Times New Roman" w:cs="Times New Roman"/>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26FF5100"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2BD34797"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lang w:val="en-GB" w:eastAsia="en-US"/>
              </w:rPr>
              <w:t>b</w:t>
            </w:r>
            <w:r>
              <w:rPr>
                <w:rFonts w:ascii="Times New Roman" w:eastAsia="Times New Roman" w:hAnsi="Times New Roman" w:cs="Times New Roman"/>
                <w:sz w:val="20"/>
                <w:szCs w:val="20"/>
                <w:lang w:val="en-GB" w:eastAsia="en-US"/>
              </w:rPr>
              <w:t>) Describe any methods used to examine subgroups and interactions</w:t>
            </w:r>
          </w:p>
        </w:tc>
        <w:tc>
          <w:tcPr>
            <w:tcW w:w="913" w:type="dxa"/>
            <w:tcBorders>
              <w:top w:val="single" w:sz="4" w:space="0" w:color="auto"/>
              <w:left w:val="nil"/>
              <w:bottom w:val="single" w:sz="4" w:space="0" w:color="auto"/>
              <w:right w:val="nil"/>
            </w:tcBorders>
          </w:tcPr>
          <w:p w14:paraId="636E367B"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233" w:type="dxa"/>
            <w:tcBorders>
              <w:top w:val="single" w:sz="4" w:space="0" w:color="auto"/>
              <w:left w:val="nil"/>
              <w:bottom w:val="single" w:sz="4" w:space="0" w:color="auto"/>
              <w:right w:val="nil"/>
            </w:tcBorders>
          </w:tcPr>
          <w:p w14:paraId="162D0998"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r w:rsidR="00EF7A6B" w14:paraId="786A907B" w14:textId="77777777" w:rsidTr="00EF7A6B">
        <w:trPr>
          <w:trHeight w:val="317"/>
        </w:trPr>
        <w:tc>
          <w:tcPr>
            <w:tcW w:w="0" w:type="auto"/>
            <w:vMerge/>
            <w:tcBorders>
              <w:top w:val="single" w:sz="4" w:space="0" w:color="auto"/>
              <w:left w:val="nil"/>
              <w:bottom w:val="single" w:sz="4" w:space="0" w:color="auto"/>
              <w:right w:val="nil"/>
            </w:tcBorders>
            <w:vAlign w:val="center"/>
            <w:hideMark/>
          </w:tcPr>
          <w:p w14:paraId="19FA0EEB" w14:textId="77777777" w:rsidR="00EF7A6B" w:rsidRDefault="00EF7A6B">
            <w:pPr>
              <w:spacing w:after="0"/>
              <w:rPr>
                <w:rFonts w:ascii="Times New Roman" w:eastAsia="Times New Roman" w:hAnsi="Times New Roman" w:cs="Times New Roman"/>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291B0B1D"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0D8624CA"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lang w:val="en-GB" w:eastAsia="en-US"/>
              </w:rPr>
              <w:t>c</w:t>
            </w:r>
            <w:r>
              <w:rPr>
                <w:rFonts w:ascii="Times New Roman" w:eastAsia="Times New Roman" w:hAnsi="Times New Roman" w:cs="Times New Roman"/>
                <w:sz w:val="20"/>
                <w:szCs w:val="20"/>
                <w:lang w:val="en-GB" w:eastAsia="en-US"/>
              </w:rPr>
              <w:t>) Explain how missing data were addressed</w:t>
            </w:r>
          </w:p>
        </w:tc>
        <w:tc>
          <w:tcPr>
            <w:tcW w:w="913" w:type="dxa"/>
            <w:tcBorders>
              <w:top w:val="single" w:sz="4" w:space="0" w:color="auto"/>
              <w:left w:val="nil"/>
              <w:bottom w:val="single" w:sz="4" w:space="0" w:color="auto"/>
              <w:right w:val="nil"/>
            </w:tcBorders>
          </w:tcPr>
          <w:p w14:paraId="6E3E1745"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233" w:type="dxa"/>
            <w:tcBorders>
              <w:top w:val="single" w:sz="4" w:space="0" w:color="auto"/>
              <w:left w:val="nil"/>
              <w:bottom w:val="single" w:sz="4" w:space="0" w:color="auto"/>
              <w:right w:val="nil"/>
            </w:tcBorders>
          </w:tcPr>
          <w:p w14:paraId="5F0FB39E"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r w:rsidR="00EF7A6B" w14:paraId="42299EDF" w14:textId="77777777" w:rsidTr="00EF7A6B">
        <w:trPr>
          <w:trHeight w:val="1228"/>
        </w:trPr>
        <w:tc>
          <w:tcPr>
            <w:tcW w:w="0" w:type="auto"/>
            <w:vMerge/>
            <w:tcBorders>
              <w:top w:val="single" w:sz="4" w:space="0" w:color="auto"/>
              <w:left w:val="nil"/>
              <w:bottom w:val="single" w:sz="4" w:space="0" w:color="auto"/>
              <w:right w:val="nil"/>
            </w:tcBorders>
            <w:vAlign w:val="center"/>
            <w:hideMark/>
          </w:tcPr>
          <w:p w14:paraId="2B35C7F4" w14:textId="77777777" w:rsidR="00EF7A6B" w:rsidRDefault="00EF7A6B">
            <w:pPr>
              <w:spacing w:after="0"/>
              <w:rPr>
                <w:rFonts w:ascii="Times New Roman" w:eastAsia="Times New Roman" w:hAnsi="Times New Roman" w:cs="Times New Roman"/>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4944AC7D"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6A9A10DF"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lang w:val="en-GB" w:eastAsia="en-US"/>
              </w:rPr>
              <w:t>d</w:t>
            </w:r>
            <w:r>
              <w:rPr>
                <w:rFonts w:ascii="Times New Roman" w:eastAsia="Times New Roman" w:hAnsi="Times New Roman" w:cs="Times New Roman"/>
                <w:sz w:val="20"/>
                <w:szCs w:val="20"/>
                <w:lang w:val="en-GB" w:eastAsia="en-US"/>
              </w:rPr>
              <w:t xml:space="preserve">) </w:t>
            </w:r>
            <w:r>
              <w:rPr>
                <w:rFonts w:ascii="Times New Roman" w:eastAsia="Times New Roman" w:hAnsi="Times New Roman" w:cs="Times New Roman"/>
                <w:bCs/>
                <w:i/>
                <w:sz w:val="20"/>
                <w:szCs w:val="20"/>
                <w:lang w:val="en-GB" w:eastAsia="en-US"/>
              </w:rPr>
              <w:t>Cohort study</w:t>
            </w:r>
            <w:r>
              <w:rPr>
                <w:rFonts w:ascii="Times New Roman" w:eastAsia="Times New Roman" w:hAnsi="Times New Roman" w:cs="Times New Roman"/>
                <w:sz w:val="20"/>
                <w:szCs w:val="20"/>
                <w:lang w:val="en-GB" w:eastAsia="en-US"/>
              </w:rPr>
              <w:t>—If applicable, explain how loss to follow-up was addressed</w:t>
            </w:r>
          </w:p>
          <w:p w14:paraId="33863692"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bCs/>
                <w:i/>
                <w:sz w:val="20"/>
                <w:szCs w:val="20"/>
                <w:lang w:val="en-GB" w:eastAsia="en-US"/>
              </w:rPr>
              <w:t>Case-control study</w:t>
            </w:r>
            <w:r>
              <w:rPr>
                <w:rFonts w:ascii="Times New Roman" w:eastAsia="Times New Roman" w:hAnsi="Times New Roman" w:cs="Times New Roman"/>
                <w:sz w:val="20"/>
                <w:szCs w:val="20"/>
                <w:lang w:val="en-GB" w:eastAsia="en-US"/>
              </w:rPr>
              <w:t>—If applicable, explain how matching of cases and controls was addressed</w:t>
            </w:r>
          </w:p>
          <w:p w14:paraId="3EE846AC"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bCs/>
                <w:i/>
                <w:sz w:val="20"/>
                <w:szCs w:val="20"/>
                <w:lang w:val="en-GB" w:eastAsia="en-US"/>
              </w:rPr>
              <w:t>Cross-sectional study</w:t>
            </w:r>
            <w:r>
              <w:rPr>
                <w:rFonts w:ascii="Times New Roman" w:eastAsia="Times New Roman" w:hAnsi="Times New Roman" w:cs="Times New Roman"/>
                <w:sz w:val="20"/>
                <w:szCs w:val="20"/>
                <w:lang w:val="en-GB" w:eastAsia="en-US"/>
              </w:rPr>
              <w:t>—If applicable, describe analytical methods taking account of sampling strategy</w:t>
            </w:r>
          </w:p>
        </w:tc>
        <w:tc>
          <w:tcPr>
            <w:tcW w:w="913" w:type="dxa"/>
            <w:tcBorders>
              <w:top w:val="single" w:sz="4" w:space="0" w:color="auto"/>
              <w:left w:val="nil"/>
              <w:bottom w:val="single" w:sz="4" w:space="0" w:color="auto"/>
              <w:right w:val="nil"/>
            </w:tcBorders>
          </w:tcPr>
          <w:p w14:paraId="6FEC00D5"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233" w:type="dxa"/>
            <w:tcBorders>
              <w:top w:val="single" w:sz="4" w:space="0" w:color="auto"/>
              <w:left w:val="nil"/>
              <w:bottom w:val="single" w:sz="4" w:space="0" w:color="auto"/>
              <w:right w:val="nil"/>
            </w:tcBorders>
          </w:tcPr>
          <w:p w14:paraId="4BE8EF1A"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r w:rsidR="00EF7A6B" w14:paraId="5A48BB79" w14:textId="77777777" w:rsidTr="00EF7A6B">
        <w:trPr>
          <w:trHeight w:val="317"/>
        </w:trPr>
        <w:tc>
          <w:tcPr>
            <w:tcW w:w="0" w:type="auto"/>
            <w:vMerge/>
            <w:tcBorders>
              <w:top w:val="single" w:sz="4" w:space="0" w:color="auto"/>
              <w:left w:val="nil"/>
              <w:bottom w:val="single" w:sz="4" w:space="0" w:color="auto"/>
              <w:right w:val="nil"/>
            </w:tcBorders>
            <w:vAlign w:val="center"/>
            <w:hideMark/>
          </w:tcPr>
          <w:p w14:paraId="51C0B677" w14:textId="77777777" w:rsidR="00EF7A6B" w:rsidRDefault="00EF7A6B">
            <w:pPr>
              <w:spacing w:after="0"/>
              <w:rPr>
                <w:rFonts w:ascii="Times New Roman" w:eastAsia="Times New Roman" w:hAnsi="Times New Roman" w:cs="Times New Roman"/>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6924CAD2"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4385C117"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u w:val="single"/>
                <w:lang w:val="en-GB" w:eastAsia="en-US"/>
              </w:rPr>
              <w:t>e</w:t>
            </w:r>
            <w:r>
              <w:rPr>
                <w:rFonts w:ascii="Times New Roman" w:eastAsia="Times New Roman" w:hAnsi="Times New Roman" w:cs="Times New Roman"/>
                <w:sz w:val="20"/>
                <w:szCs w:val="20"/>
                <w:lang w:val="en-GB" w:eastAsia="en-US"/>
              </w:rPr>
              <w:t>) Describe any sensitivity analyses</w:t>
            </w:r>
          </w:p>
        </w:tc>
        <w:tc>
          <w:tcPr>
            <w:tcW w:w="913" w:type="dxa"/>
            <w:tcBorders>
              <w:top w:val="single" w:sz="4" w:space="0" w:color="auto"/>
              <w:left w:val="nil"/>
              <w:bottom w:val="single" w:sz="4" w:space="0" w:color="auto"/>
              <w:right w:val="nil"/>
            </w:tcBorders>
          </w:tcPr>
          <w:p w14:paraId="7D4D7149"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233" w:type="dxa"/>
            <w:tcBorders>
              <w:top w:val="single" w:sz="4" w:space="0" w:color="auto"/>
              <w:left w:val="nil"/>
              <w:bottom w:val="single" w:sz="4" w:space="0" w:color="auto"/>
              <w:right w:val="nil"/>
            </w:tcBorders>
          </w:tcPr>
          <w:p w14:paraId="1EFFE6DF"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r w:rsidR="00EF7A6B" w14:paraId="2981FE27" w14:textId="77777777" w:rsidTr="00EF7A6B">
        <w:trPr>
          <w:trHeight w:val="354"/>
        </w:trPr>
        <w:tc>
          <w:tcPr>
            <w:tcW w:w="10737" w:type="dxa"/>
            <w:gridSpan w:val="5"/>
            <w:tcBorders>
              <w:top w:val="single" w:sz="4" w:space="0" w:color="auto"/>
              <w:left w:val="nil"/>
              <w:bottom w:val="single" w:sz="4" w:space="0" w:color="auto"/>
              <w:right w:val="nil"/>
            </w:tcBorders>
            <w:hideMark/>
          </w:tcPr>
          <w:p w14:paraId="334CEF38" w14:textId="77777777" w:rsidR="00EF7A6B" w:rsidRDefault="00EF7A6B">
            <w:pPr>
              <w:tabs>
                <w:tab w:val="left" w:pos="5400"/>
              </w:tabs>
              <w:spacing w:before="120" w:after="0" w:line="240" w:lineRule="auto"/>
              <w:rPr>
                <w:rFonts w:ascii="Times New Roman" w:eastAsia="Times New Roman" w:hAnsi="Times New Roman" w:cs="Times New Roman"/>
                <w:b/>
                <w:sz w:val="20"/>
                <w:szCs w:val="20"/>
                <w:lang w:val="en-GB" w:eastAsia="en-US"/>
              </w:rPr>
            </w:pPr>
            <w:r>
              <w:rPr>
                <w:rFonts w:ascii="Times New Roman" w:eastAsia="Times New Roman" w:hAnsi="Times New Roman" w:cs="Times New Roman"/>
                <w:b/>
                <w:sz w:val="20"/>
                <w:szCs w:val="20"/>
                <w:lang w:val="en-GB" w:eastAsia="en-US"/>
              </w:rPr>
              <w:t>Results</w:t>
            </w:r>
          </w:p>
        </w:tc>
      </w:tr>
      <w:tr w:rsidR="00EF7A6B" w14:paraId="2D9D8ECF" w14:textId="77777777" w:rsidTr="00EF7A6B">
        <w:trPr>
          <w:trHeight w:val="2138"/>
        </w:trPr>
        <w:tc>
          <w:tcPr>
            <w:tcW w:w="0" w:type="auto"/>
            <w:vMerge w:val="restart"/>
            <w:tcBorders>
              <w:top w:val="single" w:sz="4" w:space="0" w:color="auto"/>
              <w:left w:val="nil"/>
              <w:bottom w:val="single" w:sz="4" w:space="0" w:color="auto"/>
              <w:right w:val="nil"/>
            </w:tcBorders>
            <w:hideMark/>
          </w:tcPr>
          <w:p w14:paraId="7AFFEA97"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lastRenderedPageBreak/>
              <w:t>Participants</w:t>
            </w:r>
          </w:p>
        </w:tc>
        <w:tc>
          <w:tcPr>
            <w:tcW w:w="0" w:type="auto"/>
            <w:vMerge w:val="restart"/>
            <w:tcBorders>
              <w:top w:val="single" w:sz="4" w:space="0" w:color="auto"/>
              <w:left w:val="nil"/>
              <w:bottom w:val="single" w:sz="4" w:space="0" w:color="auto"/>
              <w:right w:val="nil"/>
            </w:tcBorders>
            <w:hideMark/>
          </w:tcPr>
          <w:p w14:paraId="46D7AD8C"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13</w:t>
            </w:r>
            <w:r>
              <w:rPr>
                <w:rFonts w:ascii="Times New Roman" w:eastAsia="Times New Roman" w:hAnsi="Times New Roman" w:cs="Times New Roman"/>
                <w:bCs/>
                <w:sz w:val="20"/>
                <w:szCs w:val="20"/>
                <w:lang w:val="en-GB" w:eastAsia="en-US"/>
              </w:rPr>
              <w:t>*</w:t>
            </w:r>
          </w:p>
        </w:tc>
        <w:tc>
          <w:tcPr>
            <w:tcW w:w="5964" w:type="dxa"/>
            <w:tcBorders>
              <w:top w:val="single" w:sz="4" w:space="0" w:color="auto"/>
              <w:left w:val="nil"/>
              <w:bottom w:val="single" w:sz="4" w:space="0" w:color="auto"/>
              <w:right w:val="nil"/>
            </w:tcBorders>
            <w:hideMark/>
          </w:tcPr>
          <w:p w14:paraId="5B29B617"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(a) Report numbers of individuals at each stage of study—</w:t>
            </w:r>
            <w:proofErr w:type="spellStart"/>
            <w:proofErr w:type="gramStart"/>
            <w:r>
              <w:rPr>
                <w:rFonts w:ascii="Times New Roman" w:eastAsia="Times New Roman" w:hAnsi="Times New Roman" w:cs="Times New Roman"/>
                <w:sz w:val="20"/>
                <w:szCs w:val="20"/>
                <w:lang w:val="en-GB" w:eastAsia="en-US"/>
              </w:rPr>
              <w:t>eg</w:t>
            </w:r>
            <w:proofErr w:type="spellEnd"/>
            <w:proofErr w:type="gramEnd"/>
            <w:r>
              <w:rPr>
                <w:rFonts w:ascii="Times New Roman" w:eastAsia="Times New Roman" w:hAnsi="Times New Roman" w:cs="Times New Roman"/>
                <w:sz w:val="20"/>
                <w:szCs w:val="20"/>
                <w:lang w:val="en-GB" w:eastAsia="en-US"/>
              </w:rPr>
              <w:t xml:space="preserve"> numbers potentially eligible, examined for eligibility, confirmed eligible, included in the study, completing follow-up, and analysed</w:t>
            </w:r>
          </w:p>
        </w:tc>
        <w:tc>
          <w:tcPr>
            <w:tcW w:w="913" w:type="dxa"/>
            <w:tcBorders>
              <w:top w:val="single" w:sz="4" w:space="0" w:color="auto"/>
              <w:left w:val="nil"/>
              <w:bottom w:val="single" w:sz="4" w:space="0" w:color="auto"/>
              <w:right w:val="nil"/>
            </w:tcBorders>
            <w:hideMark/>
          </w:tcPr>
          <w:p w14:paraId="6A3B6F36"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6</w:t>
            </w:r>
          </w:p>
        </w:tc>
        <w:tc>
          <w:tcPr>
            <w:tcW w:w="2233" w:type="dxa"/>
            <w:tcBorders>
              <w:top w:val="single" w:sz="4" w:space="0" w:color="auto"/>
              <w:left w:val="nil"/>
              <w:bottom w:val="single" w:sz="4" w:space="0" w:color="auto"/>
              <w:right w:val="nil"/>
            </w:tcBorders>
            <w:hideMark/>
          </w:tcPr>
          <w:p w14:paraId="0526692D"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A total of 12,005 individuals received 14,611 OACs prescriptions, as 2,626 patients had two or more OACs prescribed.  Of 14,611 registered prescriptions, 752 bleeding events occurred in patients on anticoagulation.</w:t>
            </w:r>
          </w:p>
        </w:tc>
      </w:tr>
      <w:tr w:rsidR="00EF7A6B" w14:paraId="38B4E253" w14:textId="77777777" w:rsidTr="00EF7A6B">
        <w:trPr>
          <w:trHeight w:val="311"/>
        </w:trPr>
        <w:tc>
          <w:tcPr>
            <w:tcW w:w="0" w:type="auto"/>
            <w:vMerge/>
            <w:tcBorders>
              <w:top w:val="single" w:sz="4" w:space="0" w:color="auto"/>
              <w:left w:val="nil"/>
              <w:bottom w:val="single" w:sz="4" w:space="0" w:color="auto"/>
              <w:right w:val="nil"/>
            </w:tcBorders>
            <w:vAlign w:val="center"/>
            <w:hideMark/>
          </w:tcPr>
          <w:p w14:paraId="107C5C2A" w14:textId="77777777" w:rsidR="00EF7A6B" w:rsidRDefault="00EF7A6B">
            <w:pPr>
              <w:spacing w:after="0"/>
              <w:rPr>
                <w:rFonts w:ascii="Times New Roman" w:eastAsia="Times New Roman" w:hAnsi="Times New Roman" w:cs="Times New Roman"/>
                <w:bCs/>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0DE87D3F"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2B198007"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(b) Give reasons for non-participation at each stage</w:t>
            </w:r>
          </w:p>
        </w:tc>
        <w:tc>
          <w:tcPr>
            <w:tcW w:w="913" w:type="dxa"/>
            <w:tcBorders>
              <w:top w:val="single" w:sz="4" w:space="0" w:color="auto"/>
              <w:left w:val="nil"/>
              <w:bottom w:val="single" w:sz="4" w:space="0" w:color="auto"/>
              <w:right w:val="nil"/>
            </w:tcBorders>
          </w:tcPr>
          <w:p w14:paraId="0C51517B"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233" w:type="dxa"/>
            <w:tcBorders>
              <w:top w:val="single" w:sz="4" w:space="0" w:color="auto"/>
              <w:left w:val="nil"/>
              <w:bottom w:val="single" w:sz="4" w:space="0" w:color="auto"/>
              <w:right w:val="nil"/>
            </w:tcBorders>
          </w:tcPr>
          <w:p w14:paraId="26AF935B"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r w:rsidR="00EF7A6B" w14:paraId="44726677" w14:textId="77777777" w:rsidTr="00EF7A6B">
        <w:trPr>
          <w:trHeight w:val="317"/>
        </w:trPr>
        <w:tc>
          <w:tcPr>
            <w:tcW w:w="0" w:type="auto"/>
            <w:vMerge/>
            <w:tcBorders>
              <w:top w:val="single" w:sz="4" w:space="0" w:color="auto"/>
              <w:left w:val="nil"/>
              <w:bottom w:val="single" w:sz="4" w:space="0" w:color="auto"/>
              <w:right w:val="nil"/>
            </w:tcBorders>
            <w:vAlign w:val="center"/>
            <w:hideMark/>
          </w:tcPr>
          <w:p w14:paraId="0E5B62F2" w14:textId="77777777" w:rsidR="00EF7A6B" w:rsidRDefault="00EF7A6B">
            <w:pPr>
              <w:spacing w:after="0"/>
              <w:rPr>
                <w:rFonts w:ascii="Times New Roman" w:eastAsia="Times New Roman" w:hAnsi="Times New Roman" w:cs="Times New Roman"/>
                <w:bCs/>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62EF9AC1"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1D10CAD6"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(c) Consider use of a flow diagram</w:t>
            </w:r>
          </w:p>
        </w:tc>
        <w:tc>
          <w:tcPr>
            <w:tcW w:w="913" w:type="dxa"/>
            <w:tcBorders>
              <w:top w:val="single" w:sz="4" w:space="0" w:color="auto"/>
              <w:left w:val="nil"/>
              <w:bottom w:val="single" w:sz="4" w:space="0" w:color="auto"/>
              <w:right w:val="nil"/>
            </w:tcBorders>
          </w:tcPr>
          <w:p w14:paraId="28423CB9"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233" w:type="dxa"/>
            <w:tcBorders>
              <w:top w:val="single" w:sz="4" w:space="0" w:color="auto"/>
              <w:left w:val="nil"/>
              <w:bottom w:val="single" w:sz="4" w:space="0" w:color="auto"/>
              <w:right w:val="nil"/>
            </w:tcBorders>
          </w:tcPr>
          <w:p w14:paraId="10205BE7"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r w:rsidR="00EF7A6B" w14:paraId="51F2EF06" w14:textId="77777777" w:rsidTr="00EF7A6B">
        <w:trPr>
          <w:trHeight w:val="916"/>
        </w:trPr>
        <w:tc>
          <w:tcPr>
            <w:tcW w:w="0" w:type="auto"/>
            <w:vMerge w:val="restart"/>
            <w:tcBorders>
              <w:top w:val="single" w:sz="4" w:space="0" w:color="auto"/>
              <w:left w:val="nil"/>
              <w:bottom w:val="single" w:sz="4" w:space="0" w:color="auto"/>
              <w:right w:val="nil"/>
            </w:tcBorders>
            <w:hideMark/>
          </w:tcPr>
          <w:p w14:paraId="73D1A9E3"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Descriptive data</w:t>
            </w:r>
          </w:p>
        </w:tc>
        <w:tc>
          <w:tcPr>
            <w:tcW w:w="0" w:type="auto"/>
            <w:vMerge w:val="restart"/>
            <w:tcBorders>
              <w:top w:val="single" w:sz="4" w:space="0" w:color="auto"/>
              <w:left w:val="nil"/>
              <w:bottom w:val="single" w:sz="4" w:space="0" w:color="auto"/>
              <w:right w:val="nil"/>
            </w:tcBorders>
            <w:hideMark/>
          </w:tcPr>
          <w:p w14:paraId="4D6F4E51"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14</w:t>
            </w:r>
            <w:r>
              <w:rPr>
                <w:rFonts w:ascii="Times New Roman" w:eastAsia="Times New Roman" w:hAnsi="Times New Roman" w:cs="Times New Roman"/>
                <w:bCs/>
                <w:sz w:val="20"/>
                <w:szCs w:val="20"/>
                <w:lang w:val="en-GB" w:eastAsia="en-US"/>
              </w:rPr>
              <w:t>*</w:t>
            </w:r>
          </w:p>
        </w:tc>
        <w:tc>
          <w:tcPr>
            <w:tcW w:w="5964" w:type="dxa"/>
            <w:tcBorders>
              <w:top w:val="single" w:sz="4" w:space="0" w:color="auto"/>
              <w:left w:val="nil"/>
              <w:bottom w:val="single" w:sz="4" w:space="0" w:color="auto"/>
              <w:right w:val="nil"/>
            </w:tcBorders>
            <w:hideMark/>
          </w:tcPr>
          <w:p w14:paraId="421C6626"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(a) Give characteristics of study participants (</w:t>
            </w:r>
            <w:proofErr w:type="spellStart"/>
            <w:proofErr w:type="gramStart"/>
            <w:r>
              <w:rPr>
                <w:rFonts w:ascii="Times New Roman" w:eastAsia="Times New Roman" w:hAnsi="Times New Roman" w:cs="Times New Roman"/>
                <w:sz w:val="20"/>
                <w:szCs w:val="20"/>
                <w:lang w:val="en-GB" w:eastAsia="en-US"/>
              </w:rPr>
              <w:t>eg</w:t>
            </w:r>
            <w:proofErr w:type="spellEnd"/>
            <w:proofErr w:type="gramEnd"/>
            <w:r>
              <w:rPr>
                <w:rFonts w:ascii="Times New Roman" w:eastAsia="Times New Roman" w:hAnsi="Times New Roman" w:cs="Times New Roman"/>
                <w:sz w:val="20"/>
                <w:szCs w:val="20"/>
                <w:lang w:val="en-GB" w:eastAsia="en-US"/>
              </w:rPr>
              <w:t xml:space="preserve"> demographic, clinical, social) and information on exposures and potential confounders</w:t>
            </w:r>
          </w:p>
        </w:tc>
        <w:tc>
          <w:tcPr>
            <w:tcW w:w="913" w:type="dxa"/>
            <w:tcBorders>
              <w:top w:val="single" w:sz="4" w:space="0" w:color="auto"/>
              <w:left w:val="nil"/>
              <w:bottom w:val="single" w:sz="4" w:space="0" w:color="auto"/>
              <w:right w:val="nil"/>
            </w:tcBorders>
            <w:hideMark/>
          </w:tcPr>
          <w:p w14:paraId="568788C9"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6</w:t>
            </w:r>
          </w:p>
        </w:tc>
        <w:tc>
          <w:tcPr>
            <w:tcW w:w="2233" w:type="dxa"/>
            <w:tcBorders>
              <w:top w:val="single" w:sz="4" w:space="0" w:color="auto"/>
              <w:left w:val="nil"/>
              <w:bottom w:val="single" w:sz="4" w:space="0" w:color="auto"/>
              <w:right w:val="nil"/>
            </w:tcBorders>
            <w:hideMark/>
          </w:tcPr>
          <w:p w14:paraId="28975DB7"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Table 2 (all anticoagulated patients), 3 (for upper bleeding) and 4 (for lower bleeding).</w:t>
            </w:r>
          </w:p>
        </w:tc>
      </w:tr>
      <w:tr w:rsidR="00EF7A6B" w14:paraId="338BAF21" w14:textId="77777777" w:rsidTr="00EF7A6B">
        <w:trPr>
          <w:trHeight w:val="311"/>
        </w:trPr>
        <w:tc>
          <w:tcPr>
            <w:tcW w:w="0" w:type="auto"/>
            <w:vMerge/>
            <w:tcBorders>
              <w:top w:val="single" w:sz="4" w:space="0" w:color="auto"/>
              <w:left w:val="nil"/>
              <w:bottom w:val="single" w:sz="4" w:space="0" w:color="auto"/>
              <w:right w:val="nil"/>
            </w:tcBorders>
            <w:vAlign w:val="center"/>
            <w:hideMark/>
          </w:tcPr>
          <w:p w14:paraId="6FC8A633" w14:textId="77777777" w:rsidR="00EF7A6B" w:rsidRDefault="00EF7A6B">
            <w:pPr>
              <w:spacing w:after="0"/>
              <w:rPr>
                <w:rFonts w:ascii="Times New Roman" w:eastAsia="Times New Roman" w:hAnsi="Times New Roman" w:cs="Times New Roman"/>
                <w:bCs/>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7F9CD761"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3EFF90F6"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(b) Indicate number of participants with missing data for each variable of interest</w:t>
            </w:r>
          </w:p>
        </w:tc>
        <w:tc>
          <w:tcPr>
            <w:tcW w:w="913" w:type="dxa"/>
            <w:tcBorders>
              <w:top w:val="single" w:sz="4" w:space="0" w:color="auto"/>
              <w:left w:val="nil"/>
              <w:bottom w:val="single" w:sz="4" w:space="0" w:color="auto"/>
              <w:right w:val="nil"/>
            </w:tcBorders>
          </w:tcPr>
          <w:p w14:paraId="6D68F66B"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233" w:type="dxa"/>
            <w:tcBorders>
              <w:top w:val="single" w:sz="4" w:space="0" w:color="auto"/>
              <w:left w:val="nil"/>
              <w:bottom w:val="single" w:sz="4" w:space="0" w:color="auto"/>
              <w:right w:val="nil"/>
            </w:tcBorders>
          </w:tcPr>
          <w:p w14:paraId="6EC26AE4"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r w:rsidR="00EF7A6B" w14:paraId="34E0B542" w14:textId="77777777" w:rsidTr="00EF7A6B">
        <w:trPr>
          <w:trHeight w:val="317"/>
        </w:trPr>
        <w:tc>
          <w:tcPr>
            <w:tcW w:w="0" w:type="auto"/>
            <w:vMerge/>
            <w:tcBorders>
              <w:top w:val="single" w:sz="4" w:space="0" w:color="auto"/>
              <w:left w:val="nil"/>
              <w:bottom w:val="single" w:sz="4" w:space="0" w:color="auto"/>
              <w:right w:val="nil"/>
            </w:tcBorders>
            <w:vAlign w:val="center"/>
            <w:hideMark/>
          </w:tcPr>
          <w:p w14:paraId="10CA5A09" w14:textId="77777777" w:rsidR="00EF7A6B" w:rsidRDefault="00EF7A6B">
            <w:pPr>
              <w:spacing w:after="0"/>
              <w:rPr>
                <w:rFonts w:ascii="Times New Roman" w:eastAsia="Times New Roman" w:hAnsi="Times New Roman" w:cs="Times New Roman"/>
                <w:bCs/>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3DECC4F7"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3F4D0C53"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 xml:space="preserve">(c) </w:t>
            </w:r>
            <w:r>
              <w:rPr>
                <w:rFonts w:ascii="Times New Roman" w:eastAsia="Times New Roman" w:hAnsi="Times New Roman" w:cs="Times New Roman"/>
                <w:i/>
                <w:sz w:val="20"/>
                <w:szCs w:val="20"/>
                <w:lang w:val="en-GB" w:eastAsia="en-US"/>
              </w:rPr>
              <w:t>Cohort study</w:t>
            </w:r>
            <w:r>
              <w:rPr>
                <w:rFonts w:ascii="Times New Roman" w:eastAsia="Times New Roman" w:hAnsi="Times New Roman" w:cs="Times New Roman"/>
                <w:sz w:val="20"/>
                <w:szCs w:val="20"/>
                <w:lang w:val="en-GB" w:eastAsia="en-US"/>
              </w:rPr>
              <w:t>—Summarise follow-up time (</w:t>
            </w:r>
            <w:proofErr w:type="spellStart"/>
            <w:r>
              <w:rPr>
                <w:rFonts w:ascii="Times New Roman" w:eastAsia="Times New Roman" w:hAnsi="Times New Roman" w:cs="Times New Roman"/>
                <w:sz w:val="20"/>
                <w:szCs w:val="20"/>
                <w:lang w:val="en-GB" w:eastAsia="en-US"/>
              </w:rPr>
              <w:t>eg</w:t>
            </w:r>
            <w:proofErr w:type="spellEnd"/>
            <w:r>
              <w:rPr>
                <w:rFonts w:ascii="Times New Roman" w:eastAsia="Times New Roman" w:hAnsi="Times New Roman" w:cs="Times New Roman"/>
                <w:sz w:val="20"/>
                <w:szCs w:val="20"/>
                <w:lang w:val="en-GB" w:eastAsia="en-US"/>
              </w:rPr>
              <w:t>, average and total amount)</w:t>
            </w:r>
          </w:p>
        </w:tc>
        <w:tc>
          <w:tcPr>
            <w:tcW w:w="913" w:type="dxa"/>
            <w:tcBorders>
              <w:top w:val="single" w:sz="4" w:space="0" w:color="auto"/>
              <w:left w:val="nil"/>
              <w:bottom w:val="single" w:sz="4" w:space="0" w:color="auto"/>
              <w:right w:val="nil"/>
            </w:tcBorders>
          </w:tcPr>
          <w:p w14:paraId="09DEA8C4"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233" w:type="dxa"/>
            <w:tcBorders>
              <w:top w:val="single" w:sz="4" w:space="0" w:color="auto"/>
              <w:left w:val="nil"/>
              <w:bottom w:val="single" w:sz="4" w:space="0" w:color="auto"/>
              <w:right w:val="nil"/>
            </w:tcBorders>
          </w:tcPr>
          <w:p w14:paraId="3DFD2E29"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r w:rsidR="00EF7A6B" w14:paraId="7BDAAFC2" w14:textId="77777777" w:rsidTr="00EF7A6B">
        <w:trPr>
          <w:trHeight w:val="300"/>
        </w:trPr>
        <w:tc>
          <w:tcPr>
            <w:tcW w:w="0" w:type="auto"/>
            <w:vMerge w:val="restart"/>
            <w:tcBorders>
              <w:top w:val="single" w:sz="4" w:space="0" w:color="auto"/>
              <w:left w:val="nil"/>
              <w:bottom w:val="single" w:sz="4" w:space="0" w:color="auto"/>
              <w:right w:val="nil"/>
            </w:tcBorders>
            <w:hideMark/>
          </w:tcPr>
          <w:p w14:paraId="2B968111"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Outcome data</w:t>
            </w:r>
          </w:p>
        </w:tc>
        <w:tc>
          <w:tcPr>
            <w:tcW w:w="0" w:type="auto"/>
            <w:vMerge w:val="restart"/>
            <w:tcBorders>
              <w:top w:val="single" w:sz="4" w:space="0" w:color="auto"/>
              <w:left w:val="nil"/>
              <w:bottom w:val="single" w:sz="4" w:space="0" w:color="auto"/>
              <w:right w:val="nil"/>
            </w:tcBorders>
            <w:hideMark/>
          </w:tcPr>
          <w:p w14:paraId="47E225B8"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15</w:t>
            </w:r>
            <w:r>
              <w:rPr>
                <w:rFonts w:ascii="Times New Roman" w:eastAsia="Times New Roman" w:hAnsi="Times New Roman" w:cs="Times New Roman"/>
                <w:bCs/>
                <w:sz w:val="20"/>
                <w:szCs w:val="20"/>
                <w:lang w:val="en-GB" w:eastAsia="en-US"/>
              </w:rPr>
              <w:t>*</w:t>
            </w:r>
          </w:p>
        </w:tc>
        <w:tc>
          <w:tcPr>
            <w:tcW w:w="5964" w:type="dxa"/>
            <w:tcBorders>
              <w:top w:val="single" w:sz="4" w:space="0" w:color="auto"/>
              <w:left w:val="nil"/>
              <w:bottom w:val="single" w:sz="4" w:space="0" w:color="auto"/>
              <w:right w:val="nil"/>
            </w:tcBorders>
            <w:hideMark/>
          </w:tcPr>
          <w:p w14:paraId="49CDD4B1"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i/>
                <w:sz w:val="20"/>
                <w:szCs w:val="20"/>
                <w:lang w:val="en-GB" w:eastAsia="en-US"/>
              </w:rPr>
              <w:t>Cohort study</w:t>
            </w:r>
            <w:r>
              <w:rPr>
                <w:rFonts w:ascii="Times New Roman" w:eastAsia="Times New Roman" w:hAnsi="Times New Roman" w:cs="Times New Roman"/>
                <w:sz w:val="20"/>
                <w:szCs w:val="20"/>
                <w:lang w:val="en-GB" w:eastAsia="en-US"/>
              </w:rPr>
              <w:t>—Report numbers of outcome events or summary measures over time</w:t>
            </w:r>
          </w:p>
        </w:tc>
        <w:tc>
          <w:tcPr>
            <w:tcW w:w="913" w:type="dxa"/>
            <w:tcBorders>
              <w:top w:val="single" w:sz="4" w:space="0" w:color="auto"/>
              <w:left w:val="nil"/>
              <w:bottom w:val="single" w:sz="4" w:space="0" w:color="auto"/>
              <w:right w:val="nil"/>
            </w:tcBorders>
            <w:hideMark/>
          </w:tcPr>
          <w:p w14:paraId="786563C3" w14:textId="77777777" w:rsidR="00EF7A6B" w:rsidRDefault="00EF7A6B">
            <w:pPr>
              <w:tabs>
                <w:tab w:val="left" w:pos="5400"/>
              </w:tabs>
              <w:spacing w:after="0" w:line="300" w:lineRule="exact"/>
              <w:rPr>
                <w:rFonts w:ascii="Times New Roman" w:eastAsia="Times New Roman" w:hAnsi="Times New Roman" w:cs="Times New Roman"/>
                <w:i/>
                <w:sz w:val="20"/>
                <w:szCs w:val="20"/>
                <w:lang w:val="en-GB" w:eastAsia="en-US"/>
              </w:rPr>
            </w:pPr>
            <w:r>
              <w:rPr>
                <w:rFonts w:ascii="Times New Roman" w:eastAsia="Times New Roman" w:hAnsi="Times New Roman" w:cs="Times New Roman"/>
                <w:i/>
                <w:sz w:val="20"/>
                <w:szCs w:val="20"/>
                <w:lang w:val="en-GB" w:eastAsia="en-US"/>
              </w:rPr>
              <w:t>6-7</w:t>
            </w:r>
          </w:p>
        </w:tc>
        <w:tc>
          <w:tcPr>
            <w:tcW w:w="2233" w:type="dxa"/>
            <w:tcBorders>
              <w:top w:val="single" w:sz="4" w:space="0" w:color="auto"/>
              <w:left w:val="nil"/>
              <w:bottom w:val="single" w:sz="4" w:space="0" w:color="auto"/>
              <w:right w:val="nil"/>
            </w:tcBorders>
            <w:hideMark/>
          </w:tcPr>
          <w:p w14:paraId="64B12B65" w14:textId="77777777" w:rsidR="00EF7A6B" w:rsidRDefault="00EF7A6B">
            <w:pPr>
              <w:tabs>
                <w:tab w:val="left" w:pos="5400"/>
              </w:tabs>
              <w:spacing w:after="0" w:line="300" w:lineRule="exact"/>
              <w:rPr>
                <w:rFonts w:ascii="Times New Roman" w:eastAsia="Times New Roman" w:hAnsi="Times New Roman" w:cs="Times New Roman"/>
                <w:i/>
                <w:sz w:val="20"/>
                <w:szCs w:val="20"/>
                <w:lang w:val="en-GB" w:eastAsia="en-US"/>
              </w:rPr>
            </w:pPr>
            <w:r>
              <w:rPr>
                <w:rFonts w:ascii="Times New Roman" w:eastAsia="Times New Roman" w:hAnsi="Times New Roman" w:cs="Times New Roman"/>
                <w:i/>
                <w:sz w:val="20"/>
                <w:szCs w:val="20"/>
                <w:lang w:val="en-GB" w:eastAsia="en-US"/>
              </w:rPr>
              <w:t>Table 3-5</w:t>
            </w:r>
          </w:p>
        </w:tc>
      </w:tr>
      <w:tr w:rsidR="00EF7A6B" w14:paraId="3CA23603" w14:textId="77777777" w:rsidTr="00EF7A6B">
        <w:trPr>
          <w:trHeight w:val="299"/>
        </w:trPr>
        <w:tc>
          <w:tcPr>
            <w:tcW w:w="0" w:type="auto"/>
            <w:vMerge/>
            <w:tcBorders>
              <w:top w:val="single" w:sz="4" w:space="0" w:color="auto"/>
              <w:left w:val="nil"/>
              <w:bottom w:val="single" w:sz="4" w:space="0" w:color="auto"/>
              <w:right w:val="nil"/>
            </w:tcBorders>
            <w:vAlign w:val="center"/>
            <w:hideMark/>
          </w:tcPr>
          <w:p w14:paraId="0F959F2A" w14:textId="77777777" w:rsidR="00EF7A6B" w:rsidRDefault="00EF7A6B">
            <w:pPr>
              <w:spacing w:after="0"/>
              <w:rPr>
                <w:rFonts w:ascii="Times New Roman" w:eastAsia="Times New Roman" w:hAnsi="Times New Roman" w:cs="Times New Roman"/>
                <w:bCs/>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7A07C122"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16891C02" w14:textId="77777777" w:rsidR="00EF7A6B" w:rsidRDefault="00EF7A6B">
            <w:pPr>
              <w:tabs>
                <w:tab w:val="left" w:pos="5400"/>
              </w:tabs>
              <w:spacing w:after="0" w:line="300" w:lineRule="exact"/>
              <w:rPr>
                <w:rFonts w:ascii="Times New Roman" w:eastAsia="Times New Roman" w:hAnsi="Times New Roman" w:cs="Times New Roman"/>
                <w:i/>
                <w:sz w:val="20"/>
                <w:szCs w:val="20"/>
                <w:lang w:val="en-GB" w:eastAsia="en-US"/>
              </w:rPr>
            </w:pPr>
            <w:r>
              <w:rPr>
                <w:rFonts w:ascii="Times New Roman" w:eastAsia="Times New Roman" w:hAnsi="Times New Roman" w:cs="Times New Roman"/>
                <w:i/>
                <w:sz w:val="20"/>
                <w:szCs w:val="20"/>
                <w:lang w:val="en-GB" w:eastAsia="en-US"/>
              </w:rPr>
              <w:t>Case-control study—</w:t>
            </w:r>
            <w:r>
              <w:rPr>
                <w:rFonts w:ascii="Times New Roman" w:eastAsia="Times New Roman" w:hAnsi="Times New Roman" w:cs="Times New Roman"/>
                <w:sz w:val="20"/>
                <w:szCs w:val="20"/>
                <w:lang w:val="en-GB" w:eastAsia="en-US"/>
              </w:rPr>
              <w:t>Report numbers in each exposure category, or summary measures of exposure</w:t>
            </w:r>
          </w:p>
        </w:tc>
        <w:tc>
          <w:tcPr>
            <w:tcW w:w="913" w:type="dxa"/>
            <w:tcBorders>
              <w:top w:val="single" w:sz="4" w:space="0" w:color="auto"/>
              <w:left w:val="nil"/>
              <w:bottom w:val="single" w:sz="4" w:space="0" w:color="auto"/>
              <w:right w:val="nil"/>
            </w:tcBorders>
          </w:tcPr>
          <w:p w14:paraId="25042682" w14:textId="77777777" w:rsidR="00EF7A6B" w:rsidRDefault="00EF7A6B">
            <w:pPr>
              <w:tabs>
                <w:tab w:val="left" w:pos="5400"/>
              </w:tabs>
              <w:spacing w:after="0" w:line="300" w:lineRule="exact"/>
              <w:rPr>
                <w:rFonts w:ascii="Times New Roman" w:eastAsia="Times New Roman" w:hAnsi="Times New Roman" w:cs="Times New Roman"/>
                <w:i/>
                <w:sz w:val="20"/>
                <w:szCs w:val="20"/>
                <w:lang w:val="en-GB" w:eastAsia="en-US"/>
              </w:rPr>
            </w:pPr>
          </w:p>
        </w:tc>
        <w:tc>
          <w:tcPr>
            <w:tcW w:w="2233" w:type="dxa"/>
            <w:tcBorders>
              <w:top w:val="single" w:sz="4" w:space="0" w:color="auto"/>
              <w:left w:val="nil"/>
              <w:bottom w:val="single" w:sz="4" w:space="0" w:color="auto"/>
              <w:right w:val="nil"/>
            </w:tcBorders>
          </w:tcPr>
          <w:p w14:paraId="2B462265" w14:textId="77777777" w:rsidR="00EF7A6B" w:rsidRDefault="00EF7A6B">
            <w:pPr>
              <w:tabs>
                <w:tab w:val="left" w:pos="5400"/>
              </w:tabs>
              <w:spacing w:after="0" w:line="300" w:lineRule="exact"/>
              <w:rPr>
                <w:rFonts w:ascii="Times New Roman" w:eastAsia="Times New Roman" w:hAnsi="Times New Roman" w:cs="Times New Roman"/>
                <w:i/>
                <w:sz w:val="20"/>
                <w:szCs w:val="20"/>
                <w:lang w:val="en-GB" w:eastAsia="en-US"/>
              </w:rPr>
            </w:pPr>
          </w:p>
        </w:tc>
      </w:tr>
      <w:tr w:rsidR="00EF7A6B" w14:paraId="2979185D" w14:textId="77777777" w:rsidTr="00EF7A6B">
        <w:trPr>
          <w:trHeight w:val="299"/>
        </w:trPr>
        <w:tc>
          <w:tcPr>
            <w:tcW w:w="0" w:type="auto"/>
            <w:vMerge/>
            <w:tcBorders>
              <w:top w:val="single" w:sz="4" w:space="0" w:color="auto"/>
              <w:left w:val="nil"/>
              <w:bottom w:val="single" w:sz="4" w:space="0" w:color="auto"/>
              <w:right w:val="nil"/>
            </w:tcBorders>
            <w:vAlign w:val="center"/>
            <w:hideMark/>
          </w:tcPr>
          <w:p w14:paraId="35FEE935" w14:textId="77777777" w:rsidR="00EF7A6B" w:rsidRDefault="00EF7A6B">
            <w:pPr>
              <w:spacing w:after="0"/>
              <w:rPr>
                <w:rFonts w:ascii="Times New Roman" w:eastAsia="Times New Roman" w:hAnsi="Times New Roman" w:cs="Times New Roman"/>
                <w:bCs/>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0F45611C"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73AB3441" w14:textId="77777777" w:rsidR="00EF7A6B" w:rsidRDefault="00EF7A6B">
            <w:pPr>
              <w:tabs>
                <w:tab w:val="left" w:pos="5400"/>
              </w:tabs>
              <w:spacing w:after="0" w:line="300" w:lineRule="exact"/>
              <w:rPr>
                <w:rFonts w:ascii="Times New Roman" w:eastAsia="Times New Roman" w:hAnsi="Times New Roman" w:cs="Times New Roman"/>
                <w:i/>
                <w:sz w:val="20"/>
                <w:szCs w:val="20"/>
                <w:lang w:val="en-GB" w:eastAsia="en-US"/>
              </w:rPr>
            </w:pPr>
            <w:r>
              <w:rPr>
                <w:rFonts w:ascii="Times New Roman" w:eastAsia="Times New Roman" w:hAnsi="Times New Roman" w:cs="Times New Roman"/>
                <w:i/>
                <w:sz w:val="20"/>
                <w:szCs w:val="20"/>
                <w:lang w:val="en-GB" w:eastAsia="en-US"/>
              </w:rPr>
              <w:t>Cross-sectional study—</w:t>
            </w:r>
            <w:r>
              <w:rPr>
                <w:rFonts w:ascii="Times New Roman" w:eastAsia="Times New Roman" w:hAnsi="Times New Roman" w:cs="Times New Roman"/>
                <w:sz w:val="20"/>
                <w:szCs w:val="20"/>
                <w:lang w:val="en-GB" w:eastAsia="en-US"/>
              </w:rPr>
              <w:t>Report numbers of outcome events or summary measures</w:t>
            </w:r>
          </w:p>
        </w:tc>
        <w:tc>
          <w:tcPr>
            <w:tcW w:w="913" w:type="dxa"/>
            <w:tcBorders>
              <w:top w:val="single" w:sz="4" w:space="0" w:color="auto"/>
              <w:left w:val="nil"/>
              <w:bottom w:val="single" w:sz="4" w:space="0" w:color="auto"/>
              <w:right w:val="nil"/>
            </w:tcBorders>
          </w:tcPr>
          <w:p w14:paraId="0A008D97" w14:textId="77777777" w:rsidR="00EF7A6B" w:rsidRDefault="00EF7A6B">
            <w:pPr>
              <w:tabs>
                <w:tab w:val="left" w:pos="5400"/>
              </w:tabs>
              <w:spacing w:after="0" w:line="300" w:lineRule="exact"/>
              <w:rPr>
                <w:rFonts w:ascii="Times New Roman" w:eastAsia="Times New Roman" w:hAnsi="Times New Roman" w:cs="Times New Roman"/>
                <w:i/>
                <w:sz w:val="20"/>
                <w:szCs w:val="20"/>
                <w:lang w:val="en-GB" w:eastAsia="en-US"/>
              </w:rPr>
            </w:pPr>
          </w:p>
        </w:tc>
        <w:tc>
          <w:tcPr>
            <w:tcW w:w="2233" w:type="dxa"/>
            <w:tcBorders>
              <w:top w:val="single" w:sz="4" w:space="0" w:color="auto"/>
              <w:left w:val="nil"/>
              <w:bottom w:val="single" w:sz="4" w:space="0" w:color="auto"/>
              <w:right w:val="nil"/>
            </w:tcBorders>
          </w:tcPr>
          <w:p w14:paraId="52448397" w14:textId="77777777" w:rsidR="00EF7A6B" w:rsidRDefault="00EF7A6B">
            <w:pPr>
              <w:tabs>
                <w:tab w:val="left" w:pos="5400"/>
              </w:tabs>
              <w:spacing w:after="0" w:line="300" w:lineRule="exact"/>
              <w:rPr>
                <w:rFonts w:ascii="Times New Roman" w:eastAsia="Times New Roman" w:hAnsi="Times New Roman" w:cs="Times New Roman"/>
                <w:i/>
                <w:sz w:val="20"/>
                <w:szCs w:val="20"/>
                <w:lang w:val="en-GB" w:eastAsia="en-US"/>
              </w:rPr>
            </w:pPr>
          </w:p>
        </w:tc>
      </w:tr>
      <w:tr w:rsidR="00EF7A6B" w14:paraId="6AB7305F" w14:textId="77777777" w:rsidTr="00EF7A6B">
        <w:trPr>
          <w:trHeight w:val="916"/>
        </w:trPr>
        <w:tc>
          <w:tcPr>
            <w:tcW w:w="0" w:type="auto"/>
            <w:vMerge w:val="restart"/>
            <w:tcBorders>
              <w:top w:val="single" w:sz="4" w:space="0" w:color="auto"/>
              <w:left w:val="nil"/>
              <w:bottom w:val="single" w:sz="4" w:space="0" w:color="auto"/>
              <w:right w:val="nil"/>
            </w:tcBorders>
            <w:hideMark/>
          </w:tcPr>
          <w:p w14:paraId="25A87FD4"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Main results</w:t>
            </w:r>
          </w:p>
        </w:tc>
        <w:tc>
          <w:tcPr>
            <w:tcW w:w="0" w:type="auto"/>
            <w:vMerge w:val="restart"/>
            <w:tcBorders>
              <w:top w:val="single" w:sz="4" w:space="0" w:color="auto"/>
              <w:left w:val="nil"/>
              <w:bottom w:val="single" w:sz="4" w:space="0" w:color="auto"/>
              <w:right w:val="nil"/>
            </w:tcBorders>
            <w:hideMark/>
          </w:tcPr>
          <w:p w14:paraId="4C3CABE6"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16</w:t>
            </w:r>
          </w:p>
        </w:tc>
        <w:tc>
          <w:tcPr>
            <w:tcW w:w="5964" w:type="dxa"/>
            <w:tcBorders>
              <w:top w:val="single" w:sz="4" w:space="0" w:color="auto"/>
              <w:left w:val="nil"/>
              <w:bottom w:val="single" w:sz="4" w:space="0" w:color="auto"/>
              <w:right w:val="nil"/>
            </w:tcBorders>
            <w:hideMark/>
          </w:tcPr>
          <w:p w14:paraId="4E9B861F"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lang w:val="en-GB" w:eastAsia="en-US"/>
              </w:rPr>
              <w:t>a</w:t>
            </w:r>
            <w:r>
              <w:rPr>
                <w:rFonts w:ascii="Times New Roman" w:eastAsia="Times New Roman" w:hAnsi="Times New Roman" w:cs="Times New Roman"/>
                <w:sz w:val="20"/>
                <w:szCs w:val="20"/>
                <w:lang w:val="en-GB" w:eastAsia="en-US"/>
              </w:rPr>
              <w:t>) Give unadjusted estimates and, if applicable, confounder-adjusted estimates and their precision (</w:t>
            </w:r>
            <w:proofErr w:type="spellStart"/>
            <w:r>
              <w:rPr>
                <w:rFonts w:ascii="Times New Roman" w:eastAsia="Times New Roman" w:hAnsi="Times New Roman" w:cs="Times New Roman"/>
                <w:sz w:val="20"/>
                <w:szCs w:val="20"/>
                <w:lang w:val="en-GB" w:eastAsia="en-US"/>
              </w:rPr>
              <w:t>eg</w:t>
            </w:r>
            <w:proofErr w:type="spellEnd"/>
            <w:r>
              <w:rPr>
                <w:rFonts w:ascii="Times New Roman" w:eastAsia="Times New Roman" w:hAnsi="Times New Roman" w:cs="Times New Roman"/>
                <w:sz w:val="20"/>
                <w:szCs w:val="20"/>
                <w:lang w:val="en-GB" w:eastAsia="en-US"/>
              </w:rPr>
              <w:t>, 95% confidence interval). Make clear which confounders were adjusted for and why they were included</w:t>
            </w:r>
          </w:p>
        </w:tc>
        <w:tc>
          <w:tcPr>
            <w:tcW w:w="913" w:type="dxa"/>
            <w:tcBorders>
              <w:top w:val="single" w:sz="4" w:space="0" w:color="auto"/>
              <w:left w:val="nil"/>
              <w:bottom w:val="single" w:sz="4" w:space="0" w:color="auto"/>
              <w:right w:val="nil"/>
            </w:tcBorders>
            <w:hideMark/>
          </w:tcPr>
          <w:p w14:paraId="3F753EDC"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7</w:t>
            </w:r>
          </w:p>
        </w:tc>
        <w:tc>
          <w:tcPr>
            <w:tcW w:w="2233" w:type="dxa"/>
            <w:tcBorders>
              <w:top w:val="single" w:sz="4" w:space="0" w:color="auto"/>
              <w:left w:val="nil"/>
              <w:bottom w:val="single" w:sz="4" w:space="0" w:color="auto"/>
              <w:right w:val="nil"/>
            </w:tcBorders>
            <w:hideMark/>
          </w:tcPr>
          <w:p w14:paraId="0FF95178"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Table 3-5</w:t>
            </w:r>
          </w:p>
        </w:tc>
      </w:tr>
      <w:tr w:rsidR="00EF7A6B" w14:paraId="16DA8F9B" w14:textId="77777777" w:rsidTr="00EF7A6B">
        <w:trPr>
          <w:trHeight w:val="311"/>
        </w:trPr>
        <w:tc>
          <w:tcPr>
            <w:tcW w:w="0" w:type="auto"/>
            <w:vMerge/>
            <w:tcBorders>
              <w:top w:val="single" w:sz="4" w:space="0" w:color="auto"/>
              <w:left w:val="nil"/>
              <w:bottom w:val="single" w:sz="4" w:space="0" w:color="auto"/>
              <w:right w:val="nil"/>
            </w:tcBorders>
            <w:vAlign w:val="center"/>
            <w:hideMark/>
          </w:tcPr>
          <w:p w14:paraId="10C7AD2B" w14:textId="77777777" w:rsidR="00EF7A6B" w:rsidRDefault="00EF7A6B">
            <w:pPr>
              <w:spacing w:after="0"/>
              <w:rPr>
                <w:rFonts w:ascii="Times New Roman" w:eastAsia="Times New Roman" w:hAnsi="Times New Roman" w:cs="Times New Roman"/>
                <w:bCs/>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574AF960"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724DBEE6"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lang w:val="en-GB" w:eastAsia="en-US"/>
              </w:rPr>
              <w:t>b</w:t>
            </w:r>
            <w:r>
              <w:rPr>
                <w:rFonts w:ascii="Times New Roman" w:eastAsia="Times New Roman" w:hAnsi="Times New Roman" w:cs="Times New Roman"/>
                <w:sz w:val="20"/>
                <w:szCs w:val="20"/>
                <w:lang w:val="en-GB" w:eastAsia="en-US"/>
              </w:rPr>
              <w:t>) Report category boundaries when continuous variables were categorized</w:t>
            </w:r>
          </w:p>
        </w:tc>
        <w:tc>
          <w:tcPr>
            <w:tcW w:w="913" w:type="dxa"/>
            <w:tcBorders>
              <w:top w:val="single" w:sz="4" w:space="0" w:color="auto"/>
              <w:left w:val="nil"/>
              <w:bottom w:val="single" w:sz="4" w:space="0" w:color="auto"/>
              <w:right w:val="nil"/>
            </w:tcBorders>
          </w:tcPr>
          <w:p w14:paraId="2BA17464"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233" w:type="dxa"/>
            <w:tcBorders>
              <w:top w:val="single" w:sz="4" w:space="0" w:color="auto"/>
              <w:left w:val="nil"/>
              <w:bottom w:val="single" w:sz="4" w:space="0" w:color="auto"/>
              <w:right w:val="nil"/>
            </w:tcBorders>
          </w:tcPr>
          <w:p w14:paraId="6BFAFD76"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r w:rsidR="00EF7A6B" w14:paraId="18B8365E" w14:textId="77777777" w:rsidTr="00EF7A6B">
        <w:trPr>
          <w:trHeight w:val="623"/>
        </w:trPr>
        <w:tc>
          <w:tcPr>
            <w:tcW w:w="0" w:type="auto"/>
            <w:vMerge/>
            <w:tcBorders>
              <w:top w:val="single" w:sz="4" w:space="0" w:color="auto"/>
              <w:left w:val="nil"/>
              <w:bottom w:val="single" w:sz="4" w:space="0" w:color="auto"/>
              <w:right w:val="nil"/>
            </w:tcBorders>
            <w:vAlign w:val="center"/>
            <w:hideMark/>
          </w:tcPr>
          <w:p w14:paraId="59C3EAF9" w14:textId="77777777" w:rsidR="00EF7A6B" w:rsidRDefault="00EF7A6B">
            <w:pPr>
              <w:spacing w:after="0"/>
              <w:rPr>
                <w:rFonts w:ascii="Times New Roman" w:eastAsia="Times New Roman" w:hAnsi="Times New Roman" w:cs="Times New Roman"/>
                <w:bCs/>
                <w:sz w:val="20"/>
                <w:szCs w:val="20"/>
                <w:lang w:val="en-GB" w:eastAsia="en-US"/>
              </w:rPr>
            </w:pPr>
          </w:p>
        </w:tc>
        <w:tc>
          <w:tcPr>
            <w:tcW w:w="0" w:type="auto"/>
            <w:vMerge/>
            <w:tcBorders>
              <w:top w:val="single" w:sz="4" w:space="0" w:color="auto"/>
              <w:left w:val="nil"/>
              <w:bottom w:val="single" w:sz="4" w:space="0" w:color="auto"/>
              <w:right w:val="nil"/>
            </w:tcBorders>
            <w:vAlign w:val="center"/>
            <w:hideMark/>
          </w:tcPr>
          <w:p w14:paraId="4C1A3F1A" w14:textId="77777777" w:rsidR="00EF7A6B" w:rsidRDefault="00EF7A6B">
            <w:pPr>
              <w:spacing w:after="0"/>
              <w:rPr>
                <w:rFonts w:ascii="Times New Roman" w:eastAsia="Times New Roman" w:hAnsi="Times New Roman" w:cs="Times New Roman"/>
                <w:sz w:val="20"/>
                <w:szCs w:val="20"/>
                <w:lang w:val="en-GB" w:eastAsia="en-US"/>
              </w:rPr>
            </w:pPr>
          </w:p>
        </w:tc>
        <w:tc>
          <w:tcPr>
            <w:tcW w:w="5964" w:type="dxa"/>
            <w:tcBorders>
              <w:top w:val="single" w:sz="4" w:space="0" w:color="auto"/>
              <w:left w:val="nil"/>
              <w:bottom w:val="single" w:sz="4" w:space="0" w:color="auto"/>
              <w:right w:val="nil"/>
            </w:tcBorders>
            <w:hideMark/>
          </w:tcPr>
          <w:p w14:paraId="25F3B0D3"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w:t>
            </w:r>
            <w:r>
              <w:rPr>
                <w:rFonts w:ascii="Times New Roman" w:eastAsia="Times New Roman" w:hAnsi="Times New Roman" w:cs="Times New Roman"/>
                <w:i/>
                <w:sz w:val="20"/>
                <w:szCs w:val="20"/>
                <w:lang w:val="en-GB" w:eastAsia="en-US"/>
              </w:rPr>
              <w:t>c</w:t>
            </w:r>
            <w:r>
              <w:rPr>
                <w:rFonts w:ascii="Times New Roman" w:eastAsia="Times New Roman" w:hAnsi="Times New Roman" w:cs="Times New Roman"/>
                <w:sz w:val="20"/>
                <w:szCs w:val="20"/>
                <w:lang w:val="en-GB" w:eastAsia="en-US"/>
              </w:rPr>
              <w:t xml:space="preserve">) If relevant, consider translating estimates of relative risk into absolute risk for a meaningful </w:t>
            </w:r>
            <w:proofErr w:type="gramStart"/>
            <w:r>
              <w:rPr>
                <w:rFonts w:ascii="Times New Roman" w:eastAsia="Times New Roman" w:hAnsi="Times New Roman" w:cs="Times New Roman"/>
                <w:sz w:val="20"/>
                <w:szCs w:val="20"/>
                <w:lang w:val="en-GB" w:eastAsia="en-US"/>
              </w:rPr>
              <w:t>time period</w:t>
            </w:r>
            <w:proofErr w:type="gramEnd"/>
          </w:p>
        </w:tc>
        <w:tc>
          <w:tcPr>
            <w:tcW w:w="913" w:type="dxa"/>
            <w:tcBorders>
              <w:top w:val="single" w:sz="4" w:space="0" w:color="auto"/>
              <w:left w:val="nil"/>
              <w:bottom w:val="single" w:sz="4" w:space="0" w:color="auto"/>
              <w:right w:val="nil"/>
            </w:tcBorders>
          </w:tcPr>
          <w:p w14:paraId="10D3431B"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233" w:type="dxa"/>
            <w:tcBorders>
              <w:top w:val="single" w:sz="4" w:space="0" w:color="auto"/>
              <w:left w:val="nil"/>
              <w:bottom w:val="single" w:sz="4" w:space="0" w:color="auto"/>
              <w:right w:val="nil"/>
            </w:tcBorders>
          </w:tcPr>
          <w:p w14:paraId="13C21BFB"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bl>
    <w:p w14:paraId="6E0A60E1" w14:textId="77777777" w:rsidR="00EF7A6B" w:rsidRDefault="00EF7A6B" w:rsidP="00EF7A6B">
      <w:pPr>
        <w:spacing w:after="0" w:line="300" w:lineRule="exact"/>
        <w:rPr>
          <w:rFonts w:ascii="Times New Roman" w:eastAsia="Times New Roman" w:hAnsi="Times New Roman" w:cs="Times New Roman"/>
          <w:sz w:val="24"/>
          <w:szCs w:val="20"/>
          <w:lang w:val="en-GB" w:eastAsia="en-US"/>
        </w:rPr>
      </w:pPr>
      <w:proofErr w:type="gramStart"/>
      <w:r>
        <w:rPr>
          <w:rFonts w:ascii="Times New Roman" w:eastAsia="Times New Roman" w:hAnsi="Times New Roman" w:cs="Times New Roman"/>
          <w:sz w:val="16"/>
          <w:szCs w:val="16"/>
          <w:lang w:val="en-GB" w:eastAsia="en-US"/>
        </w:rPr>
        <w:t>Continued on</w:t>
      </w:r>
      <w:proofErr w:type="gramEnd"/>
      <w:r>
        <w:rPr>
          <w:rFonts w:ascii="Times New Roman" w:eastAsia="Times New Roman" w:hAnsi="Times New Roman" w:cs="Times New Roman"/>
          <w:sz w:val="16"/>
          <w:szCs w:val="16"/>
          <w:lang w:val="en-GB" w:eastAsia="en-US"/>
        </w:rPr>
        <w:t xml:space="preserve"> next page</w:t>
      </w:r>
      <w:r>
        <w:rPr>
          <w:rFonts w:ascii="Times New Roman" w:eastAsia="Times New Roman" w:hAnsi="Times New Roman" w:cs="Times New Roman"/>
          <w:sz w:val="24"/>
          <w:szCs w:val="20"/>
          <w:lang w:val="en-GB" w:eastAsia="en-US"/>
        </w:rPr>
        <w:t xml:space="preserve"> </w:t>
      </w:r>
      <w:r>
        <w:rPr>
          <w:rFonts w:ascii="Times New Roman" w:eastAsia="Times New Roman" w:hAnsi="Times New Roman" w:cs="Times New Roman"/>
          <w:sz w:val="24"/>
          <w:szCs w:val="20"/>
          <w:lang w:val="en-GB" w:eastAsia="en-US"/>
        </w:rPr>
        <w:br w:type="page"/>
      </w:r>
    </w:p>
    <w:tbl>
      <w:tblPr>
        <w:tblW w:w="10683" w:type="dxa"/>
        <w:tblBorders>
          <w:top w:val="single" w:sz="4" w:space="0" w:color="auto"/>
          <w:bottom w:val="single" w:sz="4" w:space="0" w:color="auto"/>
          <w:insideH w:val="single" w:sz="4" w:space="0" w:color="auto"/>
        </w:tblBorders>
        <w:tblLook w:val="04A0" w:firstRow="1" w:lastRow="0" w:firstColumn="1" w:lastColumn="0" w:noHBand="0" w:noVBand="1"/>
      </w:tblPr>
      <w:tblGrid>
        <w:gridCol w:w="1494"/>
        <w:gridCol w:w="416"/>
        <w:gridCol w:w="5701"/>
        <w:gridCol w:w="851"/>
        <w:gridCol w:w="2221"/>
      </w:tblGrid>
      <w:tr w:rsidR="00EF7A6B" w14:paraId="6FDD98F8" w14:textId="77777777" w:rsidTr="00EF7A6B">
        <w:trPr>
          <w:trHeight w:val="300"/>
        </w:trPr>
        <w:tc>
          <w:tcPr>
            <w:tcW w:w="0" w:type="auto"/>
            <w:tcBorders>
              <w:top w:val="single" w:sz="4" w:space="0" w:color="auto"/>
              <w:left w:val="nil"/>
              <w:bottom w:val="single" w:sz="4" w:space="0" w:color="auto"/>
              <w:right w:val="nil"/>
            </w:tcBorders>
            <w:hideMark/>
          </w:tcPr>
          <w:p w14:paraId="1F338270"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lastRenderedPageBreak/>
              <w:t>Other analyses</w:t>
            </w:r>
          </w:p>
        </w:tc>
        <w:tc>
          <w:tcPr>
            <w:tcW w:w="0" w:type="auto"/>
            <w:tcBorders>
              <w:top w:val="single" w:sz="4" w:space="0" w:color="auto"/>
              <w:left w:val="nil"/>
              <w:bottom w:val="single" w:sz="4" w:space="0" w:color="auto"/>
              <w:right w:val="nil"/>
            </w:tcBorders>
            <w:hideMark/>
          </w:tcPr>
          <w:p w14:paraId="161FCF58"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17</w:t>
            </w:r>
          </w:p>
        </w:tc>
        <w:tc>
          <w:tcPr>
            <w:tcW w:w="6190" w:type="dxa"/>
            <w:tcBorders>
              <w:top w:val="single" w:sz="4" w:space="0" w:color="auto"/>
              <w:left w:val="nil"/>
              <w:bottom w:val="single" w:sz="4" w:space="0" w:color="auto"/>
              <w:right w:val="nil"/>
            </w:tcBorders>
            <w:hideMark/>
          </w:tcPr>
          <w:p w14:paraId="5D620F7A"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Report other analyses done—</w:t>
            </w:r>
            <w:proofErr w:type="spellStart"/>
            <w:proofErr w:type="gramStart"/>
            <w:r>
              <w:rPr>
                <w:rFonts w:ascii="Times New Roman" w:eastAsia="Times New Roman" w:hAnsi="Times New Roman" w:cs="Times New Roman"/>
                <w:sz w:val="20"/>
                <w:szCs w:val="20"/>
                <w:lang w:val="en-GB" w:eastAsia="en-US"/>
              </w:rPr>
              <w:t>eg</w:t>
            </w:r>
            <w:proofErr w:type="spellEnd"/>
            <w:proofErr w:type="gramEnd"/>
            <w:r>
              <w:rPr>
                <w:rFonts w:ascii="Times New Roman" w:eastAsia="Times New Roman" w:hAnsi="Times New Roman" w:cs="Times New Roman"/>
                <w:sz w:val="20"/>
                <w:szCs w:val="20"/>
                <w:lang w:val="en-GB" w:eastAsia="en-US"/>
              </w:rPr>
              <w:t xml:space="preserve"> analyses of subgroups and interactions, and sensitivity analyses</w:t>
            </w:r>
          </w:p>
        </w:tc>
        <w:tc>
          <w:tcPr>
            <w:tcW w:w="901" w:type="dxa"/>
            <w:tcBorders>
              <w:top w:val="single" w:sz="4" w:space="0" w:color="auto"/>
              <w:left w:val="nil"/>
              <w:bottom w:val="single" w:sz="4" w:space="0" w:color="auto"/>
              <w:right w:val="nil"/>
            </w:tcBorders>
          </w:tcPr>
          <w:p w14:paraId="15F8911E"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c>
          <w:tcPr>
            <w:tcW w:w="2229" w:type="dxa"/>
            <w:tcBorders>
              <w:top w:val="single" w:sz="4" w:space="0" w:color="auto"/>
              <w:left w:val="nil"/>
              <w:bottom w:val="single" w:sz="4" w:space="0" w:color="auto"/>
              <w:right w:val="nil"/>
            </w:tcBorders>
          </w:tcPr>
          <w:p w14:paraId="7BE3DE8C"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p>
        </w:tc>
      </w:tr>
      <w:tr w:rsidR="00EF7A6B" w14:paraId="3FFF0631" w14:textId="77777777" w:rsidTr="00EF7A6B">
        <w:trPr>
          <w:trHeight w:val="348"/>
        </w:trPr>
        <w:tc>
          <w:tcPr>
            <w:tcW w:w="10683" w:type="dxa"/>
            <w:gridSpan w:val="5"/>
            <w:tcBorders>
              <w:top w:val="single" w:sz="4" w:space="0" w:color="auto"/>
              <w:left w:val="nil"/>
              <w:bottom w:val="single" w:sz="4" w:space="0" w:color="auto"/>
              <w:right w:val="nil"/>
            </w:tcBorders>
            <w:hideMark/>
          </w:tcPr>
          <w:p w14:paraId="23424287" w14:textId="77777777" w:rsidR="00EF7A6B" w:rsidRDefault="00EF7A6B">
            <w:pPr>
              <w:tabs>
                <w:tab w:val="left" w:pos="5400"/>
              </w:tabs>
              <w:spacing w:before="120" w:after="0" w:line="240" w:lineRule="auto"/>
              <w:rPr>
                <w:rFonts w:ascii="Times New Roman" w:eastAsia="Times New Roman" w:hAnsi="Times New Roman" w:cs="Times New Roman"/>
                <w:b/>
                <w:sz w:val="20"/>
                <w:szCs w:val="20"/>
                <w:lang w:val="en-GB" w:eastAsia="en-US"/>
              </w:rPr>
            </w:pPr>
            <w:r>
              <w:rPr>
                <w:rFonts w:ascii="Times New Roman" w:eastAsia="Times New Roman" w:hAnsi="Times New Roman" w:cs="Times New Roman"/>
                <w:b/>
                <w:sz w:val="20"/>
                <w:szCs w:val="20"/>
                <w:lang w:val="en-GB" w:eastAsia="en-US"/>
              </w:rPr>
              <w:t>Discussion</w:t>
            </w:r>
          </w:p>
        </w:tc>
      </w:tr>
      <w:tr w:rsidR="00EF7A6B" w14:paraId="35D60A8D" w14:textId="77777777" w:rsidTr="00EF7A6B">
        <w:trPr>
          <w:trHeight w:val="1494"/>
        </w:trPr>
        <w:tc>
          <w:tcPr>
            <w:tcW w:w="0" w:type="auto"/>
            <w:tcBorders>
              <w:top w:val="single" w:sz="4" w:space="0" w:color="auto"/>
              <w:left w:val="nil"/>
              <w:bottom w:val="single" w:sz="4" w:space="0" w:color="auto"/>
              <w:right w:val="nil"/>
            </w:tcBorders>
            <w:hideMark/>
          </w:tcPr>
          <w:p w14:paraId="359D54C7"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Key results</w:t>
            </w:r>
          </w:p>
        </w:tc>
        <w:tc>
          <w:tcPr>
            <w:tcW w:w="0" w:type="auto"/>
            <w:tcBorders>
              <w:top w:val="single" w:sz="4" w:space="0" w:color="auto"/>
              <w:left w:val="nil"/>
              <w:bottom w:val="single" w:sz="4" w:space="0" w:color="auto"/>
              <w:right w:val="nil"/>
            </w:tcBorders>
            <w:hideMark/>
          </w:tcPr>
          <w:p w14:paraId="6FCA1B00"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18</w:t>
            </w:r>
          </w:p>
        </w:tc>
        <w:tc>
          <w:tcPr>
            <w:tcW w:w="6190" w:type="dxa"/>
            <w:tcBorders>
              <w:top w:val="single" w:sz="4" w:space="0" w:color="auto"/>
              <w:left w:val="nil"/>
              <w:bottom w:val="single" w:sz="4" w:space="0" w:color="auto"/>
              <w:right w:val="nil"/>
            </w:tcBorders>
            <w:hideMark/>
          </w:tcPr>
          <w:p w14:paraId="377ABE7F"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Summarise key results with reference to study objectives</w:t>
            </w:r>
          </w:p>
        </w:tc>
        <w:tc>
          <w:tcPr>
            <w:tcW w:w="901" w:type="dxa"/>
            <w:tcBorders>
              <w:top w:val="single" w:sz="4" w:space="0" w:color="auto"/>
              <w:left w:val="nil"/>
              <w:bottom w:val="single" w:sz="4" w:space="0" w:color="auto"/>
              <w:right w:val="nil"/>
            </w:tcBorders>
            <w:hideMark/>
          </w:tcPr>
          <w:p w14:paraId="7AEACC66"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8</w:t>
            </w:r>
          </w:p>
        </w:tc>
        <w:tc>
          <w:tcPr>
            <w:tcW w:w="2229" w:type="dxa"/>
            <w:tcBorders>
              <w:top w:val="single" w:sz="4" w:space="0" w:color="auto"/>
              <w:left w:val="nil"/>
              <w:bottom w:val="single" w:sz="4" w:space="0" w:color="auto"/>
              <w:right w:val="nil"/>
            </w:tcBorders>
            <w:hideMark/>
          </w:tcPr>
          <w:p w14:paraId="1CB06316"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In the current nationwide study of gastrointestinal bleeding in OAC users and non-users, aetiology of bleeding was different between the two groups. Importantly, …</w:t>
            </w:r>
          </w:p>
        </w:tc>
      </w:tr>
      <w:tr w:rsidR="00EF7A6B" w14:paraId="4F571390" w14:textId="77777777" w:rsidTr="00EF7A6B">
        <w:trPr>
          <w:trHeight w:val="900"/>
        </w:trPr>
        <w:tc>
          <w:tcPr>
            <w:tcW w:w="0" w:type="auto"/>
            <w:tcBorders>
              <w:top w:val="single" w:sz="4" w:space="0" w:color="auto"/>
              <w:left w:val="nil"/>
              <w:bottom w:val="single" w:sz="4" w:space="0" w:color="auto"/>
              <w:right w:val="nil"/>
            </w:tcBorders>
            <w:hideMark/>
          </w:tcPr>
          <w:p w14:paraId="6F5F889B"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Limitations</w:t>
            </w:r>
          </w:p>
        </w:tc>
        <w:tc>
          <w:tcPr>
            <w:tcW w:w="0" w:type="auto"/>
            <w:tcBorders>
              <w:top w:val="single" w:sz="4" w:space="0" w:color="auto"/>
              <w:left w:val="nil"/>
              <w:bottom w:val="single" w:sz="4" w:space="0" w:color="auto"/>
              <w:right w:val="nil"/>
            </w:tcBorders>
            <w:hideMark/>
          </w:tcPr>
          <w:p w14:paraId="3F0883CA"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19</w:t>
            </w:r>
          </w:p>
        </w:tc>
        <w:tc>
          <w:tcPr>
            <w:tcW w:w="6190" w:type="dxa"/>
            <w:tcBorders>
              <w:top w:val="single" w:sz="4" w:space="0" w:color="auto"/>
              <w:left w:val="nil"/>
              <w:bottom w:val="single" w:sz="4" w:space="0" w:color="auto"/>
              <w:right w:val="nil"/>
            </w:tcBorders>
            <w:hideMark/>
          </w:tcPr>
          <w:p w14:paraId="44B4C25C"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 xml:space="preserve">Discuss limitations of the study, </w:t>
            </w:r>
            <w:proofErr w:type="gramStart"/>
            <w:r>
              <w:rPr>
                <w:rFonts w:ascii="Times New Roman" w:eastAsia="Times New Roman" w:hAnsi="Times New Roman" w:cs="Times New Roman"/>
                <w:sz w:val="20"/>
                <w:szCs w:val="20"/>
                <w:lang w:val="en-GB" w:eastAsia="en-US"/>
              </w:rPr>
              <w:t>taking into account</w:t>
            </w:r>
            <w:proofErr w:type="gramEnd"/>
            <w:r>
              <w:rPr>
                <w:rFonts w:ascii="Times New Roman" w:eastAsia="Times New Roman" w:hAnsi="Times New Roman" w:cs="Times New Roman"/>
                <w:sz w:val="20"/>
                <w:szCs w:val="20"/>
                <w:lang w:val="en-GB" w:eastAsia="en-US"/>
              </w:rPr>
              <w:t xml:space="preserve"> sources of potential bias or imprecision. Discuss both direction and magnitude of any potential bias</w:t>
            </w:r>
          </w:p>
        </w:tc>
        <w:tc>
          <w:tcPr>
            <w:tcW w:w="901" w:type="dxa"/>
            <w:tcBorders>
              <w:top w:val="single" w:sz="4" w:space="0" w:color="auto"/>
              <w:left w:val="nil"/>
              <w:bottom w:val="single" w:sz="4" w:space="0" w:color="auto"/>
              <w:right w:val="nil"/>
            </w:tcBorders>
            <w:hideMark/>
          </w:tcPr>
          <w:p w14:paraId="6591256D"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9</w:t>
            </w:r>
          </w:p>
        </w:tc>
        <w:tc>
          <w:tcPr>
            <w:tcW w:w="2229" w:type="dxa"/>
            <w:tcBorders>
              <w:top w:val="single" w:sz="4" w:space="0" w:color="auto"/>
              <w:left w:val="nil"/>
              <w:bottom w:val="single" w:sz="4" w:space="0" w:color="auto"/>
              <w:right w:val="nil"/>
            </w:tcBorders>
            <w:hideMark/>
          </w:tcPr>
          <w:p w14:paraId="0C55B6EB"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Strengths of the study include (…) The current study also has several limitations …</w:t>
            </w:r>
          </w:p>
        </w:tc>
      </w:tr>
      <w:tr w:rsidR="00EF7A6B" w14:paraId="67D78B99" w14:textId="77777777" w:rsidTr="00EF7A6B">
        <w:trPr>
          <w:trHeight w:val="1200"/>
        </w:trPr>
        <w:tc>
          <w:tcPr>
            <w:tcW w:w="0" w:type="auto"/>
            <w:tcBorders>
              <w:top w:val="single" w:sz="4" w:space="0" w:color="auto"/>
              <w:left w:val="nil"/>
              <w:bottom w:val="single" w:sz="4" w:space="0" w:color="auto"/>
              <w:right w:val="nil"/>
            </w:tcBorders>
            <w:hideMark/>
          </w:tcPr>
          <w:p w14:paraId="5A964C02"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Interpretation</w:t>
            </w:r>
          </w:p>
        </w:tc>
        <w:tc>
          <w:tcPr>
            <w:tcW w:w="0" w:type="auto"/>
            <w:tcBorders>
              <w:top w:val="single" w:sz="4" w:space="0" w:color="auto"/>
              <w:left w:val="nil"/>
              <w:bottom w:val="single" w:sz="4" w:space="0" w:color="auto"/>
              <w:right w:val="nil"/>
            </w:tcBorders>
            <w:hideMark/>
          </w:tcPr>
          <w:p w14:paraId="52EEDA9E"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20</w:t>
            </w:r>
          </w:p>
        </w:tc>
        <w:tc>
          <w:tcPr>
            <w:tcW w:w="6190" w:type="dxa"/>
            <w:tcBorders>
              <w:top w:val="single" w:sz="4" w:space="0" w:color="auto"/>
              <w:left w:val="nil"/>
              <w:bottom w:val="single" w:sz="4" w:space="0" w:color="auto"/>
              <w:right w:val="nil"/>
            </w:tcBorders>
            <w:hideMark/>
          </w:tcPr>
          <w:p w14:paraId="3045BCD6"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Give a cautious overall interpretation of results considering objectives, limitations, multiplicity of analyses, results from similar studies, and other relevant evidence</w:t>
            </w:r>
          </w:p>
        </w:tc>
        <w:tc>
          <w:tcPr>
            <w:tcW w:w="901" w:type="dxa"/>
            <w:tcBorders>
              <w:top w:val="single" w:sz="4" w:space="0" w:color="auto"/>
              <w:left w:val="nil"/>
              <w:bottom w:val="single" w:sz="4" w:space="0" w:color="auto"/>
              <w:right w:val="nil"/>
            </w:tcBorders>
            <w:hideMark/>
          </w:tcPr>
          <w:p w14:paraId="7E6A249F"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8-10</w:t>
            </w:r>
          </w:p>
        </w:tc>
        <w:tc>
          <w:tcPr>
            <w:tcW w:w="2229" w:type="dxa"/>
            <w:tcBorders>
              <w:top w:val="single" w:sz="4" w:space="0" w:color="auto"/>
              <w:left w:val="nil"/>
              <w:bottom w:val="single" w:sz="4" w:space="0" w:color="auto"/>
              <w:right w:val="nil"/>
            </w:tcBorders>
            <w:hideMark/>
          </w:tcPr>
          <w:p w14:paraId="490BE185"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 xml:space="preserve">The aetiology of gastrointestinal bleeding was found to be different in patients on anticoagulation compared to non-users. … </w:t>
            </w:r>
          </w:p>
        </w:tc>
      </w:tr>
      <w:tr w:rsidR="00EF7A6B" w14:paraId="52D2F64E" w14:textId="77777777" w:rsidTr="00EF7A6B">
        <w:trPr>
          <w:trHeight w:val="894"/>
        </w:trPr>
        <w:tc>
          <w:tcPr>
            <w:tcW w:w="0" w:type="auto"/>
            <w:tcBorders>
              <w:top w:val="single" w:sz="4" w:space="0" w:color="auto"/>
              <w:left w:val="nil"/>
              <w:bottom w:val="single" w:sz="4" w:space="0" w:color="auto"/>
              <w:right w:val="nil"/>
            </w:tcBorders>
            <w:hideMark/>
          </w:tcPr>
          <w:p w14:paraId="53135615"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Generalisability</w:t>
            </w:r>
          </w:p>
        </w:tc>
        <w:tc>
          <w:tcPr>
            <w:tcW w:w="0" w:type="auto"/>
            <w:tcBorders>
              <w:top w:val="single" w:sz="4" w:space="0" w:color="auto"/>
              <w:left w:val="nil"/>
              <w:bottom w:val="single" w:sz="4" w:space="0" w:color="auto"/>
              <w:right w:val="nil"/>
            </w:tcBorders>
            <w:hideMark/>
          </w:tcPr>
          <w:p w14:paraId="27DA33E1"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21</w:t>
            </w:r>
          </w:p>
        </w:tc>
        <w:tc>
          <w:tcPr>
            <w:tcW w:w="6190" w:type="dxa"/>
            <w:tcBorders>
              <w:top w:val="single" w:sz="4" w:space="0" w:color="auto"/>
              <w:left w:val="nil"/>
              <w:bottom w:val="single" w:sz="4" w:space="0" w:color="auto"/>
              <w:right w:val="nil"/>
            </w:tcBorders>
            <w:hideMark/>
          </w:tcPr>
          <w:p w14:paraId="790506D1"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Discuss the generalisability (external validity) of the study results</w:t>
            </w:r>
          </w:p>
        </w:tc>
        <w:tc>
          <w:tcPr>
            <w:tcW w:w="901" w:type="dxa"/>
            <w:tcBorders>
              <w:top w:val="single" w:sz="4" w:space="0" w:color="auto"/>
              <w:left w:val="nil"/>
              <w:bottom w:val="single" w:sz="4" w:space="0" w:color="auto"/>
              <w:right w:val="nil"/>
            </w:tcBorders>
            <w:hideMark/>
          </w:tcPr>
          <w:p w14:paraId="50E37616"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9</w:t>
            </w:r>
          </w:p>
        </w:tc>
        <w:tc>
          <w:tcPr>
            <w:tcW w:w="2229" w:type="dxa"/>
            <w:tcBorders>
              <w:top w:val="single" w:sz="4" w:space="0" w:color="auto"/>
              <w:left w:val="nil"/>
              <w:bottom w:val="single" w:sz="4" w:space="0" w:color="auto"/>
              <w:right w:val="nil"/>
            </w:tcBorders>
            <w:hideMark/>
          </w:tcPr>
          <w:p w14:paraId="41361511"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Population-based but homogenous cohort (see strengths and limitations).</w:t>
            </w:r>
          </w:p>
        </w:tc>
      </w:tr>
      <w:tr w:rsidR="00EF7A6B" w14:paraId="6A99A176" w14:textId="77777777" w:rsidTr="00EF7A6B">
        <w:trPr>
          <w:trHeight w:val="348"/>
        </w:trPr>
        <w:tc>
          <w:tcPr>
            <w:tcW w:w="1361" w:type="dxa"/>
            <w:gridSpan w:val="2"/>
            <w:tcBorders>
              <w:top w:val="single" w:sz="4" w:space="0" w:color="auto"/>
              <w:left w:val="nil"/>
              <w:bottom w:val="single" w:sz="4" w:space="0" w:color="auto"/>
              <w:right w:val="nil"/>
            </w:tcBorders>
            <w:hideMark/>
          </w:tcPr>
          <w:p w14:paraId="023FF2F8" w14:textId="77777777" w:rsidR="00EF7A6B" w:rsidRDefault="00EF7A6B">
            <w:pPr>
              <w:tabs>
                <w:tab w:val="left" w:pos="5400"/>
              </w:tabs>
              <w:spacing w:before="120" w:after="0" w:line="240" w:lineRule="auto"/>
              <w:rPr>
                <w:rFonts w:ascii="Times New Roman" w:eastAsia="Times New Roman" w:hAnsi="Times New Roman" w:cs="Times New Roman"/>
                <w:b/>
                <w:sz w:val="20"/>
                <w:szCs w:val="20"/>
                <w:lang w:val="en-GB" w:eastAsia="en-US"/>
              </w:rPr>
            </w:pPr>
            <w:r>
              <w:rPr>
                <w:rFonts w:ascii="Times New Roman" w:eastAsia="Times New Roman" w:hAnsi="Times New Roman" w:cs="Times New Roman"/>
                <w:b/>
                <w:sz w:val="20"/>
                <w:szCs w:val="20"/>
                <w:lang w:val="en-GB" w:eastAsia="en-US"/>
              </w:rPr>
              <w:t>Other information</w:t>
            </w:r>
          </w:p>
        </w:tc>
        <w:tc>
          <w:tcPr>
            <w:tcW w:w="9321" w:type="dxa"/>
            <w:gridSpan w:val="3"/>
            <w:tcBorders>
              <w:top w:val="single" w:sz="4" w:space="0" w:color="auto"/>
              <w:left w:val="nil"/>
              <w:bottom w:val="single" w:sz="4" w:space="0" w:color="auto"/>
              <w:right w:val="nil"/>
            </w:tcBorders>
          </w:tcPr>
          <w:p w14:paraId="6A58C565" w14:textId="77777777" w:rsidR="00EF7A6B" w:rsidRDefault="00EF7A6B">
            <w:pPr>
              <w:tabs>
                <w:tab w:val="left" w:pos="5400"/>
              </w:tabs>
              <w:spacing w:before="120" w:after="0" w:line="240" w:lineRule="auto"/>
              <w:rPr>
                <w:rFonts w:ascii="Times New Roman" w:eastAsia="Times New Roman" w:hAnsi="Times New Roman" w:cs="Times New Roman"/>
                <w:b/>
                <w:sz w:val="20"/>
                <w:szCs w:val="20"/>
                <w:lang w:val="en-GB" w:eastAsia="en-US"/>
              </w:rPr>
            </w:pPr>
          </w:p>
        </w:tc>
      </w:tr>
      <w:tr w:rsidR="00EF7A6B" w14:paraId="75AA3FF6" w14:textId="77777777" w:rsidTr="00EF7A6B">
        <w:trPr>
          <w:trHeight w:val="600"/>
        </w:trPr>
        <w:tc>
          <w:tcPr>
            <w:tcW w:w="0" w:type="auto"/>
            <w:tcBorders>
              <w:top w:val="single" w:sz="4" w:space="0" w:color="auto"/>
              <w:left w:val="nil"/>
              <w:bottom w:val="single" w:sz="4" w:space="0" w:color="auto"/>
              <w:right w:val="nil"/>
            </w:tcBorders>
            <w:hideMark/>
          </w:tcPr>
          <w:p w14:paraId="22D420AF" w14:textId="77777777" w:rsidR="00EF7A6B" w:rsidRDefault="00EF7A6B">
            <w:pPr>
              <w:tabs>
                <w:tab w:val="left" w:pos="5400"/>
              </w:tabs>
              <w:spacing w:after="0" w:line="300" w:lineRule="exact"/>
              <w:rPr>
                <w:rFonts w:ascii="Times New Roman" w:eastAsia="Times New Roman" w:hAnsi="Times New Roman" w:cs="Times New Roman"/>
                <w:bCs/>
                <w:sz w:val="20"/>
                <w:szCs w:val="20"/>
                <w:lang w:val="en-GB" w:eastAsia="en-US"/>
              </w:rPr>
            </w:pPr>
            <w:r>
              <w:rPr>
                <w:rFonts w:ascii="Times New Roman" w:eastAsia="Times New Roman" w:hAnsi="Times New Roman" w:cs="Times New Roman"/>
                <w:bCs/>
                <w:sz w:val="20"/>
                <w:szCs w:val="20"/>
                <w:lang w:val="en-GB" w:eastAsia="en-US"/>
              </w:rPr>
              <w:t>Funding</w:t>
            </w:r>
          </w:p>
        </w:tc>
        <w:tc>
          <w:tcPr>
            <w:tcW w:w="0" w:type="auto"/>
            <w:tcBorders>
              <w:top w:val="single" w:sz="4" w:space="0" w:color="auto"/>
              <w:left w:val="nil"/>
              <w:bottom w:val="single" w:sz="4" w:space="0" w:color="auto"/>
              <w:right w:val="nil"/>
            </w:tcBorders>
            <w:hideMark/>
          </w:tcPr>
          <w:p w14:paraId="3EF693DE" w14:textId="77777777" w:rsidR="00EF7A6B" w:rsidRDefault="00EF7A6B">
            <w:pPr>
              <w:tabs>
                <w:tab w:val="left" w:pos="5400"/>
              </w:tabs>
              <w:spacing w:after="0" w:line="300" w:lineRule="exact"/>
              <w:jc w:val="cente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22</w:t>
            </w:r>
          </w:p>
        </w:tc>
        <w:tc>
          <w:tcPr>
            <w:tcW w:w="6190" w:type="dxa"/>
            <w:tcBorders>
              <w:top w:val="single" w:sz="4" w:space="0" w:color="auto"/>
              <w:left w:val="nil"/>
              <w:bottom w:val="single" w:sz="4" w:space="0" w:color="auto"/>
              <w:right w:val="nil"/>
            </w:tcBorders>
            <w:hideMark/>
          </w:tcPr>
          <w:p w14:paraId="149391A1"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Give the source of funding and the role of the funders for the present study and, if applicable, for the original study on which the present article is based</w:t>
            </w:r>
          </w:p>
        </w:tc>
        <w:tc>
          <w:tcPr>
            <w:tcW w:w="901" w:type="dxa"/>
            <w:tcBorders>
              <w:top w:val="single" w:sz="4" w:space="0" w:color="auto"/>
              <w:left w:val="nil"/>
              <w:bottom w:val="single" w:sz="4" w:space="0" w:color="auto"/>
              <w:right w:val="nil"/>
            </w:tcBorders>
            <w:hideMark/>
          </w:tcPr>
          <w:p w14:paraId="7C468921"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1</w:t>
            </w:r>
          </w:p>
        </w:tc>
        <w:tc>
          <w:tcPr>
            <w:tcW w:w="2229" w:type="dxa"/>
            <w:tcBorders>
              <w:top w:val="single" w:sz="4" w:space="0" w:color="auto"/>
              <w:left w:val="nil"/>
              <w:bottom w:val="single" w:sz="4" w:space="0" w:color="auto"/>
              <w:right w:val="nil"/>
            </w:tcBorders>
            <w:hideMark/>
          </w:tcPr>
          <w:p w14:paraId="3907A74E" w14:textId="77777777" w:rsidR="00EF7A6B" w:rsidRDefault="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Acknowledgement: The writing and preparation of this paper (…)</w:t>
            </w:r>
          </w:p>
        </w:tc>
      </w:tr>
    </w:tbl>
    <w:p w14:paraId="1F64BE66" w14:textId="77777777" w:rsidR="00EF7A6B" w:rsidRDefault="00EF7A6B" w:rsidP="00EF7A6B">
      <w:pPr>
        <w:tabs>
          <w:tab w:val="left" w:pos="5400"/>
        </w:tabs>
        <w:spacing w:after="0" w:line="300" w:lineRule="exact"/>
        <w:rPr>
          <w:rFonts w:ascii="Times New Roman" w:eastAsia="Times New Roman" w:hAnsi="Times New Roman" w:cs="Times New Roman"/>
          <w:bCs/>
          <w:sz w:val="20"/>
          <w:szCs w:val="20"/>
          <w:lang w:val="en-GB" w:eastAsia="en-US"/>
        </w:rPr>
      </w:pPr>
    </w:p>
    <w:p w14:paraId="76E9169C" w14:textId="77777777" w:rsidR="00EF7A6B" w:rsidRDefault="00EF7A6B" w:rsidP="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bCs/>
          <w:sz w:val="20"/>
          <w:szCs w:val="20"/>
          <w:lang w:val="en-GB" w:eastAsia="en-US"/>
        </w:rPr>
        <w:t>*</w:t>
      </w:r>
      <w:r>
        <w:rPr>
          <w:rFonts w:ascii="Times New Roman" w:eastAsia="Times New Roman" w:hAnsi="Times New Roman" w:cs="Times New Roman"/>
          <w:sz w:val="20"/>
          <w:szCs w:val="20"/>
          <w:lang w:val="en-GB" w:eastAsia="en-US"/>
        </w:rPr>
        <w:t>Give information separately for cases and controls in case-control studies and, if applicable, for exposed and unexposed groups in cohort and cross-sectional studies.</w:t>
      </w:r>
    </w:p>
    <w:p w14:paraId="67154A6B" w14:textId="77777777" w:rsidR="00EF7A6B" w:rsidRDefault="00EF7A6B" w:rsidP="00EF7A6B">
      <w:pPr>
        <w:tabs>
          <w:tab w:val="left" w:pos="5400"/>
        </w:tabs>
        <w:spacing w:after="0" w:line="300" w:lineRule="exact"/>
        <w:rPr>
          <w:rFonts w:ascii="Times New Roman" w:eastAsia="Times New Roman" w:hAnsi="Times New Roman" w:cs="Times New Roman"/>
          <w:sz w:val="20"/>
          <w:szCs w:val="20"/>
          <w:lang w:val="en-GB" w:eastAsia="en-US"/>
        </w:rPr>
      </w:pPr>
    </w:p>
    <w:p w14:paraId="36D4CC81" w14:textId="77777777" w:rsidR="00EF7A6B" w:rsidRDefault="00EF7A6B" w:rsidP="00EF7A6B">
      <w:pPr>
        <w:tabs>
          <w:tab w:val="left" w:pos="5400"/>
        </w:tabs>
        <w:spacing w:after="0" w:line="300" w:lineRule="exact"/>
        <w:rPr>
          <w:rFonts w:ascii="Times New Roman" w:eastAsia="Times New Roman" w:hAnsi="Times New Roman" w:cs="Times New Roman"/>
          <w:sz w:val="20"/>
          <w:szCs w:val="20"/>
          <w:lang w:val="en-GB" w:eastAsia="en-US"/>
        </w:rPr>
      </w:pPr>
      <w:r>
        <w:rPr>
          <w:rFonts w:ascii="Times New Roman" w:eastAsia="Times New Roman" w:hAnsi="Times New Roman" w:cs="Times New Roman"/>
          <w:b/>
          <w:sz w:val="20"/>
          <w:szCs w:val="20"/>
          <w:lang w:val="en-GB" w:eastAsia="en-US"/>
        </w:rPr>
        <w:t>Note:</w:t>
      </w:r>
      <w:r>
        <w:rPr>
          <w:rFonts w:ascii="Times New Roman" w:eastAsia="Times New Roman" w:hAnsi="Times New Roman" w:cs="Times New Roman"/>
          <w:sz w:val="20"/>
          <w:szCs w:val="20"/>
          <w:lang w:val="en-GB" w:eastAsia="en-US"/>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rFonts w:ascii="Times New Roman" w:eastAsia="Times New Roman" w:hAnsi="Times New Roman" w:cs="Times New Roman"/>
          <w:sz w:val="20"/>
          <w:szCs w:val="20"/>
          <w:lang w:val="en-GB" w:eastAsia="en-US"/>
        </w:rPr>
        <w:t>PLoS</w:t>
      </w:r>
      <w:proofErr w:type="spellEnd"/>
      <w:r>
        <w:rPr>
          <w:rFonts w:ascii="Times New Roman" w:eastAsia="Times New Roman" w:hAnsi="Times New Roman" w:cs="Times New Roman"/>
          <w:sz w:val="20"/>
          <w:szCs w:val="20"/>
          <w:lang w:val="en-GB" w:eastAsia="en-US"/>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Pr>
            <w:rFonts w:ascii="Times New Roman" w:eastAsia="Times New Roman" w:hAnsi="Times New Roman" w:cs="Times New Roman"/>
            <w:sz w:val="20"/>
            <w:szCs w:val="20"/>
            <w:lang w:val="en-GB" w:eastAsia="en-US"/>
          </w:rPr>
          <w:t>strobe</w:t>
        </w:r>
      </w:smartTag>
      <w:r>
        <w:rPr>
          <w:rFonts w:ascii="Times New Roman" w:eastAsia="Times New Roman" w:hAnsi="Times New Roman" w:cs="Times New Roman"/>
          <w:sz w:val="20"/>
          <w:szCs w:val="20"/>
          <w:lang w:val="en-GB" w:eastAsia="en-US"/>
        </w:rPr>
        <w:t>-statement.org.</w:t>
      </w:r>
    </w:p>
    <w:p w14:paraId="1CB63E57" w14:textId="77777777" w:rsidR="00EF7A6B" w:rsidRDefault="00EF7A6B" w:rsidP="00EF7A6B">
      <w:pPr>
        <w:pStyle w:val="TableTitle"/>
      </w:pPr>
      <w:proofErr w:type="spellStart"/>
      <w:r>
        <w:t>hecklist</w:t>
      </w:r>
      <w:proofErr w:type="spellEnd"/>
      <w:r>
        <w:t xml:space="preserve"> of items that should be included in reports of observational studies</w:t>
      </w:r>
    </w:p>
    <w:p w14:paraId="712F45BC" w14:textId="77777777" w:rsidR="002E26C6" w:rsidRDefault="002E26C6"/>
    <w:sectPr w:rsidR="002E26C6">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81587"/>
    <w:multiLevelType w:val="multilevel"/>
    <w:tmpl w:val="20F48134"/>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C6"/>
    <w:rsid w:val="002E26C6"/>
    <w:rsid w:val="00C76CB9"/>
    <w:rsid w:val="00EF7A6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2A078A"/>
  <w15:chartTrackingRefBased/>
  <w15:docId w15:val="{7F75FD4B-B4ED-40B6-A131-35DD2CB4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C6"/>
    <w:rPr>
      <w:rFonts w:ascii="Calibri" w:eastAsia="Calibri" w:hAnsi="Calibri" w:cs="Calibri"/>
      <w:lang w:val="en-US" w:eastAsia="is-IS"/>
    </w:rPr>
  </w:style>
  <w:style w:type="paragraph" w:styleId="Heading2">
    <w:name w:val="heading 2"/>
    <w:basedOn w:val="Normal"/>
    <w:next w:val="Normal"/>
    <w:link w:val="Heading2Char"/>
    <w:uiPriority w:val="9"/>
    <w:unhideWhenUsed/>
    <w:qFormat/>
    <w:rsid w:val="002E26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6C6"/>
    <w:rPr>
      <w:rFonts w:asciiTheme="majorHAnsi" w:eastAsiaTheme="majorEastAsia" w:hAnsiTheme="majorHAnsi" w:cstheme="majorBidi"/>
      <w:color w:val="2F5496" w:themeColor="accent1" w:themeShade="BF"/>
      <w:sz w:val="26"/>
      <w:szCs w:val="26"/>
      <w:lang w:val="en-US" w:eastAsia="is-IS"/>
    </w:rPr>
  </w:style>
  <w:style w:type="table" w:styleId="TableGrid">
    <w:name w:val="Table Grid"/>
    <w:basedOn w:val="TableNormal"/>
    <w:uiPriority w:val="39"/>
    <w:rsid w:val="002E26C6"/>
    <w:pPr>
      <w:spacing w:after="0" w:line="240" w:lineRule="auto"/>
    </w:pPr>
    <w:rPr>
      <w:rFonts w:ascii="Calibri" w:eastAsia="Calibri" w:hAnsi="Calibri" w:cs="Calibri"/>
      <w:lang w:val="en-US"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rsid w:val="00EF7A6B"/>
    <w:pPr>
      <w:spacing w:after="0" w:line="300" w:lineRule="exact"/>
    </w:pPr>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8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2894</Words>
  <Characters>16500</Characters>
  <Application>Microsoft Office Word</Application>
  <DocSecurity>0</DocSecurity>
  <Lines>137</Lines>
  <Paragraphs>38</Paragraphs>
  <ScaleCrop>false</ScaleCrop>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 Agustsson</dc:creator>
  <cp:keywords/>
  <dc:description/>
  <cp:lastModifiedBy>Arnar Agustsson</cp:lastModifiedBy>
  <cp:revision>3</cp:revision>
  <dcterms:created xsi:type="dcterms:W3CDTF">2021-06-29T15:44:00Z</dcterms:created>
  <dcterms:modified xsi:type="dcterms:W3CDTF">2021-07-01T13:30:00Z</dcterms:modified>
</cp:coreProperties>
</file>