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E166" w14:textId="77777777" w:rsidR="006215E2" w:rsidRPr="00146C0C" w:rsidRDefault="006215E2" w:rsidP="006215E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A45C4F" wp14:editId="4A764047">
            <wp:extent cx="5943600" cy="4457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BE2D" w14:textId="77777777" w:rsidR="006215E2" w:rsidRPr="00146C0C" w:rsidRDefault="006215E2" w:rsidP="006215E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C0C">
        <w:rPr>
          <w:rFonts w:ascii="Times New Roman" w:eastAsia="Times New Roman" w:hAnsi="Times New Roman" w:cs="Times New Roman"/>
          <w:b/>
          <w:szCs w:val="20"/>
        </w:rPr>
        <w:t xml:space="preserve"> </w:t>
      </w:r>
      <w:bookmarkStart w:id="1" w:name="_Ref389546337"/>
      <w:bookmarkStart w:id="2" w:name="_Toc390861946"/>
      <w:r w:rsidRPr="00A50AA7">
        <w:rPr>
          <w:rFonts w:ascii="Times New Roman" w:eastAsia="Times New Roman" w:hAnsi="Times New Roman" w:cs="Times New Roman"/>
          <w:szCs w:val="20"/>
        </w:rPr>
        <w:t xml:space="preserve">Figure </w:t>
      </w:r>
      <w:r>
        <w:rPr>
          <w:rFonts w:ascii="Times New Roman" w:eastAsia="Times New Roman" w:hAnsi="Times New Roman" w:cs="Times New Roman"/>
          <w:szCs w:val="20"/>
        </w:rPr>
        <w:t>S1</w:t>
      </w:r>
      <w:bookmarkEnd w:id="1"/>
      <w:r w:rsidRPr="00A50AA7">
        <w:rPr>
          <w:rFonts w:ascii="Times New Roman" w:eastAsia="Times New Roman" w:hAnsi="Times New Roman" w:cs="Times New Roman"/>
          <w:szCs w:val="20"/>
        </w:rPr>
        <w:t xml:space="preserve">. Selected data from the downscaling process, a) Daily average A2 raw and downscaled temperature </w:t>
      </w:r>
      <w:r>
        <w:rPr>
          <w:rFonts w:ascii="Times New Roman" w:eastAsia="Times New Roman" w:hAnsi="Times New Roman" w:cs="Times New Roman"/>
          <w:szCs w:val="20"/>
        </w:rPr>
        <w:t>and</w:t>
      </w:r>
      <w:r w:rsidRPr="00A50AA7">
        <w:rPr>
          <w:rFonts w:ascii="Times New Roman" w:eastAsia="Times New Roman" w:hAnsi="Times New Roman" w:cs="Times New Roman"/>
          <w:szCs w:val="20"/>
        </w:rPr>
        <w:t xml:space="preserve"> observed temperature</w:t>
      </w:r>
      <w:r>
        <w:rPr>
          <w:rFonts w:ascii="Times New Roman" w:eastAsia="Times New Roman" w:hAnsi="Times New Roman" w:cs="Times New Roman"/>
          <w:szCs w:val="20"/>
        </w:rPr>
        <w:t xml:space="preserve"> vs day of year for </w:t>
      </w:r>
      <w:r w:rsidRPr="00A50AA7">
        <w:rPr>
          <w:rFonts w:ascii="Times New Roman" w:eastAsia="Times New Roman" w:hAnsi="Times New Roman" w:cs="Times New Roman"/>
          <w:szCs w:val="20"/>
        </w:rPr>
        <w:t xml:space="preserve">2008, b) </w:t>
      </w:r>
      <w:r>
        <w:rPr>
          <w:rFonts w:ascii="Times New Roman" w:eastAsia="Times New Roman" w:hAnsi="Times New Roman" w:cs="Times New Roman"/>
          <w:szCs w:val="20"/>
        </w:rPr>
        <w:t xml:space="preserve">as a) but for </w:t>
      </w:r>
      <w:r w:rsidRPr="00A50AA7">
        <w:rPr>
          <w:rFonts w:ascii="Times New Roman" w:eastAsia="Times New Roman" w:hAnsi="Times New Roman" w:cs="Times New Roman"/>
          <w:szCs w:val="20"/>
        </w:rPr>
        <w:t>2009, c) Annual mean downscaled temperature (2000-2100).</w:t>
      </w:r>
      <w:bookmarkEnd w:id="2"/>
      <w:r>
        <w:rPr>
          <w:rFonts w:ascii="Times New Roman" w:eastAsia="Times New Roman" w:hAnsi="Times New Roman" w:cs="Times New Roman"/>
          <w:szCs w:val="20"/>
          <w:u w:val="single"/>
        </w:rPr>
        <w:br w:type="page"/>
      </w:r>
      <w:r>
        <w:rPr>
          <w:rFonts w:ascii="Calibri" w:hAnsi="Calibri" w:cs="Calibri"/>
          <w:noProof/>
          <w:lang w:val="en-CA" w:eastAsia="en-CA"/>
        </w:rPr>
        <w:lastRenderedPageBreak/>
        <w:drawing>
          <wp:inline distT="0" distB="0" distL="0" distR="0" wp14:anchorId="358CCE1E" wp14:editId="75CC2512">
            <wp:extent cx="3295420" cy="37672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0" t="3739" r="4166"/>
                    <a:stretch/>
                  </pic:blipFill>
                  <pic:spPr bwMode="auto">
                    <a:xfrm>
                      <a:off x="0" y="0"/>
                      <a:ext cx="3305470" cy="377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8A010" w14:textId="77777777" w:rsidR="006215E2" w:rsidRDefault="006215E2" w:rsidP="006215E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Cs w:val="20"/>
        </w:rPr>
      </w:pPr>
      <w:bookmarkStart w:id="3" w:name="_Toc390861949"/>
      <w:r>
        <w:rPr>
          <w:rFonts w:ascii="Times New Roman" w:eastAsia="Times New Roman" w:hAnsi="Times New Roman" w:cs="Times New Roman"/>
        </w:rPr>
        <w:t>Figure S2</w:t>
      </w:r>
      <w:r w:rsidRPr="00145C59">
        <w:rPr>
          <w:rFonts w:ascii="Times New Roman" w:eastAsia="Times New Roman" w:hAnsi="Times New Roman" w:cs="Times New Roman"/>
        </w:rPr>
        <w:t xml:space="preserve">. Simulated </w:t>
      </w:r>
      <w:r w:rsidRPr="00145C59">
        <w:rPr>
          <w:rFonts w:ascii="Times New Roman" w:eastAsia="Times New Roman" w:hAnsi="Times New Roman" w:cs="Times New Roman"/>
          <w:szCs w:val="20"/>
        </w:rPr>
        <w:t xml:space="preserve">vertical temperature profile from </w:t>
      </w:r>
      <w:proofErr w:type="spellStart"/>
      <w:r w:rsidRPr="00145C59">
        <w:rPr>
          <w:rFonts w:ascii="Times New Roman" w:eastAsia="Times New Roman" w:hAnsi="Times New Roman" w:cs="Times New Roman"/>
          <w:szCs w:val="20"/>
        </w:rPr>
        <w:t>DYRESM</w:t>
      </w:r>
      <w:proofErr w:type="spellEnd"/>
      <w:r w:rsidRPr="00145C59">
        <w:rPr>
          <w:rFonts w:ascii="Times New Roman" w:eastAsia="Times New Roman" w:hAnsi="Times New Roman" w:cs="Times New Roman"/>
          <w:szCs w:val="20"/>
        </w:rPr>
        <w:t xml:space="preserve"> model forced with A2, B1 and observed meteorological data compared to field measurements on 4 </w:t>
      </w:r>
      <w:proofErr w:type="gramStart"/>
      <w:r w:rsidRPr="00145C59">
        <w:rPr>
          <w:rFonts w:ascii="Times New Roman" w:eastAsia="Times New Roman" w:hAnsi="Times New Roman" w:cs="Times New Roman"/>
          <w:szCs w:val="20"/>
        </w:rPr>
        <w:t>May</w:t>
      </w:r>
      <w:r>
        <w:rPr>
          <w:rFonts w:ascii="Times New Roman" w:eastAsia="Times New Roman" w:hAnsi="Times New Roman" w:cs="Times New Roman"/>
          <w:szCs w:val="20"/>
        </w:rPr>
        <w:t>,</w:t>
      </w:r>
      <w:proofErr w:type="gramEnd"/>
      <w:r w:rsidRPr="00145C59">
        <w:rPr>
          <w:rFonts w:ascii="Times New Roman" w:eastAsia="Times New Roman" w:hAnsi="Times New Roman" w:cs="Times New Roman"/>
          <w:szCs w:val="20"/>
        </w:rPr>
        <w:t xml:space="preserve"> 2009 (day of year 124).</w:t>
      </w:r>
      <w:bookmarkEnd w:id="3"/>
      <w:r w:rsidRPr="00145C59">
        <w:rPr>
          <w:rFonts w:ascii="Times New Roman" w:eastAsia="Times New Roman" w:hAnsi="Times New Roman" w:cs="Times New Roman"/>
          <w:szCs w:val="20"/>
        </w:rPr>
        <w:t xml:space="preserve">  </w:t>
      </w:r>
    </w:p>
    <w:p w14:paraId="0A6145E1" w14:textId="77777777" w:rsidR="006215E2" w:rsidRDefault="006215E2" w:rsidP="006215E2">
      <w:pPr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br w:type="page"/>
      </w:r>
    </w:p>
    <w:p w14:paraId="50C287D4" w14:textId="77777777" w:rsidR="006215E2" w:rsidRPr="00146C0C" w:rsidRDefault="006215E2" w:rsidP="006215E2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lastRenderedPageBreak/>
        <w:drawing>
          <wp:inline distT="0" distB="0" distL="0" distR="0" wp14:anchorId="33B70B04" wp14:editId="102E6C73">
            <wp:extent cx="5943600" cy="44577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1A79B" w14:textId="77777777" w:rsidR="006215E2" w:rsidRDefault="006215E2" w:rsidP="006215E2">
      <w:pPr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Figure S3.</w:t>
      </w:r>
      <w:r w:rsidRPr="001D41CC">
        <w:rPr>
          <w:rFonts w:ascii="Times New Roman" w:eastAsia="Times New Roman" w:hAnsi="Times New Roman" w:cs="Times New Roman"/>
          <w:szCs w:val="20"/>
        </w:rPr>
        <w:t xml:space="preserve"> May 1</w:t>
      </w:r>
      <w:r w:rsidRPr="001D41CC">
        <w:rPr>
          <w:rFonts w:ascii="Times New Roman" w:eastAsia="Times New Roman" w:hAnsi="Times New Roman" w:cs="Times New Roman"/>
          <w:szCs w:val="20"/>
          <w:vertAlign w:val="superscript"/>
        </w:rPr>
        <w:t xml:space="preserve"> </w:t>
      </w:r>
      <w:r w:rsidRPr="001D41CC">
        <w:rPr>
          <w:rFonts w:ascii="Times New Roman" w:eastAsia="Times New Roman" w:hAnsi="Times New Roman" w:cs="Times New Roman"/>
          <w:szCs w:val="20"/>
        </w:rPr>
        <w:t>water surface temperature vs. (a) NAO index (</w:t>
      </w:r>
      <w:r>
        <w:rPr>
          <w:rFonts w:ascii="Times New Roman" w:eastAsia="Times New Roman" w:hAnsi="Times New Roman" w:cs="Times New Roman"/>
          <w:szCs w:val="20"/>
        </w:rPr>
        <w:t>modelled, observed and total R</w:t>
      </w:r>
      <w:r w:rsidRPr="001D41CC">
        <w:rPr>
          <w:rFonts w:ascii="Times New Roman" w:eastAsia="Times New Roman" w:hAnsi="Times New Roman" w:cs="Times New Roman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Cs w:val="20"/>
          <w:vertAlign w:val="superscript"/>
        </w:rPr>
        <w:t xml:space="preserve"> </w:t>
      </w:r>
      <w:r w:rsidRPr="001D41CC">
        <w:rPr>
          <w:rFonts w:ascii="Times New Roman" w:eastAsia="Times New Roman" w:hAnsi="Times New Roman" w:cs="Times New Roman"/>
          <w:szCs w:val="20"/>
        </w:rPr>
        <w:t>=</w:t>
      </w:r>
      <w:r>
        <w:rPr>
          <w:rFonts w:ascii="Times New Roman" w:eastAsia="Times New Roman" w:hAnsi="Times New Roman" w:cs="Times New Roman"/>
          <w:szCs w:val="20"/>
        </w:rPr>
        <w:t xml:space="preserve"> 0.76, 0.53 and </w:t>
      </w:r>
      <w:r w:rsidRPr="001D41CC">
        <w:rPr>
          <w:rFonts w:ascii="Times New Roman" w:eastAsia="Times New Roman" w:hAnsi="Times New Roman" w:cs="Times New Roman"/>
          <w:szCs w:val="20"/>
        </w:rPr>
        <w:t>0.52</w:t>
      </w:r>
      <w:r>
        <w:rPr>
          <w:rFonts w:ascii="Times New Roman" w:eastAsia="Times New Roman" w:hAnsi="Times New Roman" w:cs="Times New Roman"/>
          <w:szCs w:val="20"/>
        </w:rPr>
        <w:t>)</w:t>
      </w:r>
      <w:r w:rsidRPr="001D41CC">
        <w:rPr>
          <w:rFonts w:ascii="Times New Roman" w:eastAsia="Times New Roman" w:hAnsi="Times New Roman" w:cs="Times New Roman"/>
          <w:szCs w:val="20"/>
        </w:rPr>
        <w:t xml:space="preserve"> and (b) AO index (</w:t>
      </w:r>
      <w:r>
        <w:rPr>
          <w:rFonts w:ascii="Times New Roman" w:eastAsia="Times New Roman" w:hAnsi="Times New Roman" w:cs="Times New Roman"/>
          <w:szCs w:val="20"/>
        </w:rPr>
        <w:t>modelled, observed and total R</w:t>
      </w:r>
      <w:r w:rsidRPr="001D41CC">
        <w:rPr>
          <w:rFonts w:ascii="Times New Roman" w:eastAsia="Times New Roman" w:hAnsi="Times New Roman" w:cs="Times New Roman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Cs w:val="20"/>
          <w:vertAlign w:val="superscript"/>
        </w:rPr>
        <w:t xml:space="preserve"> </w:t>
      </w:r>
      <w:r w:rsidRPr="001D41CC">
        <w:rPr>
          <w:rFonts w:ascii="Times New Roman" w:eastAsia="Times New Roman" w:hAnsi="Times New Roman" w:cs="Times New Roman"/>
          <w:szCs w:val="20"/>
        </w:rPr>
        <w:t>=</w:t>
      </w:r>
      <w:r>
        <w:rPr>
          <w:rFonts w:ascii="Times New Roman" w:eastAsia="Times New Roman" w:hAnsi="Times New Roman" w:cs="Times New Roman"/>
          <w:szCs w:val="20"/>
        </w:rPr>
        <w:t xml:space="preserve"> 0.26, 0.43 and </w:t>
      </w:r>
      <w:r w:rsidRPr="001D41CC">
        <w:rPr>
          <w:rFonts w:ascii="Times New Roman" w:eastAsia="Times New Roman" w:hAnsi="Times New Roman" w:cs="Times New Roman"/>
          <w:szCs w:val="20"/>
        </w:rPr>
        <w:t>0.</w:t>
      </w:r>
      <w:r>
        <w:rPr>
          <w:rFonts w:ascii="Times New Roman" w:eastAsia="Times New Roman" w:hAnsi="Times New Roman" w:cs="Times New Roman"/>
          <w:szCs w:val="20"/>
        </w:rPr>
        <w:t>48)</w:t>
      </w:r>
      <w:r w:rsidRPr="001D41CC">
        <w:rPr>
          <w:rFonts w:ascii="Times New Roman" w:eastAsia="Times New Roman" w:hAnsi="Times New Roman" w:cs="Times New Roman"/>
          <w:szCs w:val="20"/>
        </w:rPr>
        <w:t xml:space="preserve"> for the period 1980-2012, AO index vs. (</w:t>
      </w:r>
      <w:r w:rsidRPr="006E4F20">
        <w:rPr>
          <w:rFonts w:ascii="Times New Roman" w:eastAsia="Times New Roman" w:hAnsi="Times New Roman" w:cs="Times New Roman"/>
          <w:szCs w:val="20"/>
        </w:rPr>
        <w:t xml:space="preserve">c) </w:t>
      </w:r>
      <w:r>
        <w:rPr>
          <w:rFonts w:ascii="Times New Roman" w:eastAsia="Times New Roman" w:hAnsi="Times New Roman" w:cs="Times New Roman"/>
          <w:szCs w:val="20"/>
        </w:rPr>
        <w:t xml:space="preserve">modelled </w:t>
      </w:r>
      <w:r w:rsidRPr="006E4F20">
        <w:rPr>
          <w:rFonts w:ascii="Times New Roman" w:eastAsia="Times New Roman" w:hAnsi="Times New Roman" w:cs="Times New Roman"/>
          <w:szCs w:val="20"/>
        </w:rPr>
        <w:t>day of onset of stratification (</w:t>
      </w:r>
      <w:r>
        <w:rPr>
          <w:rFonts w:ascii="Times New Roman" w:eastAsia="Times New Roman" w:hAnsi="Times New Roman" w:cs="Times New Roman"/>
          <w:szCs w:val="20"/>
        </w:rPr>
        <w:t>R</w:t>
      </w:r>
      <w:r w:rsidRPr="006E4F20">
        <w:rPr>
          <w:rFonts w:ascii="Times New Roman" w:eastAsia="Times New Roman" w:hAnsi="Times New Roman" w:cs="Times New Roman"/>
          <w:szCs w:val="20"/>
          <w:vertAlign w:val="superscript"/>
        </w:rPr>
        <w:t>2</w:t>
      </w:r>
      <w:r w:rsidRPr="006E4F20">
        <w:rPr>
          <w:rFonts w:ascii="Times New Roman" w:eastAsia="Times New Roman" w:hAnsi="Times New Roman" w:cs="Times New Roman"/>
          <w:szCs w:val="20"/>
        </w:rPr>
        <w:t xml:space="preserve">=0.52) and (d) </w:t>
      </w:r>
      <w:r>
        <w:rPr>
          <w:rFonts w:ascii="Times New Roman" w:eastAsia="Times New Roman" w:hAnsi="Times New Roman" w:cs="Times New Roman"/>
          <w:szCs w:val="20"/>
        </w:rPr>
        <w:t xml:space="preserve">modelled </w:t>
      </w:r>
      <w:r w:rsidRPr="006E4F20">
        <w:rPr>
          <w:rFonts w:ascii="Times New Roman" w:eastAsia="Times New Roman" w:hAnsi="Times New Roman" w:cs="Times New Roman"/>
          <w:szCs w:val="20"/>
        </w:rPr>
        <w:t>length of stratification (</w:t>
      </w:r>
      <w:r>
        <w:rPr>
          <w:rFonts w:ascii="Times New Roman" w:eastAsia="Times New Roman" w:hAnsi="Times New Roman" w:cs="Times New Roman"/>
          <w:szCs w:val="20"/>
        </w:rPr>
        <w:t>R</w:t>
      </w:r>
      <w:r w:rsidRPr="006E4F20">
        <w:rPr>
          <w:rFonts w:ascii="Times New Roman" w:eastAsia="Times New Roman" w:hAnsi="Times New Roman" w:cs="Times New Roman"/>
          <w:szCs w:val="20"/>
          <w:vertAlign w:val="superscript"/>
        </w:rPr>
        <w:t>2</w:t>
      </w:r>
      <w:r w:rsidRPr="006E4F20">
        <w:rPr>
          <w:rFonts w:ascii="Times New Roman" w:eastAsia="Times New Roman" w:hAnsi="Times New Roman" w:cs="Times New Roman"/>
          <w:szCs w:val="20"/>
        </w:rPr>
        <w:t>=0.7</w:t>
      </w:r>
      <w:r>
        <w:rPr>
          <w:rFonts w:ascii="Times New Roman" w:eastAsia="Times New Roman" w:hAnsi="Times New Roman" w:cs="Times New Roman"/>
          <w:szCs w:val="20"/>
        </w:rPr>
        <w:t>0</w:t>
      </w:r>
      <w:r w:rsidRPr="006E4F20">
        <w:rPr>
          <w:rFonts w:ascii="Times New Roman" w:eastAsia="Times New Roman" w:hAnsi="Times New Roman" w:cs="Times New Roman"/>
          <w:szCs w:val="20"/>
        </w:rPr>
        <w:t>) for the period 2000-2012.</w:t>
      </w:r>
      <w:r w:rsidRPr="00743729">
        <w:rPr>
          <w:rFonts w:ascii="Times New Roman" w:hAnsi="Times New Roman" w:cs="Times New Roman"/>
        </w:rPr>
        <w:t xml:space="preserve"> S</w:t>
      </w:r>
      <w:r w:rsidRPr="006E4F20">
        <w:rPr>
          <w:rFonts w:ascii="Times New Roman" w:eastAsia="Times New Roman" w:hAnsi="Times New Roman" w:cs="Times New Roman"/>
          <w:szCs w:val="20"/>
        </w:rPr>
        <w:t>imulat</w:t>
      </w:r>
      <w:r>
        <w:rPr>
          <w:rFonts w:ascii="Times New Roman" w:eastAsia="Times New Roman" w:hAnsi="Times New Roman" w:cs="Times New Roman"/>
          <w:szCs w:val="20"/>
        </w:rPr>
        <w:t xml:space="preserve">ed </w:t>
      </w:r>
      <w:r w:rsidRPr="006E4F20">
        <w:rPr>
          <w:rFonts w:ascii="Times New Roman" w:eastAsia="Times New Roman" w:hAnsi="Times New Roman" w:cs="Times New Roman"/>
          <w:szCs w:val="20"/>
        </w:rPr>
        <w:t>(2000-2012</w:t>
      </w:r>
      <w:r>
        <w:rPr>
          <w:rFonts w:ascii="Times New Roman" w:eastAsia="Times New Roman" w:hAnsi="Times New Roman" w:cs="Times New Roman"/>
          <w:szCs w:val="20"/>
        </w:rPr>
        <w:t>; hollow circles</w:t>
      </w:r>
      <w:r w:rsidRPr="006E4F20">
        <w:rPr>
          <w:rFonts w:ascii="Times New Roman" w:eastAsia="Times New Roman" w:hAnsi="Times New Roman" w:cs="Times New Roman"/>
          <w:szCs w:val="20"/>
        </w:rPr>
        <w:t xml:space="preserve">) and </w:t>
      </w:r>
      <w:r>
        <w:rPr>
          <w:rFonts w:ascii="Times New Roman" w:eastAsia="Times New Roman" w:hAnsi="Times New Roman" w:cs="Times New Roman"/>
          <w:szCs w:val="20"/>
        </w:rPr>
        <w:t>observed</w:t>
      </w:r>
      <w:r w:rsidRPr="006E4F20">
        <w:rPr>
          <w:rFonts w:ascii="Times New Roman" w:eastAsia="Times New Roman" w:hAnsi="Times New Roman" w:cs="Times New Roman"/>
          <w:szCs w:val="20"/>
        </w:rPr>
        <w:t xml:space="preserve"> (1980-1999 from </w:t>
      </w:r>
      <w:proofErr w:type="spellStart"/>
      <w:r w:rsidRPr="006E4F20">
        <w:rPr>
          <w:rFonts w:ascii="Times New Roman" w:eastAsia="Times New Roman" w:hAnsi="Times New Roman" w:cs="Times New Roman"/>
          <w:szCs w:val="20"/>
        </w:rPr>
        <w:t>LSRCA</w:t>
      </w:r>
      <w:proofErr w:type="spellEnd"/>
      <w:r>
        <w:rPr>
          <w:rFonts w:ascii="Times New Roman" w:eastAsia="Times New Roman" w:hAnsi="Times New Roman" w:cs="Times New Roman"/>
          <w:szCs w:val="20"/>
        </w:rPr>
        <w:t>; filled circles</w:t>
      </w:r>
      <w:r w:rsidRPr="006E4F20">
        <w:rPr>
          <w:rFonts w:ascii="Times New Roman" w:eastAsia="Times New Roman" w:hAnsi="Times New Roman" w:cs="Times New Roman"/>
          <w:szCs w:val="20"/>
        </w:rPr>
        <w:t>)</w:t>
      </w:r>
      <w:r>
        <w:rPr>
          <w:rFonts w:ascii="Times New Roman" w:eastAsia="Times New Roman" w:hAnsi="Times New Roman" w:cs="Times New Roman"/>
          <w:szCs w:val="20"/>
        </w:rPr>
        <w:t xml:space="preserve"> temperatures are shown</w:t>
      </w:r>
      <w:r w:rsidRPr="006E4F20">
        <w:rPr>
          <w:rFonts w:ascii="Times New Roman" w:eastAsia="Times New Roman" w:hAnsi="Times New Roman" w:cs="Times New Roman"/>
          <w:szCs w:val="20"/>
        </w:rPr>
        <w:t>.</w:t>
      </w:r>
    </w:p>
    <w:p w14:paraId="58E7CC1C" w14:textId="77777777" w:rsidR="006215E2" w:rsidRDefault="006215E2" w:rsidP="006215E2">
      <w:pPr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br w:type="page"/>
      </w:r>
    </w:p>
    <w:p w14:paraId="4F8E301A" w14:textId="77777777" w:rsidR="006215E2" w:rsidRDefault="006215E2" w:rsidP="006215E2">
      <w:pPr>
        <w:rPr>
          <w:rFonts w:ascii="Times New Roman" w:eastAsia="Times New Roman" w:hAnsi="Times New Roman" w:cs="Times New Roman"/>
          <w:szCs w:val="20"/>
          <w:u w:val="single"/>
        </w:rPr>
      </w:pPr>
    </w:p>
    <w:p w14:paraId="1CD83ECC" w14:textId="77777777" w:rsidR="006215E2" w:rsidRDefault="006215E2" w:rsidP="006215E2"/>
    <w:p w14:paraId="2EEDDA6C" w14:textId="77777777" w:rsidR="006215E2" w:rsidRDefault="006215E2" w:rsidP="006215E2">
      <w:r>
        <w:rPr>
          <w:noProof/>
        </w:rPr>
        <w:drawing>
          <wp:inline distT="0" distB="0" distL="0" distR="0" wp14:anchorId="60034301" wp14:editId="782E6549">
            <wp:extent cx="5943600" cy="4457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318E" w14:textId="77777777" w:rsidR="006215E2" w:rsidRPr="001E036F" w:rsidRDefault="006215E2" w:rsidP="006215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S4: Temporal trends in observed and modelled mean volume weighted hypolimnetic dissolved oxygen (</w:t>
      </w:r>
      <w:proofErr w:type="spellStart"/>
      <w:r>
        <w:rPr>
          <w:rFonts w:ascii="Times New Roman" w:hAnsi="Times New Roman" w:cs="Times New Roman"/>
        </w:rPr>
        <w:t>MVWHDO</w:t>
      </w:r>
      <w:proofErr w:type="spellEnd"/>
      <w:r>
        <w:rPr>
          <w:rFonts w:ascii="Times New Roman" w:hAnsi="Times New Roman" w:cs="Times New Roman"/>
        </w:rPr>
        <w:t xml:space="preserve">) on September 15.  Observations are from North et al., at station K42.  Lines are linear regressions to observations (red) and both A2 and B1 model results (black).  The target </w:t>
      </w:r>
      <w:proofErr w:type="spellStart"/>
      <w:r>
        <w:rPr>
          <w:rFonts w:ascii="Times New Roman" w:hAnsi="Times New Roman" w:cs="Times New Roman"/>
        </w:rPr>
        <w:t>MVWHDO</w:t>
      </w:r>
      <w:proofErr w:type="spellEnd"/>
      <w:r>
        <w:rPr>
          <w:rFonts w:ascii="Times New Roman" w:hAnsi="Times New Roman" w:cs="Times New Roman"/>
        </w:rPr>
        <w:t xml:space="preserve"> is 7 mg L</w:t>
      </w:r>
      <w:r w:rsidRPr="001E036F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p w14:paraId="5B3709FF" w14:textId="77777777" w:rsidR="006215E2" w:rsidRDefault="006215E2" w:rsidP="006215E2">
      <w:pPr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br w:type="page"/>
      </w:r>
    </w:p>
    <w:p w14:paraId="69876DC0" w14:textId="77777777" w:rsidR="006215E2" w:rsidRPr="00D86349" w:rsidRDefault="006215E2" w:rsidP="006215E2">
      <w:pPr>
        <w:rPr>
          <w:rFonts w:ascii="Times New Roman" w:hAnsi="Times New Roman" w:cs="Times New Roman"/>
        </w:rPr>
      </w:pPr>
      <w:r w:rsidRPr="00D86349">
        <w:rPr>
          <w:rFonts w:ascii="Times New Roman" w:hAnsi="Times New Roman" w:cs="Times New Roman"/>
        </w:rPr>
        <w:lastRenderedPageBreak/>
        <w:t xml:space="preserve">Table S1. Details of data used for initial conditions and boundary conditions.  </w:t>
      </w:r>
      <w:r>
        <w:rPr>
          <w:rFonts w:ascii="Times New Roman" w:hAnsi="Times New Roman" w:cs="Times New Roman"/>
        </w:rPr>
        <w:t xml:space="preserve">Initial conditions and calibration/validation data were horizontal averages of profiles obtained at stations </w:t>
      </w:r>
      <w:r w:rsidRPr="00146C0C">
        <w:rPr>
          <w:rFonts w:ascii="Times New Roman" w:eastAsia="Times New Roman" w:hAnsi="Times New Roman" w:cs="Times New Roman"/>
          <w:szCs w:val="20"/>
        </w:rPr>
        <w:t>C1, C6, C9, K39, K42, K45, E51 and S15</w:t>
      </w:r>
      <w:r>
        <w:rPr>
          <w:rFonts w:ascii="Times New Roman" w:eastAsia="Times New Roman" w:hAnsi="Times New Roman" w:cs="Times New Roman"/>
          <w:szCs w:val="20"/>
        </w:rPr>
        <w:t xml:space="preserve"> on 5-6 May 2008 and 2009 (Figure 1a) by the Ontario Ministry of the Environment Conservation and Parks (</w:t>
      </w:r>
      <w:proofErr w:type="spellStart"/>
      <w:r w:rsidRPr="00D86349">
        <w:rPr>
          <w:rFonts w:ascii="Times New Roman" w:hAnsi="Times New Roman" w:cs="Times New Roman"/>
        </w:rPr>
        <w:t>MECP</w:t>
      </w:r>
      <w:proofErr w:type="spellEnd"/>
      <w:r>
        <w:rPr>
          <w:rFonts w:ascii="Times New Roman" w:hAnsi="Times New Roman" w:cs="Times New Roman"/>
        </w:rPr>
        <w:t>) and the Lake Simcoe Region Conservation Authority (</w:t>
      </w:r>
      <w:proofErr w:type="spellStart"/>
      <w:r w:rsidRPr="00D86349">
        <w:rPr>
          <w:rFonts w:ascii="Times New Roman" w:hAnsi="Times New Roman" w:cs="Times New Roman"/>
        </w:rPr>
        <w:t>LSRCA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  </w:t>
      </w:r>
      <w:r w:rsidRPr="00D86349">
        <w:rPr>
          <w:rFonts w:ascii="Times New Roman" w:hAnsi="Times New Roman" w:cs="Times New Roman"/>
        </w:rPr>
        <w:t>For more information on the</w:t>
      </w:r>
      <w:r>
        <w:rPr>
          <w:rFonts w:ascii="Times New Roman" w:hAnsi="Times New Roman" w:cs="Times New Roman"/>
        </w:rPr>
        <w:t>se data</w:t>
      </w:r>
      <w:r w:rsidRPr="00D86349">
        <w:rPr>
          <w:rFonts w:ascii="Times New Roman" w:hAnsi="Times New Roman" w:cs="Times New Roman"/>
        </w:rPr>
        <w:t xml:space="preserve"> see Winter et al. (2011).  </w:t>
      </w:r>
      <w:r>
        <w:rPr>
          <w:rFonts w:ascii="Times New Roman" w:hAnsi="Times New Roman" w:cs="Times New Roman"/>
        </w:rPr>
        <w:t xml:space="preserve">The inflow data were collected by the </w:t>
      </w:r>
      <w:r w:rsidRPr="00D86349">
        <w:rPr>
          <w:rFonts w:ascii="Times New Roman" w:hAnsi="Times New Roman" w:cs="Times New Roman"/>
        </w:rPr>
        <w:t>Provincial (Stream) Water Quality Monitoring Network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PWQMN</w:t>
      </w:r>
      <w:proofErr w:type="spellEnd"/>
      <w:r>
        <w:rPr>
          <w:rFonts w:ascii="Times New Roman" w:hAnsi="Times New Roman" w:cs="Times New Roman"/>
        </w:rPr>
        <w:t xml:space="preserve">; </w:t>
      </w:r>
      <w:hyperlink r:id="rId8" w:history="1">
        <w:r w:rsidRPr="00AA41F9">
          <w:rPr>
            <w:rStyle w:val="Hyperlink"/>
            <w:rFonts w:ascii="Times New Roman" w:hAnsi="Times New Roman"/>
          </w:rPr>
          <w:t>https://www.ontario.ca/environment-and-energy/map-provincial-stream-water-quality-monitoring-network</w:t>
        </w:r>
      </w:hyperlink>
      <w:r>
        <w:rPr>
          <w:rFonts w:ascii="Times New Roman" w:hAnsi="Times New Roman" w:cs="Times New Roman"/>
        </w:rPr>
        <w:t>).</w:t>
      </w:r>
    </w:p>
    <w:p w14:paraId="0B8A5118" w14:textId="77777777" w:rsidR="006215E2" w:rsidRPr="00D86349" w:rsidRDefault="006215E2" w:rsidP="006215E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78"/>
        <w:gridCol w:w="2693"/>
      </w:tblGrid>
      <w:tr w:rsidR="006215E2" w:rsidRPr="00D86349" w14:paraId="26C45CB7" w14:textId="77777777" w:rsidTr="001E17FD">
        <w:tc>
          <w:tcPr>
            <w:tcW w:w="2337" w:type="dxa"/>
          </w:tcPr>
          <w:p w14:paraId="5455C03D" w14:textId="77777777" w:rsidR="006215E2" w:rsidRPr="00856B22" w:rsidRDefault="006215E2" w:rsidP="001E17FD">
            <w:pPr>
              <w:rPr>
                <w:rFonts w:ascii="Times New Roman" w:hAnsi="Times New Roman" w:cs="Times New Roman"/>
                <w:b/>
                <w:bCs/>
              </w:rPr>
            </w:pPr>
            <w:r w:rsidRPr="00856B22">
              <w:rPr>
                <w:rFonts w:ascii="Times New Roman" w:hAnsi="Times New Roman" w:cs="Times New Roman"/>
                <w:b/>
                <w:bCs/>
              </w:rPr>
              <w:t>Parameter</w:t>
            </w:r>
          </w:p>
        </w:tc>
        <w:tc>
          <w:tcPr>
            <w:tcW w:w="2478" w:type="dxa"/>
          </w:tcPr>
          <w:p w14:paraId="78BCB8AD" w14:textId="77777777" w:rsidR="006215E2" w:rsidRPr="00856B22" w:rsidRDefault="006215E2" w:rsidP="001E17FD">
            <w:pPr>
              <w:rPr>
                <w:rFonts w:ascii="Times New Roman" w:hAnsi="Times New Roman" w:cs="Times New Roman"/>
                <w:b/>
                <w:bCs/>
              </w:rPr>
            </w:pPr>
            <w:r w:rsidRPr="00856B22">
              <w:rPr>
                <w:rFonts w:ascii="Times New Roman" w:hAnsi="Times New Roman" w:cs="Times New Roman"/>
                <w:b/>
                <w:bCs/>
              </w:rPr>
              <w:t>DY-CD inflows</w:t>
            </w:r>
          </w:p>
        </w:tc>
        <w:tc>
          <w:tcPr>
            <w:tcW w:w="2693" w:type="dxa"/>
          </w:tcPr>
          <w:p w14:paraId="7B05C0DA" w14:textId="77777777" w:rsidR="006215E2" w:rsidRPr="00856B22" w:rsidRDefault="006215E2" w:rsidP="001E17FD">
            <w:pPr>
              <w:rPr>
                <w:rFonts w:ascii="Times New Roman" w:hAnsi="Times New Roman" w:cs="Times New Roman"/>
                <w:b/>
                <w:bCs/>
              </w:rPr>
            </w:pPr>
            <w:r w:rsidRPr="00856B22">
              <w:rPr>
                <w:rFonts w:ascii="Times New Roman" w:hAnsi="Times New Roman" w:cs="Times New Roman"/>
                <w:b/>
                <w:bCs/>
              </w:rPr>
              <w:t>DY-CD initial conditions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calibration/validation </w:t>
            </w:r>
          </w:p>
        </w:tc>
      </w:tr>
      <w:tr w:rsidR="006215E2" w:rsidRPr="00D86349" w14:paraId="6DCD72EC" w14:textId="77777777" w:rsidTr="001E17FD">
        <w:tc>
          <w:tcPr>
            <w:tcW w:w="2337" w:type="dxa"/>
          </w:tcPr>
          <w:p w14:paraId="56259326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2478" w:type="dxa"/>
          </w:tcPr>
          <w:p w14:paraId="7A8AFB42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PWQMN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40D606BE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D86349">
              <w:rPr>
                <w:rFonts w:ascii="Times New Roman" w:hAnsi="Times New Roman" w:cs="Times New Roman"/>
              </w:rPr>
              <w:t>MECP</w:t>
            </w:r>
            <w:proofErr w:type="spellEnd"/>
            <w:r w:rsidRPr="00D86349">
              <w:rPr>
                <w:rFonts w:ascii="Times New Roman" w:hAnsi="Times New Roman" w:cs="Times New Roman"/>
              </w:rPr>
              <w:t>/LSRCA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215E2" w:rsidRPr="00D86349" w14:paraId="6539D35C" w14:textId="77777777" w:rsidTr="001E17FD">
        <w:tc>
          <w:tcPr>
            <w:tcW w:w="2337" w:type="dxa"/>
          </w:tcPr>
          <w:p w14:paraId="7DBEC802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2478" w:type="dxa"/>
          </w:tcPr>
          <w:p w14:paraId="1B0BF3BC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PWQMN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34922247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D86349">
              <w:rPr>
                <w:rFonts w:ascii="Times New Roman" w:hAnsi="Times New Roman" w:cs="Times New Roman"/>
              </w:rPr>
              <w:t>MECP</w:t>
            </w:r>
            <w:proofErr w:type="spellEnd"/>
            <w:r w:rsidRPr="00D86349">
              <w:rPr>
                <w:rFonts w:ascii="Times New Roman" w:hAnsi="Times New Roman" w:cs="Times New Roman"/>
              </w:rPr>
              <w:t>/LSRCA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215E2" w:rsidRPr="00D86349" w14:paraId="05BF93EE" w14:textId="77777777" w:rsidTr="001E17FD">
        <w:tc>
          <w:tcPr>
            <w:tcW w:w="2337" w:type="dxa"/>
          </w:tcPr>
          <w:p w14:paraId="766E5AE4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PO</w:t>
            </w:r>
            <w:r w:rsidRPr="00E27245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478" w:type="dxa"/>
          </w:tcPr>
          <w:p w14:paraId="02A1E14E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PWQMN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174D2636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D86349">
              <w:rPr>
                <w:rFonts w:ascii="Times New Roman" w:hAnsi="Times New Roman" w:cs="Times New Roman"/>
              </w:rPr>
              <w:t>MECP</w:t>
            </w:r>
            <w:proofErr w:type="spellEnd"/>
            <w:r w:rsidRPr="00D86349">
              <w:rPr>
                <w:rFonts w:ascii="Times New Roman" w:hAnsi="Times New Roman" w:cs="Times New Roman"/>
              </w:rPr>
              <w:t>/LSRCA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215E2" w:rsidRPr="00D86349" w14:paraId="02831516" w14:textId="77777777" w:rsidTr="001E17FD">
        <w:tc>
          <w:tcPr>
            <w:tcW w:w="2337" w:type="dxa"/>
          </w:tcPr>
          <w:p w14:paraId="219ABF52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DOP</w:t>
            </w:r>
          </w:p>
        </w:tc>
        <w:tc>
          <w:tcPr>
            <w:tcW w:w="2478" w:type="dxa"/>
          </w:tcPr>
          <w:p w14:paraId="48AA668F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DOP=0.29TP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4C2D5783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DOP=0.29TP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215E2" w:rsidRPr="00D86349" w14:paraId="4C433428" w14:textId="77777777" w:rsidTr="001E17FD">
        <w:tc>
          <w:tcPr>
            <w:tcW w:w="2337" w:type="dxa"/>
          </w:tcPr>
          <w:p w14:paraId="79CC8DF5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POP</w:t>
            </w:r>
          </w:p>
        </w:tc>
        <w:tc>
          <w:tcPr>
            <w:tcW w:w="2478" w:type="dxa"/>
          </w:tcPr>
          <w:p w14:paraId="376EED36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POP=0.51TP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358F0F1A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POP=0.51TP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215E2" w:rsidRPr="00D86349" w14:paraId="57C0C385" w14:textId="77777777" w:rsidTr="001E17FD">
        <w:tc>
          <w:tcPr>
            <w:tcW w:w="2337" w:type="dxa"/>
          </w:tcPr>
          <w:p w14:paraId="4934C8F5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NH</w:t>
            </w:r>
            <w:r w:rsidRPr="00E27245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478" w:type="dxa"/>
          </w:tcPr>
          <w:p w14:paraId="090E4476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PWQMN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03651419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D86349">
              <w:rPr>
                <w:rFonts w:ascii="Times New Roman" w:hAnsi="Times New Roman" w:cs="Times New Roman"/>
              </w:rPr>
              <w:t>MECP</w:t>
            </w:r>
            <w:proofErr w:type="spellEnd"/>
            <w:r w:rsidRPr="00D86349">
              <w:rPr>
                <w:rFonts w:ascii="Times New Roman" w:hAnsi="Times New Roman" w:cs="Times New Roman"/>
              </w:rPr>
              <w:t>/LSRCA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215E2" w:rsidRPr="00D86349" w14:paraId="4A2E6D48" w14:textId="77777777" w:rsidTr="001E17FD">
        <w:tc>
          <w:tcPr>
            <w:tcW w:w="2337" w:type="dxa"/>
          </w:tcPr>
          <w:p w14:paraId="1919A740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NO</w:t>
            </w:r>
            <w:r w:rsidRPr="00E27245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78" w:type="dxa"/>
          </w:tcPr>
          <w:p w14:paraId="0832053D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PWQMN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01FFB77A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343BDE">
              <w:rPr>
                <w:rFonts w:ascii="Times New Roman" w:hAnsi="Times New Roman" w:cs="Times New Roman"/>
              </w:rPr>
              <w:t>MECP</w:t>
            </w:r>
            <w:proofErr w:type="spellEnd"/>
            <w:r w:rsidRPr="00343BDE">
              <w:rPr>
                <w:rFonts w:ascii="Times New Roman" w:hAnsi="Times New Roman" w:cs="Times New Roman"/>
              </w:rPr>
              <w:t>/</w:t>
            </w:r>
            <w:proofErr w:type="spellStart"/>
            <w:r w:rsidRPr="00343BDE">
              <w:rPr>
                <w:rFonts w:ascii="Times New Roman" w:hAnsi="Times New Roman" w:cs="Times New Roman"/>
              </w:rPr>
              <w:t>LSRCA</w:t>
            </w:r>
            <w:proofErr w:type="spellEnd"/>
          </w:p>
        </w:tc>
      </w:tr>
      <w:tr w:rsidR="006215E2" w:rsidRPr="00D86349" w14:paraId="363863B0" w14:textId="77777777" w:rsidTr="001E17FD">
        <w:tc>
          <w:tcPr>
            <w:tcW w:w="2337" w:type="dxa"/>
          </w:tcPr>
          <w:p w14:paraId="72233235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DON</w:t>
            </w:r>
          </w:p>
        </w:tc>
        <w:tc>
          <w:tcPr>
            <w:tcW w:w="2478" w:type="dxa"/>
          </w:tcPr>
          <w:p w14:paraId="4B49FDEF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DON=0.67(TKN-NH</w:t>
            </w:r>
            <w:r w:rsidRPr="00E27245">
              <w:rPr>
                <w:rFonts w:ascii="Times New Roman" w:hAnsi="Times New Roman" w:cs="Times New Roman"/>
                <w:vertAlign w:val="subscript"/>
              </w:rPr>
              <w:t>4</w:t>
            </w:r>
            <w:r w:rsidRPr="00343BDE">
              <w:rPr>
                <w:rFonts w:ascii="Times New Roman" w:hAnsi="Times New Roman" w:cs="Times New Roman"/>
              </w:rPr>
              <w:t>)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 xml:space="preserve"> 3</w:t>
            </w:r>
          </w:p>
        </w:tc>
        <w:tc>
          <w:tcPr>
            <w:tcW w:w="2693" w:type="dxa"/>
          </w:tcPr>
          <w:p w14:paraId="709F9C34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DON=0.67(TKN-NH</w:t>
            </w:r>
            <w:r w:rsidRPr="00E27245">
              <w:rPr>
                <w:rFonts w:ascii="Times New Roman" w:hAnsi="Times New Roman" w:cs="Times New Roman"/>
                <w:vertAlign w:val="subscript"/>
              </w:rPr>
              <w:t>4</w:t>
            </w:r>
            <w:r w:rsidRPr="00343BDE">
              <w:rPr>
                <w:rFonts w:ascii="Times New Roman" w:hAnsi="Times New Roman" w:cs="Times New Roman"/>
              </w:rPr>
              <w:t>)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 xml:space="preserve"> 3</w:t>
            </w:r>
          </w:p>
        </w:tc>
      </w:tr>
      <w:tr w:rsidR="006215E2" w:rsidRPr="00D86349" w14:paraId="169E4CB9" w14:textId="77777777" w:rsidTr="001E17FD">
        <w:tc>
          <w:tcPr>
            <w:tcW w:w="2337" w:type="dxa"/>
          </w:tcPr>
          <w:p w14:paraId="2C5526E3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343BDE">
              <w:rPr>
                <w:rFonts w:ascii="Times New Roman" w:hAnsi="Times New Roman" w:cs="Times New Roman"/>
              </w:rPr>
              <w:t>PON</w:t>
            </w:r>
            <w:proofErr w:type="spellEnd"/>
          </w:p>
        </w:tc>
        <w:tc>
          <w:tcPr>
            <w:tcW w:w="2478" w:type="dxa"/>
          </w:tcPr>
          <w:p w14:paraId="59C1A509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343BDE">
              <w:rPr>
                <w:rFonts w:ascii="Times New Roman" w:hAnsi="Times New Roman" w:cs="Times New Roman"/>
              </w:rPr>
              <w:t>PON</w:t>
            </w:r>
            <w:proofErr w:type="spellEnd"/>
            <w:r w:rsidRPr="00343BDE">
              <w:rPr>
                <w:rFonts w:ascii="Times New Roman" w:hAnsi="Times New Roman" w:cs="Times New Roman"/>
              </w:rPr>
              <w:t>=0.33(TKN-NH</w:t>
            </w:r>
            <w:r w:rsidRPr="00E27245">
              <w:rPr>
                <w:rFonts w:ascii="Times New Roman" w:hAnsi="Times New Roman" w:cs="Times New Roman"/>
                <w:vertAlign w:val="subscript"/>
              </w:rPr>
              <w:t>4</w:t>
            </w:r>
            <w:r w:rsidRPr="00343BDE">
              <w:rPr>
                <w:rFonts w:ascii="Times New Roman" w:hAnsi="Times New Roman" w:cs="Times New Roman"/>
              </w:rPr>
              <w:t>)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 xml:space="preserve"> 3</w:t>
            </w:r>
          </w:p>
        </w:tc>
        <w:tc>
          <w:tcPr>
            <w:tcW w:w="2693" w:type="dxa"/>
          </w:tcPr>
          <w:p w14:paraId="74E52A8D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343BDE">
              <w:rPr>
                <w:rFonts w:ascii="Times New Roman" w:hAnsi="Times New Roman" w:cs="Times New Roman"/>
              </w:rPr>
              <w:t>PON</w:t>
            </w:r>
            <w:proofErr w:type="spellEnd"/>
            <w:r w:rsidRPr="00343BDE">
              <w:rPr>
                <w:rFonts w:ascii="Times New Roman" w:hAnsi="Times New Roman" w:cs="Times New Roman"/>
              </w:rPr>
              <w:t>=0.33(TKN-NH</w:t>
            </w:r>
            <w:r w:rsidRPr="00E27245">
              <w:rPr>
                <w:rFonts w:ascii="Times New Roman" w:hAnsi="Times New Roman" w:cs="Times New Roman"/>
                <w:vertAlign w:val="subscript"/>
              </w:rPr>
              <w:t>4</w:t>
            </w:r>
            <w:r w:rsidRPr="00343BDE">
              <w:rPr>
                <w:rFonts w:ascii="Times New Roman" w:hAnsi="Times New Roman" w:cs="Times New Roman"/>
              </w:rPr>
              <w:t>)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 xml:space="preserve"> 3</w:t>
            </w:r>
          </w:p>
        </w:tc>
      </w:tr>
      <w:tr w:rsidR="006215E2" w:rsidRPr="00D86349" w14:paraId="55656CE1" w14:textId="77777777" w:rsidTr="001E17FD">
        <w:tc>
          <w:tcPr>
            <w:tcW w:w="2337" w:type="dxa"/>
          </w:tcPr>
          <w:p w14:paraId="51F22574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DOC</w:t>
            </w:r>
          </w:p>
        </w:tc>
        <w:tc>
          <w:tcPr>
            <w:tcW w:w="2478" w:type="dxa"/>
          </w:tcPr>
          <w:p w14:paraId="5193C196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PWQMN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2C76674B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343BDE">
              <w:rPr>
                <w:rFonts w:ascii="Times New Roman" w:hAnsi="Times New Roman" w:cs="Times New Roman"/>
              </w:rPr>
              <w:t>MECP</w:t>
            </w:r>
            <w:proofErr w:type="spellEnd"/>
            <w:r w:rsidRPr="00343BDE">
              <w:rPr>
                <w:rFonts w:ascii="Times New Roman" w:hAnsi="Times New Roman" w:cs="Times New Roman"/>
              </w:rPr>
              <w:t>/LSRCA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215E2" w:rsidRPr="00D86349" w14:paraId="397C473C" w14:textId="77777777" w:rsidTr="001E17FD">
        <w:tc>
          <w:tcPr>
            <w:tcW w:w="2337" w:type="dxa"/>
          </w:tcPr>
          <w:p w14:paraId="2F0EDC44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343BDE">
              <w:rPr>
                <w:rFonts w:ascii="Times New Roman" w:hAnsi="Times New Roman" w:cs="Times New Roman"/>
              </w:rPr>
              <w:t>POC</w:t>
            </w:r>
            <w:proofErr w:type="spellEnd"/>
          </w:p>
        </w:tc>
        <w:tc>
          <w:tcPr>
            <w:tcW w:w="2478" w:type="dxa"/>
          </w:tcPr>
          <w:p w14:paraId="6824DF16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343BDE">
              <w:rPr>
                <w:rFonts w:ascii="Times New Roman" w:hAnsi="Times New Roman" w:cs="Times New Roman"/>
              </w:rPr>
              <w:t>POC</w:t>
            </w:r>
            <w:proofErr w:type="spellEnd"/>
            <w:r w:rsidRPr="00343BDE">
              <w:rPr>
                <w:rFonts w:ascii="Times New Roman" w:hAnsi="Times New Roman" w:cs="Times New Roman"/>
              </w:rPr>
              <w:t>=0.75TSS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698F4CA5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343BDE">
              <w:rPr>
                <w:rFonts w:ascii="Times New Roman" w:hAnsi="Times New Roman" w:cs="Times New Roman"/>
              </w:rPr>
              <w:t>POC</w:t>
            </w:r>
            <w:proofErr w:type="spellEnd"/>
            <w:r w:rsidRPr="00343BDE">
              <w:rPr>
                <w:rFonts w:ascii="Times New Roman" w:hAnsi="Times New Roman" w:cs="Times New Roman"/>
              </w:rPr>
              <w:t>=0.75TSS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215E2" w:rsidRPr="00D86349" w14:paraId="3D9DDB37" w14:textId="77777777" w:rsidTr="001E17FD">
        <w:tc>
          <w:tcPr>
            <w:tcW w:w="2337" w:type="dxa"/>
          </w:tcPr>
          <w:p w14:paraId="6FC594D9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43BDE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2478" w:type="dxa"/>
          </w:tcPr>
          <w:p w14:paraId="09EC30B0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PWQMN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45147A1F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proofErr w:type="spellStart"/>
            <w:r w:rsidRPr="00343BDE">
              <w:rPr>
                <w:rFonts w:ascii="Times New Roman" w:hAnsi="Times New Roman" w:cs="Times New Roman"/>
              </w:rPr>
              <w:t>MECP</w:t>
            </w:r>
            <w:proofErr w:type="spellEnd"/>
            <w:r w:rsidRPr="00343BDE">
              <w:rPr>
                <w:rFonts w:ascii="Times New Roman" w:hAnsi="Times New Roman" w:cs="Times New Roman"/>
              </w:rPr>
              <w:t>/LSRCA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215E2" w:rsidRPr="00D86349" w14:paraId="0C5F0DBE" w14:textId="77777777" w:rsidTr="001E17FD">
        <w:tc>
          <w:tcPr>
            <w:tcW w:w="2337" w:type="dxa"/>
          </w:tcPr>
          <w:p w14:paraId="6BEFB2A8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478" w:type="dxa"/>
          </w:tcPr>
          <w:p w14:paraId="65A5C387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>Mean of 1994-96 PWQMN</w:t>
            </w:r>
            <w:r w:rsidRPr="00343B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234AEC7C" w14:textId="77777777" w:rsidR="006215E2" w:rsidRPr="00343BDE" w:rsidRDefault="006215E2" w:rsidP="001E17FD">
            <w:pPr>
              <w:rPr>
                <w:rFonts w:ascii="Times New Roman" w:hAnsi="Times New Roman" w:cs="Times New Roman"/>
              </w:rPr>
            </w:pPr>
            <w:r w:rsidRPr="00343BDE">
              <w:rPr>
                <w:rFonts w:ascii="Times New Roman" w:hAnsi="Times New Roman" w:cs="Times New Roman"/>
              </w:rPr>
              <w:t xml:space="preserve">Mean of 1994-96 </w:t>
            </w:r>
            <w:proofErr w:type="spellStart"/>
            <w:r w:rsidRPr="00343BDE">
              <w:rPr>
                <w:rFonts w:ascii="Times New Roman" w:hAnsi="Times New Roman" w:cs="Times New Roman"/>
              </w:rPr>
              <w:t>PWQMN</w:t>
            </w:r>
            <w:proofErr w:type="spellEnd"/>
          </w:p>
        </w:tc>
      </w:tr>
      <w:tr w:rsidR="006215E2" w:rsidRPr="00D86349" w14:paraId="07C0647D" w14:textId="77777777" w:rsidTr="001E17FD">
        <w:tc>
          <w:tcPr>
            <w:tcW w:w="2337" w:type="dxa"/>
          </w:tcPr>
          <w:p w14:paraId="359EEA72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Chlorophyll-a</w:t>
            </w:r>
            <w:r>
              <w:rPr>
                <w:rFonts w:ascii="Times New Roman" w:hAnsi="Times New Roman" w:cs="Times New Roman"/>
              </w:rPr>
              <w:t xml:space="preserve"> Fluorometry</w:t>
            </w:r>
          </w:p>
        </w:tc>
        <w:tc>
          <w:tcPr>
            <w:tcW w:w="2478" w:type="dxa"/>
          </w:tcPr>
          <w:p w14:paraId="2C94E8A3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MECP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67AD8B28" w14:textId="77777777" w:rsidR="006215E2" w:rsidRPr="00856B22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MECP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(2008 only)</w:t>
            </w:r>
          </w:p>
        </w:tc>
      </w:tr>
      <w:tr w:rsidR="006215E2" w:rsidRPr="00D86349" w14:paraId="62D615D4" w14:textId="77777777" w:rsidTr="001E17FD">
        <w:tc>
          <w:tcPr>
            <w:tcW w:w="2337" w:type="dxa"/>
          </w:tcPr>
          <w:p w14:paraId="7ADBB28C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Chlorophyll-a</w:t>
            </w:r>
            <w:r>
              <w:rPr>
                <w:rFonts w:ascii="Times New Roman" w:hAnsi="Times New Roman" w:cs="Times New Roman"/>
              </w:rPr>
              <w:t xml:space="preserve"> Extractions</w:t>
            </w:r>
          </w:p>
        </w:tc>
        <w:tc>
          <w:tcPr>
            <w:tcW w:w="2478" w:type="dxa"/>
          </w:tcPr>
          <w:p w14:paraId="595DAC54" w14:textId="77777777" w:rsidR="006215E2" w:rsidRPr="00856B22" w:rsidRDefault="006215E2" w:rsidP="001E17F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79A8FBF0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MECP</w:t>
            </w:r>
            <w:r w:rsidRPr="00856B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215E2" w:rsidRPr="00D86349" w14:paraId="26DA9646" w14:textId="77777777" w:rsidTr="001E17FD">
        <w:tc>
          <w:tcPr>
            <w:tcW w:w="2337" w:type="dxa"/>
          </w:tcPr>
          <w:p w14:paraId="4A1058BB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Phytoplankton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349">
              <w:rPr>
                <w:rFonts w:ascii="Times New Roman" w:hAnsi="Times New Roman" w:cs="Times New Roman"/>
              </w:rPr>
              <w:t>Microscopy</w:t>
            </w:r>
          </w:p>
        </w:tc>
        <w:tc>
          <w:tcPr>
            <w:tcW w:w="2478" w:type="dxa"/>
          </w:tcPr>
          <w:p w14:paraId="7028DB4B" w14:textId="77777777" w:rsidR="006215E2" w:rsidRPr="00D86349" w:rsidRDefault="006215E2" w:rsidP="001E1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6A71B285" w14:textId="77777777" w:rsidR="006215E2" w:rsidRPr="00834743" w:rsidRDefault="006215E2" w:rsidP="001E17FD">
            <w:pPr>
              <w:rPr>
                <w:rFonts w:ascii="Times New Roman" w:hAnsi="Times New Roman" w:cs="Times New Roman"/>
              </w:rPr>
            </w:pPr>
            <w:r w:rsidRPr="00D86349">
              <w:rPr>
                <w:rFonts w:ascii="Times New Roman" w:hAnsi="Times New Roman" w:cs="Times New Roman"/>
              </w:rPr>
              <w:t>MECP</w:t>
            </w:r>
            <w:r w:rsidRPr="00D8634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(2008 only)</w:t>
            </w:r>
          </w:p>
        </w:tc>
      </w:tr>
    </w:tbl>
    <w:p w14:paraId="2AC3BBDF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  <w:r w:rsidRPr="00343B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Measured using standard Ontario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MECP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 analytical methods (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Janhurst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>, 1998)</w:t>
      </w:r>
    </w:p>
    <w:p w14:paraId="320B1595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  <w:r w:rsidRPr="00343BDE">
        <w:rPr>
          <w:rFonts w:ascii="Times New Roman" w:eastAsia="Times New Roman" w:hAnsi="Times New Roman" w:cs="Times New Roman"/>
          <w:sz w:val="20"/>
          <w:szCs w:val="20"/>
        </w:rPr>
        <w:br/>
      </w:r>
      <w:r w:rsidRPr="00343B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Phytoplankton samples were fixed with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Lugol's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 iodine solution in the field and were preserved with two drops of 37% formalin after concentration to 25 ml by sedimentation. Subsamples of each concentrated sample were </w:t>
      </w:r>
      <w:r w:rsidRPr="00343BD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recombined at the end of each season to obtain one composite sample from each station for each year (Hopkins and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Standke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, 1992). Phytoplankton counting followed Nicholls and Carney (1979), using inverted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microsocopy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47B81D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F1936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  <w:r w:rsidRPr="00343BD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43BDE">
        <w:rPr>
          <w:rFonts w:ascii="Times New Roman" w:hAnsi="Times New Roman" w:cs="Times New Roman"/>
          <w:sz w:val="20"/>
          <w:szCs w:val="20"/>
        </w:rPr>
        <w:t>From data in eastern Lake Erie.  See Leon et al. (2011) and references therein.</w:t>
      </w:r>
    </w:p>
    <w:p w14:paraId="5126FD04" w14:textId="77777777" w:rsidR="006215E2" w:rsidRDefault="006215E2" w:rsidP="006215E2">
      <w:pPr>
        <w:rPr>
          <w:rFonts w:ascii="Times New Roman" w:eastAsia="Times New Roman" w:hAnsi="Times New Roman" w:cs="Times New Roman"/>
        </w:rPr>
      </w:pPr>
    </w:p>
    <w:p w14:paraId="5FC55878" w14:textId="77777777" w:rsidR="006215E2" w:rsidRPr="00AD0808" w:rsidRDefault="006215E2" w:rsidP="006215E2">
      <w:pPr>
        <w:rPr>
          <w:rFonts w:ascii="Times New Roman" w:eastAsia="Times New Roman" w:hAnsi="Times New Roman" w:cs="Times New Roman"/>
          <w:b/>
          <w:bCs/>
        </w:rPr>
      </w:pPr>
      <w:r w:rsidRPr="00D86349">
        <w:rPr>
          <w:rFonts w:ascii="Times New Roman" w:eastAsia="Times New Roman" w:hAnsi="Times New Roman" w:cs="Times New Roman"/>
          <w:b/>
          <w:bCs/>
        </w:rPr>
        <w:t>References</w:t>
      </w:r>
    </w:p>
    <w:p w14:paraId="30DFE184" w14:textId="77777777" w:rsidR="006215E2" w:rsidRPr="00D86349" w:rsidRDefault="006215E2" w:rsidP="006215E2">
      <w:pPr>
        <w:rPr>
          <w:rFonts w:ascii="Times New Roman" w:eastAsia="Times New Roman" w:hAnsi="Times New Roman" w:cs="Times New Roman"/>
        </w:rPr>
      </w:pPr>
    </w:p>
    <w:p w14:paraId="17DB4A57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Hopkins,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G.J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Standke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S.J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>., 1992. Phytoplankton methods manual. Ontario Ministry of the Environment Report, Queen's Printer for Ontario, Ontario, Canada.</w:t>
      </w:r>
    </w:p>
    <w:p w14:paraId="52BFA6B9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6BED1D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Janhurst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>, S., 1998. 1995 and 1996 Performance Report: General chemistry and microbiology analyses section. Ontario Ministry of the Environment Report, Queen's Printer for Ontario, Ontario, Canada</w:t>
      </w:r>
    </w:p>
    <w:p w14:paraId="50742636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AB3B2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Leon, L. F., Smith, R. E. H.,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Hipsey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, M. R.,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Bocaniov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, S. A., Higgins, S. N.,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Hecky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, R. E., … Guildford, S. J. (2011). Application of a 3D hydrodynamic–biological model for seasonal and spatial dynamics of water quality and phytoplankton in Lake Erie. </w:t>
      </w:r>
      <w:r w:rsidRPr="00343BDE">
        <w:rPr>
          <w:rFonts w:ascii="Times New Roman" w:eastAsia="Times New Roman" w:hAnsi="Times New Roman" w:cs="Times New Roman"/>
          <w:i/>
          <w:iCs/>
          <w:sz w:val="20"/>
          <w:szCs w:val="20"/>
        </w:rPr>
        <w:t>Journal of Great Lakes Research</w:t>
      </w:r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43BDE">
        <w:rPr>
          <w:rFonts w:ascii="Times New Roman" w:eastAsia="Times New Roman" w:hAnsi="Times New Roman" w:cs="Times New Roman"/>
          <w:i/>
          <w:iCs/>
          <w:sz w:val="20"/>
          <w:szCs w:val="20"/>
        </w:rPr>
        <w:t>37</w:t>
      </w:r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(1), 41–53. </w:t>
      </w:r>
      <w:hyperlink r:id="rId9" w:history="1">
        <w:r w:rsidRPr="00343BDE">
          <w:rPr>
            <w:rStyle w:val="Hyperlink"/>
            <w:rFonts w:ascii="Times New Roman" w:hAnsi="Times New Roman"/>
          </w:rPr>
          <w:t>https://doi.org/http://dx.doi.org/10.1016/j.jglr.2010.12.007</w:t>
        </w:r>
      </w:hyperlink>
    </w:p>
    <w:p w14:paraId="50FC717B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A4FE6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  <w:r w:rsidRPr="00343BDE">
        <w:rPr>
          <w:rFonts w:ascii="Times New Roman" w:eastAsia="Times New Roman" w:hAnsi="Times New Roman" w:cs="Times New Roman"/>
          <w:sz w:val="20"/>
          <w:szCs w:val="20"/>
        </w:rPr>
        <w:t xml:space="preserve">Nicholls, </w:t>
      </w:r>
      <w:proofErr w:type="spellStart"/>
      <w:r w:rsidRPr="00343BDE">
        <w:rPr>
          <w:rFonts w:ascii="Times New Roman" w:eastAsia="Times New Roman" w:hAnsi="Times New Roman" w:cs="Times New Roman"/>
          <w:sz w:val="20"/>
          <w:szCs w:val="20"/>
        </w:rPr>
        <w:t>K.H</w:t>
      </w:r>
      <w:proofErr w:type="spellEnd"/>
      <w:r w:rsidRPr="00343BDE">
        <w:rPr>
          <w:rFonts w:ascii="Times New Roman" w:eastAsia="Times New Roman" w:hAnsi="Times New Roman" w:cs="Times New Roman"/>
          <w:sz w:val="20"/>
          <w:szCs w:val="20"/>
        </w:rPr>
        <w:t>., Carney, E.C., 1979. The taxonomy of Bay of Quinte phytoplankton and the relative importance of common and rare taxa. Can. J. Bot. 57, 1591–1608.</w:t>
      </w:r>
    </w:p>
    <w:p w14:paraId="5DF8310D" w14:textId="77777777" w:rsidR="006215E2" w:rsidRPr="00343BDE" w:rsidRDefault="006215E2" w:rsidP="006215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7E9B5D" w14:textId="77777777" w:rsidR="006215E2" w:rsidRPr="00343BDE" w:rsidRDefault="006215E2" w:rsidP="006215E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3BDE">
        <w:rPr>
          <w:rFonts w:ascii="Times New Roman" w:hAnsi="Times New Roman" w:cs="Times New Roman"/>
          <w:noProof/>
          <w:sz w:val="20"/>
          <w:szCs w:val="20"/>
        </w:rPr>
        <w:t xml:space="preserve">Winter, J. G., Young, J. D., Landre, A., Stainsby, E., &amp; Jarjanazi, H. (2011). Changes in phytoplankton community composition of Lake Simcoe from 1980 to 2007 and relationships with multiple stressors. </w:t>
      </w:r>
      <w:r w:rsidRPr="00343BDE">
        <w:rPr>
          <w:rFonts w:ascii="Times New Roman" w:hAnsi="Times New Roman" w:cs="Times New Roman"/>
          <w:i/>
          <w:iCs/>
          <w:noProof/>
          <w:sz w:val="20"/>
          <w:szCs w:val="20"/>
        </w:rPr>
        <w:t>Journal of Great Lakes Research</w:t>
      </w:r>
      <w:r w:rsidRPr="00343BDE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343BDE">
        <w:rPr>
          <w:rFonts w:ascii="Times New Roman" w:hAnsi="Times New Roman" w:cs="Times New Roman"/>
          <w:i/>
          <w:iCs/>
          <w:noProof/>
          <w:sz w:val="20"/>
          <w:szCs w:val="20"/>
        </w:rPr>
        <w:t>37</w:t>
      </w:r>
      <w:r w:rsidRPr="00343BDE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343BDE">
        <w:rPr>
          <w:rFonts w:ascii="Times New Roman" w:hAnsi="Times New Roman" w:cs="Times New Roman"/>
          <w:i/>
          <w:iCs/>
          <w:noProof/>
          <w:sz w:val="20"/>
          <w:szCs w:val="20"/>
        </w:rPr>
        <w:t>Supple</w:t>
      </w:r>
      <w:r w:rsidRPr="00343BDE">
        <w:rPr>
          <w:rFonts w:ascii="Times New Roman" w:hAnsi="Times New Roman" w:cs="Times New Roman"/>
          <w:noProof/>
          <w:sz w:val="20"/>
          <w:szCs w:val="20"/>
        </w:rPr>
        <w:t>, 63–71. https://doi.org/http://dx.doi.org/10.1016/j.jglr.2010.05.002</w:t>
      </w:r>
    </w:p>
    <w:p w14:paraId="351AF7E2" w14:textId="77777777" w:rsidR="006215E2" w:rsidRPr="00D50644" w:rsidRDefault="006215E2" w:rsidP="006215E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eastAsia="Times New Roman" w:hAnsi="Times New Roman" w:cs="Times New Roman"/>
          <w:szCs w:val="20"/>
          <w:u w:val="single"/>
        </w:rPr>
      </w:pPr>
    </w:p>
    <w:p w14:paraId="406D7B38" w14:textId="77777777" w:rsidR="00425B67" w:rsidRDefault="006215E2"/>
    <w:sectPr w:rsidR="00425B67" w:rsidSect="00FA0DC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3537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F09F40" w14:textId="77777777" w:rsidR="001474EC" w:rsidRDefault="006215E2" w:rsidP="001000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2C4B" w14:textId="77777777" w:rsidR="001474EC" w:rsidRDefault="006215E2" w:rsidP="00224D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4670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6A6973" w14:textId="77777777" w:rsidR="001474EC" w:rsidRDefault="006215E2" w:rsidP="001000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535C62B4" w14:textId="77777777" w:rsidR="001474EC" w:rsidRDefault="006215E2" w:rsidP="00224D1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E2"/>
    <w:rsid w:val="00003B0A"/>
    <w:rsid w:val="000145CC"/>
    <w:rsid w:val="00041C9E"/>
    <w:rsid w:val="000502AC"/>
    <w:rsid w:val="00051D36"/>
    <w:rsid w:val="00064FC0"/>
    <w:rsid w:val="00083CF1"/>
    <w:rsid w:val="00084087"/>
    <w:rsid w:val="00093BD7"/>
    <w:rsid w:val="000D3CEB"/>
    <w:rsid w:val="000E7BCC"/>
    <w:rsid w:val="000E7C58"/>
    <w:rsid w:val="000F3602"/>
    <w:rsid w:val="00100891"/>
    <w:rsid w:val="001177AB"/>
    <w:rsid w:val="00164EE5"/>
    <w:rsid w:val="00192B3A"/>
    <w:rsid w:val="001A5524"/>
    <w:rsid w:val="00230928"/>
    <w:rsid w:val="00243E22"/>
    <w:rsid w:val="002902C5"/>
    <w:rsid w:val="002A4475"/>
    <w:rsid w:val="002D556C"/>
    <w:rsid w:val="00300923"/>
    <w:rsid w:val="00331654"/>
    <w:rsid w:val="003325EA"/>
    <w:rsid w:val="00337AC2"/>
    <w:rsid w:val="003578D3"/>
    <w:rsid w:val="003664BB"/>
    <w:rsid w:val="00387482"/>
    <w:rsid w:val="003903B3"/>
    <w:rsid w:val="00396F97"/>
    <w:rsid w:val="003A4866"/>
    <w:rsid w:val="003E616C"/>
    <w:rsid w:val="003F043C"/>
    <w:rsid w:val="00414C2F"/>
    <w:rsid w:val="00432B33"/>
    <w:rsid w:val="00434731"/>
    <w:rsid w:val="0043704C"/>
    <w:rsid w:val="004A7B6E"/>
    <w:rsid w:val="004C7F1E"/>
    <w:rsid w:val="004E433C"/>
    <w:rsid w:val="0051093C"/>
    <w:rsid w:val="00512B32"/>
    <w:rsid w:val="00513290"/>
    <w:rsid w:val="00551A22"/>
    <w:rsid w:val="00596F1A"/>
    <w:rsid w:val="005A6F45"/>
    <w:rsid w:val="005D79BA"/>
    <w:rsid w:val="005F089E"/>
    <w:rsid w:val="00602EBA"/>
    <w:rsid w:val="006033AE"/>
    <w:rsid w:val="006056CA"/>
    <w:rsid w:val="006215E2"/>
    <w:rsid w:val="006371E8"/>
    <w:rsid w:val="006516BB"/>
    <w:rsid w:val="006531F7"/>
    <w:rsid w:val="0065657B"/>
    <w:rsid w:val="0067405B"/>
    <w:rsid w:val="00683834"/>
    <w:rsid w:val="0069619A"/>
    <w:rsid w:val="006B632B"/>
    <w:rsid w:val="006E3135"/>
    <w:rsid w:val="006E4FA0"/>
    <w:rsid w:val="006F0CD6"/>
    <w:rsid w:val="006F72D4"/>
    <w:rsid w:val="006F79E8"/>
    <w:rsid w:val="00700891"/>
    <w:rsid w:val="007519B9"/>
    <w:rsid w:val="0076523D"/>
    <w:rsid w:val="00796B7C"/>
    <w:rsid w:val="007B58AF"/>
    <w:rsid w:val="007B7939"/>
    <w:rsid w:val="007C5DD9"/>
    <w:rsid w:val="007D166D"/>
    <w:rsid w:val="007E1401"/>
    <w:rsid w:val="007E3656"/>
    <w:rsid w:val="008325F1"/>
    <w:rsid w:val="00844D98"/>
    <w:rsid w:val="008457A4"/>
    <w:rsid w:val="00875C54"/>
    <w:rsid w:val="00876175"/>
    <w:rsid w:val="008A341A"/>
    <w:rsid w:val="008C1A8C"/>
    <w:rsid w:val="008C583B"/>
    <w:rsid w:val="008D3F98"/>
    <w:rsid w:val="008E2637"/>
    <w:rsid w:val="00917FD6"/>
    <w:rsid w:val="00926E9B"/>
    <w:rsid w:val="009338C4"/>
    <w:rsid w:val="0094104E"/>
    <w:rsid w:val="00977F31"/>
    <w:rsid w:val="00983EF0"/>
    <w:rsid w:val="009C01C5"/>
    <w:rsid w:val="009E1F7B"/>
    <w:rsid w:val="009F6F5D"/>
    <w:rsid w:val="009F7ACF"/>
    <w:rsid w:val="00A1300D"/>
    <w:rsid w:val="00A26A56"/>
    <w:rsid w:val="00A53819"/>
    <w:rsid w:val="00A95329"/>
    <w:rsid w:val="00A974E7"/>
    <w:rsid w:val="00AB3347"/>
    <w:rsid w:val="00B40F72"/>
    <w:rsid w:val="00B45C81"/>
    <w:rsid w:val="00B63946"/>
    <w:rsid w:val="00B74AF2"/>
    <w:rsid w:val="00B77788"/>
    <w:rsid w:val="00B80141"/>
    <w:rsid w:val="00B95F57"/>
    <w:rsid w:val="00BB6CA0"/>
    <w:rsid w:val="00BB6F89"/>
    <w:rsid w:val="00BD360E"/>
    <w:rsid w:val="00BD4AF8"/>
    <w:rsid w:val="00BD591B"/>
    <w:rsid w:val="00C0109A"/>
    <w:rsid w:val="00C20253"/>
    <w:rsid w:val="00C5186F"/>
    <w:rsid w:val="00C52180"/>
    <w:rsid w:val="00C704C3"/>
    <w:rsid w:val="00CD4C26"/>
    <w:rsid w:val="00CE00C7"/>
    <w:rsid w:val="00CF1478"/>
    <w:rsid w:val="00D31CA6"/>
    <w:rsid w:val="00D34F9F"/>
    <w:rsid w:val="00D35606"/>
    <w:rsid w:val="00D407BC"/>
    <w:rsid w:val="00D70D0E"/>
    <w:rsid w:val="00D750AC"/>
    <w:rsid w:val="00D90B6F"/>
    <w:rsid w:val="00DA2A46"/>
    <w:rsid w:val="00DA4B54"/>
    <w:rsid w:val="00DD0196"/>
    <w:rsid w:val="00DD3EF7"/>
    <w:rsid w:val="00DD6EF0"/>
    <w:rsid w:val="00E11C82"/>
    <w:rsid w:val="00E20826"/>
    <w:rsid w:val="00E42C34"/>
    <w:rsid w:val="00E57CA5"/>
    <w:rsid w:val="00E80C04"/>
    <w:rsid w:val="00EB157F"/>
    <w:rsid w:val="00EC1B1C"/>
    <w:rsid w:val="00EC6D63"/>
    <w:rsid w:val="00ED4BAE"/>
    <w:rsid w:val="00F20400"/>
    <w:rsid w:val="00F24B9D"/>
    <w:rsid w:val="00F37145"/>
    <w:rsid w:val="00F456B5"/>
    <w:rsid w:val="00F545F3"/>
    <w:rsid w:val="00F775F5"/>
    <w:rsid w:val="00FD1EE2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1FE14"/>
  <w15:chartTrackingRefBased/>
  <w15:docId w15:val="{A1640C3B-4610-584E-9D6E-9A89FB72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E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15E2"/>
    <w:pPr>
      <w:tabs>
        <w:tab w:val="center" w:pos="4320"/>
        <w:tab w:val="right" w:pos="8640"/>
      </w:tabs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15E2"/>
    <w:rPr>
      <w:rFonts w:ascii="Times New Roman" w:eastAsia="Times New Roman" w:hAnsi="Times New Roman" w:cs="Times New Roman"/>
      <w:sz w:val="22"/>
      <w:szCs w:val="20"/>
      <w:lang w:val="en-US"/>
    </w:rPr>
  </w:style>
  <w:style w:type="character" w:styleId="PageNumber">
    <w:name w:val="page number"/>
    <w:basedOn w:val="DefaultParagraphFont"/>
    <w:rsid w:val="006215E2"/>
  </w:style>
  <w:style w:type="character" w:styleId="Hyperlink">
    <w:name w:val="Hyperlink"/>
    <w:uiPriority w:val="99"/>
    <w:rsid w:val="006215E2"/>
    <w:rPr>
      <w:color w:val="0000FF"/>
      <w:u w:val="single"/>
    </w:rPr>
  </w:style>
  <w:style w:type="table" w:styleId="TableGrid">
    <w:name w:val="Table Grid"/>
    <w:basedOn w:val="TableNormal"/>
    <w:uiPriority w:val="39"/>
    <w:rsid w:val="006215E2"/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2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environment-and-energy/map-provincial-stream-water-quality-monitoring-networ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oter" Target="footer2.xml"/><Relationship Id="rId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image" Target="media/image1.emf"/><Relationship Id="rId9" Type="http://schemas.openxmlformats.org/officeDocument/2006/relationships/hyperlink" Target="https://doi.org/http://dx.doi.org/10.1016/j.jglr.2010.12.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Boegman</dc:creator>
  <cp:keywords/>
  <dc:description/>
  <cp:lastModifiedBy>Leon Boegman</cp:lastModifiedBy>
  <cp:revision>1</cp:revision>
  <dcterms:created xsi:type="dcterms:W3CDTF">2021-07-30T13:18:00Z</dcterms:created>
  <dcterms:modified xsi:type="dcterms:W3CDTF">2021-07-30T13:19:00Z</dcterms:modified>
</cp:coreProperties>
</file>