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DB" w:rsidRPr="00380DDB" w:rsidRDefault="00380DDB" w:rsidP="00F97DAE">
      <w:pPr>
        <w:spacing w:line="480" w:lineRule="auto"/>
        <w:jc w:val="both"/>
        <w:rPr>
          <w:rFonts w:ascii="Times New Roman" w:hAnsi="Times New Roman" w:cs="Times New Roman"/>
        </w:rPr>
      </w:pPr>
      <w:bookmarkStart w:id="0" w:name="_GoBack"/>
      <w:bookmarkEnd w:id="0"/>
      <w:r w:rsidRPr="00380DDB">
        <w:rPr>
          <w:rFonts w:ascii="Times New Roman" w:hAnsi="Times New Roman" w:cs="Times New Roman"/>
        </w:rPr>
        <w:t>Supplemental material</w:t>
      </w:r>
    </w:p>
    <w:p w:rsidR="00380DDB" w:rsidRDefault="00380DDB" w:rsidP="00F97DAE">
      <w:pPr>
        <w:spacing w:line="480" w:lineRule="auto"/>
        <w:jc w:val="both"/>
        <w:rPr>
          <w:rFonts w:ascii="Times New Roman" w:hAnsi="Times New Roman" w:cs="Times New Roman"/>
          <w:i/>
        </w:rPr>
      </w:pPr>
      <w:r>
        <w:rPr>
          <w:rFonts w:ascii="Times New Roman" w:hAnsi="Times New Roman" w:cs="Times New Roman"/>
          <w:i/>
        </w:rPr>
        <w:t xml:space="preserve"> Target volume modifications and doses to organs at risk</w:t>
      </w:r>
    </w:p>
    <w:p w:rsidR="00A43537" w:rsidRDefault="00380DDB" w:rsidP="00380DDB">
      <w:pPr>
        <w:spacing w:line="480" w:lineRule="auto"/>
        <w:rPr>
          <w:rFonts w:ascii="Times New Roman" w:hAnsi="Times New Roman" w:cs="Times New Roman"/>
          <w:i/>
        </w:rPr>
      </w:pPr>
      <w:r>
        <w:rPr>
          <w:rFonts w:ascii="Times New Roman" w:hAnsi="Times New Roman" w:cs="Times New Roman"/>
          <w:i/>
        </w:rPr>
        <w:t xml:space="preserve">The distribution of manual modifications of </w:t>
      </w:r>
      <w:proofErr w:type="gramStart"/>
      <w:r>
        <w:rPr>
          <w:rFonts w:ascii="Times New Roman" w:hAnsi="Times New Roman" w:cs="Times New Roman"/>
          <w:i/>
        </w:rPr>
        <w:t>CTV and PTV</w:t>
      </w:r>
      <w:proofErr w:type="gramEnd"/>
      <w:r>
        <w:rPr>
          <w:rFonts w:ascii="Times New Roman" w:hAnsi="Times New Roman" w:cs="Times New Roman"/>
          <w:i/>
        </w:rPr>
        <w:t xml:space="preserve"> and doses to OARs exceeding constraints in different centres. Dose are analysed for the brainstem, chiasm, optic nerves, posterior and anterior eyes, thus doses to the brain, pituitary gland, and structures on the lower neck are not included. CTV: Clinical target volume, PTV: Planning target volume, NE: Not evaluated.</w:t>
      </w:r>
    </w:p>
    <w:p w:rsidR="00380DDB" w:rsidRDefault="00380DDB" w:rsidP="00380DDB">
      <w:pPr>
        <w:rPr>
          <w:rFonts w:ascii="Times New Roman" w:hAnsi="Times New Roman" w:cs="Times New Roman"/>
          <w:i/>
        </w:rPr>
      </w:pPr>
    </w:p>
    <w:tbl>
      <w:tblPr>
        <w:tblStyle w:val="Tabel-Gitter"/>
        <w:tblW w:w="9067" w:type="dxa"/>
        <w:tblLayout w:type="fixed"/>
        <w:tblLook w:val="04A0" w:firstRow="1" w:lastRow="0" w:firstColumn="1" w:lastColumn="0" w:noHBand="0" w:noVBand="1"/>
      </w:tblPr>
      <w:tblGrid>
        <w:gridCol w:w="2405"/>
        <w:gridCol w:w="1134"/>
        <w:gridCol w:w="1135"/>
        <w:gridCol w:w="1134"/>
        <w:gridCol w:w="1133"/>
        <w:gridCol w:w="992"/>
        <w:gridCol w:w="1134"/>
      </w:tblGrid>
      <w:tr w:rsidR="00380DDB" w:rsidTr="007E0D9F">
        <w:tc>
          <w:tcPr>
            <w:tcW w:w="2404" w:type="dxa"/>
          </w:tcPr>
          <w:p w:rsidR="00380DDB" w:rsidRDefault="00380DDB" w:rsidP="007E0D9F">
            <w:pPr>
              <w:spacing w:line="276" w:lineRule="auto"/>
              <w:ind w:left="284"/>
              <w:jc w:val="both"/>
              <w:rPr>
                <w:rFonts w:ascii="Times New Roman" w:hAnsi="Times New Roman" w:cs="Times New Roman"/>
                <w:sz w:val="18"/>
                <w:szCs w:val="18"/>
              </w:rPr>
            </w:pPr>
          </w:p>
        </w:tc>
        <w:tc>
          <w:tcPr>
            <w:tcW w:w="1134" w:type="dxa"/>
          </w:tcPr>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Center 1</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n=51 (100)</w:t>
            </w:r>
          </w:p>
        </w:tc>
        <w:tc>
          <w:tcPr>
            <w:tcW w:w="1135" w:type="dxa"/>
          </w:tcPr>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Center 2</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n=36 (100)</w:t>
            </w:r>
          </w:p>
        </w:tc>
        <w:tc>
          <w:tcPr>
            <w:tcW w:w="1134" w:type="dxa"/>
          </w:tcPr>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Center 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n=45 (100)</w:t>
            </w:r>
          </w:p>
        </w:tc>
        <w:tc>
          <w:tcPr>
            <w:tcW w:w="1133" w:type="dxa"/>
          </w:tcPr>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Center 4</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n=44 (100)</w:t>
            </w:r>
          </w:p>
        </w:tc>
        <w:tc>
          <w:tcPr>
            <w:tcW w:w="992" w:type="dxa"/>
          </w:tcPr>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Center 5</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n=8 (100)</w:t>
            </w:r>
          </w:p>
        </w:tc>
        <w:tc>
          <w:tcPr>
            <w:tcW w:w="1134" w:type="dxa"/>
          </w:tcPr>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Total</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n=184 (100)</w:t>
            </w:r>
          </w:p>
        </w:tc>
      </w:tr>
      <w:tr w:rsidR="00380DDB" w:rsidTr="007E0D9F">
        <w:tc>
          <w:tcPr>
            <w:tcW w:w="2404" w:type="dxa"/>
          </w:tcPr>
          <w:p w:rsidR="00380DDB" w:rsidRDefault="00380DDB" w:rsidP="007E0D9F">
            <w:pPr>
              <w:spacing w:line="276" w:lineRule="auto"/>
              <w:ind w:left="284"/>
              <w:rPr>
                <w:rFonts w:ascii="Times New Roman" w:hAnsi="Times New Roman" w:cs="Times New Roman"/>
                <w:i/>
                <w:sz w:val="18"/>
                <w:szCs w:val="18"/>
              </w:rPr>
            </w:pPr>
            <w:r>
              <w:rPr>
                <w:rFonts w:ascii="Times New Roman" w:eastAsia="Calibri" w:hAnsi="Times New Roman" w:cs="Times New Roman"/>
                <w:i/>
                <w:sz w:val="18"/>
                <w:szCs w:val="18"/>
              </w:rPr>
              <w:t>Target volume modification</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Total</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CTV</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PTV</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CTV+PTV</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NE</w:t>
            </w:r>
          </w:p>
        </w:tc>
        <w:tc>
          <w:tcPr>
            <w:tcW w:w="1134"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28 (55)</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 (4)</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22 (43)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 (2)</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 (6)</w:t>
            </w:r>
          </w:p>
        </w:tc>
        <w:tc>
          <w:tcPr>
            <w:tcW w:w="1135"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31 (86)</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8 (22)</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19 (53)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 (5.5)</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 (5.5)</w:t>
            </w:r>
          </w:p>
        </w:tc>
        <w:tc>
          <w:tcPr>
            <w:tcW w:w="1134"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16 (36)</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8 (18)</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5 (1)</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0 (0)</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 (7)</w:t>
            </w:r>
          </w:p>
        </w:tc>
        <w:tc>
          <w:tcPr>
            <w:tcW w:w="1133"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16 (36)</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7 (16)</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7 (16)</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 (5)</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0 (0)</w:t>
            </w:r>
          </w:p>
        </w:tc>
        <w:tc>
          <w:tcPr>
            <w:tcW w:w="992"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 (13)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0 (0)</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 (13)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0 (0)</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 (3)</w:t>
            </w:r>
          </w:p>
        </w:tc>
        <w:tc>
          <w:tcPr>
            <w:tcW w:w="1134"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92 (50)</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25 (14)</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54 (29)</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5 (3)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11 (6)</w:t>
            </w:r>
          </w:p>
        </w:tc>
      </w:tr>
      <w:tr w:rsidR="00380DDB" w:rsidTr="007E0D9F">
        <w:tc>
          <w:tcPr>
            <w:tcW w:w="2404" w:type="dxa"/>
          </w:tcPr>
          <w:p w:rsidR="00380DDB" w:rsidRDefault="00380DDB" w:rsidP="007E0D9F">
            <w:pPr>
              <w:spacing w:line="276" w:lineRule="auto"/>
              <w:ind w:left="284"/>
              <w:rPr>
                <w:rFonts w:ascii="Times New Roman" w:hAnsi="Times New Roman" w:cs="Times New Roman"/>
                <w:i/>
                <w:sz w:val="18"/>
                <w:szCs w:val="18"/>
              </w:rPr>
            </w:pPr>
            <w:r>
              <w:rPr>
                <w:rFonts w:ascii="Times New Roman" w:eastAsia="Calibri" w:hAnsi="Times New Roman" w:cs="Times New Roman"/>
                <w:i/>
                <w:sz w:val="18"/>
                <w:szCs w:val="18"/>
              </w:rPr>
              <w:t>OAR dose constraint violation</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Total</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Brainstem</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Chiasm</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Optic nerve</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Eye Back</w:t>
            </w:r>
          </w:p>
          <w:p w:rsidR="00380DDB" w:rsidRDefault="00380DDB" w:rsidP="007E0D9F">
            <w:pPr>
              <w:spacing w:line="276" w:lineRule="auto"/>
              <w:ind w:left="284"/>
              <w:rPr>
                <w:rFonts w:ascii="Times New Roman" w:hAnsi="Times New Roman" w:cs="Times New Roman"/>
                <w:sz w:val="18"/>
                <w:szCs w:val="18"/>
              </w:rPr>
            </w:pPr>
            <w:r>
              <w:rPr>
                <w:rFonts w:ascii="Times New Roman" w:eastAsia="Calibri" w:hAnsi="Times New Roman" w:cs="Times New Roman"/>
                <w:sz w:val="18"/>
                <w:szCs w:val="18"/>
              </w:rPr>
              <w:t>Eye Front</w:t>
            </w:r>
          </w:p>
        </w:tc>
        <w:tc>
          <w:tcPr>
            <w:tcW w:w="1134"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 xml:space="preserve">46 (90) </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4 (8)</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19 (37)</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36 (71)</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36 (71)</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41 (80)</w:t>
            </w:r>
          </w:p>
        </w:tc>
        <w:tc>
          <w:tcPr>
            <w:tcW w:w="1135"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25 (69)</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0 (0)</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5 (14)</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17 (47)</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23 (64)</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23 (64)</w:t>
            </w:r>
          </w:p>
        </w:tc>
        <w:tc>
          <w:tcPr>
            <w:tcW w:w="1134"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29 (64)</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5 (11)</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6 (13)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19 (43)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23 (51)</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24 (53)</w:t>
            </w:r>
          </w:p>
        </w:tc>
        <w:tc>
          <w:tcPr>
            <w:tcW w:w="1133"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23 (52)</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 (7)</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4 (9)</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15 (34)</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17 (39)</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17 (39)</w:t>
            </w:r>
          </w:p>
        </w:tc>
        <w:tc>
          <w:tcPr>
            <w:tcW w:w="992"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4 (8)</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0 (0)</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 (13)</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4 (50)</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4 (50)</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 (38)</w:t>
            </w:r>
          </w:p>
        </w:tc>
        <w:tc>
          <w:tcPr>
            <w:tcW w:w="1134" w:type="dxa"/>
          </w:tcPr>
          <w:p w:rsidR="00380DDB" w:rsidRDefault="00380DDB" w:rsidP="007E0D9F">
            <w:pPr>
              <w:spacing w:line="276" w:lineRule="auto"/>
              <w:ind w:left="284"/>
              <w:jc w:val="both"/>
              <w:rPr>
                <w:rFonts w:ascii="Times New Roman" w:hAnsi="Times New Roman" w:cs="Times New Roman"/>
                <w:sz w:val="18"/>
                <w:szCs w:val="18"/>
              </w:rPr>
            </w:pP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127 (69)</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12 (7)</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35 (19)</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91 (49)</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103 (56)</w:t>
            </w:r>
          </w:p>
          <w:p w:rsidR="00380DDB" w:rsidRDefault="00380DDB" w:rsidP="007E0D9F">
            <w:pPr>
              <w:spacing w:line="276" w:lineRule="auto"/>
              <w:ind w:left="284"/>
              <w:jc w:val="both"/>
              <w:rPr>
                <w:rFonts w:ascii="Times New Roman" w:hAnsi="Times New Roman" w:cs="Times New Roman"/>
                <w:sz w:val="18"/>
                <w:szCs w:val="18"/>
              </w:rPr>
            </w:pPr>
            <w:r>
              <w:rPr>
                <w:rFonts w:ascii="Times New Roman" w:eastAsia="Calibri" w:hAnsi="Times New Roman" w:cs="Times New Roman"/>
                <w:sz w:val="18"/>
                <w:szCs w:val="18"/>
              </w:rPr>
              <w:t>108 (59)</w:t>
            </w:r>
          </w:p>
        </w:tc>
      </w:tr>
    </w:tbl>
    <w:p w:rsidR="00380DDB" w:rsidRDefault="00380DDB" w:rsidP="00380DDB"/>
    <w:sectPr w:rsidR="00380D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DB"/>
    <w:rsid w:val="00380DDB"/>
    <w:rsid w:val="00A43537"/>
    <w:rsid w:val="00F9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3D53"/>
  <w15:chartTrackingRefBased/>
  <w15:docId w15:val="{DB6127D1-EEE9-4D4F-A12B-74336960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DB"/>
    <w:pPr>
      <w:suppressAutoHyphens/>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80DD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Bendtsen Sharma</dc:creator>
  <cp:keywords/>
  <dc:description/>
  <cp:lastModifiedBy>Maja Bendtsen Sharma</cp:lastModifiedBy>
  <cp:revision>2</cp:revision>
  <dcterms:created xsi:type="dcterms:W3CDTF">2021-06-23T14:26:00Z</dcterms:created>
  <dcterms:modified xsi:type="dcterms:W3CDTF">2021-10-21T21:19:00Z</dcterms:modified>
</cp:coreProperties>
</file>