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980" w:rsidRDefault="00CA3980">
      <w:pPr>
        <w:rPr>
          <w:rFonts w:ascii="Times New Roman" w:hAnsi="Times New Roman" w:cs="Times New Roman"/>
        </w:rPr>
      </w:pPr>
      <w:r w:rsidRPr="00CA3980">
        <w:rPr>
          <w:rFonts w:ascii="Times New Roman" w:hAnsi="Times New Roman" w:cs="Times New Roman"/>
        </w:rPr>
        <w:t>Supplemental material</w:t>
      </w:r>
    </w:p>
    <w:p w:rsidR="00CA3980" w:rsidRPr="00CA3980" w:rsidRDefault="00CA3980">
      <w:pPr>
        <w:rPr>
          <w:rFonts w:ascii="Times New Roman" w:hAnsi="Times New Roman" w:cs="Times New Roman"/>
        </w:rPr>
      </w:pPr>
    </w:p>
    <w:p w:rsidR="00CA3980" w:rsidRDefault="00CA3980" w:rsidP="002B3132">
      <w:pPr>
        <w:spacing w:line="480" w:lineRule="auto"/>
        <w:jc w:val="both"/>
        <w:rPr>
          <w:rFonts w:ascii="Times New Roman" w:hAnsi="Times New Roman" w:cs="Times New Roman"/>
          <w:i/>
        </w:rPr>
      </w:pPr>
      <w:r>
        <w:rPr>
          <w:rFonts w:ascii="Times New Roman" w:hAnsi="Times New Roman" w:cs="Times New Roman"/>
          <w:i/>
        </w:rPr>
        <w:t>Distance from recurrence to organs at risk</w:t>
      </w:r>
    </w:p>
    <w:p w:rsidR="00CA3980" w:rsidRDefault="00CA3980" w:rsidP="002B3132">
      <w:pPr>
        <w:spacing w:line="480" w:lineRule="auto"/>
        <w:jc w:val="both"/>
        <w:rPr>
          <w:rFonts w:ascii="Times New Roman" w:hAnsi="Times New Roman" w:cs="Times New Roman"/>
          <w:i/>
        </w:rPr>
      </w:pPr>
      <w:bookmarkStart w:id="0" w:name="_GoBack"/>
      <w:bookmarkEnd w:id="0"/>
      <w:r>
        <w:rPr>
          <w:rFonts w:ascii="Times New Roman" w:hAnsi="Times New Roman" w:cs="Times New Roman"/>
          <w:i/>
        </w:rPr>
        <w:t>The distance from the relapsing tumour to the nearest OARs, distributed in groups of less or more than 10 mm distance. Furthermore, an overview of modified target volumes in the groups. OARs: Organs at risk, CTV: Clinical target volume, PTV: planning target volume</w:t>
      </w:r>
    </w:p>
    <w:p w:rsidR="00CA3980" w:rsidRDefault="00CA3980"/>
    <w:tbl>
      <w:tblPr>
        <w:tblStyle w:val="Tabel-Gitter"/>
        <w:tblW w:w="9628" w:type="dxa"/>
        <w:tblLayout w:type="fixed"/>
        <w:tblLook w:val="04A0" w:firstRow="1" w:lastRow="0" w:firstColumn="1" w:lastColumn="0" w:noHBand="0" w:noVBand="1"/>
      </w:tblPr>
      <w:tblGrid>
        <w:gridCol w:w="2973"/>
        <w:gridCol w:w="1701"/>
        <w:gridCol w:w="2468"/>
        <w:gridCol w:w="2486"/>
      </w:tblGrid>
      <w:tr w:rsidR="00CA3980" w:rsidTr="00CA3980">
        <w:tc>
          <w:tcPr>
            <w:tcW w:w="2973" w:type="dxa"/>
          </w:tcPr>
          <w:p w:rsidR="00CA3980" w:rsidRDefault="00CA3980" w:rsidP="00CA3980">
            <w:pPr>
              <w:spacing w:line="360" w:lineRule="auto"/>
              <w:jc w:val="both"/>
              <w:rPr>
                <w:rFonts w:ascii="Times New Roman" w:hAnsi="Times New Roman" w:cs="Times New Roman"/>
              </w:rPr>
            </w:pPr>
          </w:p>
        </w:tc>
        <w:tc>
          <w:tcPr>
            <w:tcW w:w="1701" w:type="dxa"/>
          </w:tcPr>
          <w:p w:rsidR="00CA3980" w:rsidRDefault="00CA3980" w:rsidP="007E0D9F">
            <w:pPr>
              <w:spacing w:line="360" w:lineRule="auto"/>
              <w:ind w:left="284"/>
              <w:jc w:val="both"/>
              <w:rPr>
                <w:rFonts w:ascii="Times New Roman" w:hAnsi="Times New Roman" w:cs="Times New Roman"/>
              </w:rPr>
            </w:pPr>
            <w:r>
              <w:rPr>
                <w:rFonts w:ascii="Times New Roman" w:eastAsia="Calibri" w:hAnsi="Times New Roman" w:cs="Times New Roman"/>
              </w:rPr>
              <w:t xml:space="preserve"> Total</w:t>
            </w:r>
          </w:p>
        </w:tc>
        <w:tc>
          <w:tcPr>
            <w:tcW w:w="2468" w:type="dxa"/>
          </w:tcPr>
          <w:p w:rsidR="00CA3980" w:rsidRDefault="00CA3980" w:rsidP="007E0D9F">
            <w:pPr>
              <w:spacing w:line="360" w:lineRule="auto"/>
              <w:ind w:left="284"/>
              <w:jc w:val="both"/>
              <w:rPr>
                <w:rFonts w:ascii="Times New Roman" w:hAnsi="Times New Roman" w:cs="Times New Roman"/>
              </w:rPr>
            </w:pPr>
            <w:r>
              <w:rPr>
                <w:rFonts w:ascii="Times New Roman" w:eastAsia="Calibri" w:hAnsi="Times New Roman" w:cs="Times New Roman"/>
              </w:rPr>
              <w:t>Modified CTV</w:t>
            </w:r>
          </w:p>
        </w:tc>
        <w:tc>
          <w:tcPr>
            <w:tcW w:w="2486" w:type="dxa"/>
          </w:tcPr>
          <w:p w:rsidR="00CA3980" w:rsidRDefault="00CA3980" w:rsidP="007E0D9F">
            <w:pPr>
              <w:spacing w:line="360" w:lineRule="auto"/>
              <w:ind w:left="284"/>
              <w:jc w:val="both"/>
              <w:rPr>
                <w:rFonts w:ascii="Times New Roman" w:hAnsi="Times New Roman" w:cs="Times New Roman"/>
              </w:rPr>
            </w:pPr>
            <w:r>
              <w:rPr>
                <w:rFonts w:ascii="Times New Roman" w:eastAsia="Calibri" w:hAnsi="Times New Roman" w:cs="Times New Roman"/>
              </w:rPr>
              <w:t>Modified PTV</w:t>
            </w:r>
          </w:p>
        </w:tc>
      </w:tr>
      <w:tr w:rsidR="00CA3980" w:rsidTr="00CA3980">
        <w:tc>
          <w:tcPr>
            <w:tcW w:w="2973" w:type="dxa"/>
          </w:tcPr>
          <w:p w:rsidR="00CA3980" w:rsidRDefault="00CA3980" w:rsidP="007E0D9F">
            <w:pPr>
              <w:spacing w:line="360" w:lineRule="auto"/>
              <w:ind w:left="284"/>
              <w:jc w:val="both"/>
              <w:rPr>
                <w:rFonts w:ascii="Times New Roman" w:hAnsi="Times New Roman" w:cs="Times New Roman"/>
              </w:rPr>
            </w:pPr>
            <w:r>
              <w:rPr>
                <w:rFonts w:ascii="Times New Roman" w:eastAsia="Calibri" w:hAnsi="Times New Roman" w:cs="Times New Roman"/>
              </w:rPr>
              <w:t>All analysed recurrences</w:t>
            </w:r>
          </w:p>
        </w:tc>
        <w:tc>
          <w:tcPr>
            <w:tcW w:w="1701" w:type="dxa"/>
          </w:tcPr>
          <w:p w:rsidR="00CA3980" w:rsidRDefault="00CA3980" w:rsidP="007E0D9F">
            <w:pPr>
              <w:spacing w:line="360" w:lineRule="auto"/>
              <w:ind w:left="284"/>
              <w:jc w:val="both"/>
              <w:rPr>
                <w:rFonts w:ascii="Times New Roman" w:hAnsi="Times New Roman" w:cs="Times New Roman"/>
              </w:rPr>
            </w:pPr>
            <w:r>
              <w:rPr>
                <w:rFonts w:ascii="Times New Roman" w:eastAsia="Calibri" w:hAnsi="Times New Roman" w:cs="Times New Roman"/>
              </w:rPr>
              <w:t>39 (100)</w:t>
            </w:r>
          </w:p>
        </w:tc>
        <w:tc>
          <w:tcPr>
            <w:tcW w:w="2468" w:type="dxa"/>
          </w:tcPr>
          <w:p w:rsidR="00CA3980" w:rsidRDefault="00CA3980" w:rsidP="007E0D9F">
            <w:pPr>
              <w:spacing w:line="360" w:lineRule="auto"/>
              <w:ind w:left="284"/>
              <w:jc w:val="both"/>
              <w:rPr>
                <w:rFonts w:ascii="Times New Roman" w:hAnsi="Times New Roman" w:cs="Times New Roman"/>
              </w:rPr>
            </w:pPr>
            <w:r>
              <w:rPr>
                <w:rFonts w:ascii="Times New Roman" w:eastAsia="Calibri" w:hAnsi="Times New Roman" w:cs="Times New Roman"/>
              </w:rPr>
              <w:t>9</w:t>
            </w:r>
          </w:p>
        </w:tc>
        <w:tc>
          <w:tcPr>
            <w:tcW w:w="2486" w:type="dxa"/>
          </w:tcPr>
          <w:p w:rsidR="00CA3980" w:rsidRDefault="00CA3980" w:rsidP="007E0D9F">
            <w:pPr>
              <w:spacing w:line="360" w:lineRule="auto"/>
              <w:ind w:left="284"/>
              <w:jc w:val="both"/>
              <w:rPr>
                <w:rFonts w:ascii="Times New Roman" w:hAnsi="Times New Roman" w:cs="Times New Roman"/>
              </w:rPr>
            </w:pPr>
            <w:r>
              <w:rPr>
                <w:rFonts w:ascii="Times New Roman" w:eastAsia="Calibri" w:hAnsi="Times New Roman" w:cs="Times New Roman"/>
              </w:rPr>
              <w:t xml:space="preserve">8 </w:t>
            </w:r>
          </w:p>
        </w:tc>
      </w:tr>
      <w:tr w:rsidR="00CA3980" w:rsidTr="00CA3980">
        <w:tc>
          <w:tcPr>
            <w:tcW w:w="2973" w:type="dxa"/>
          </w:tcPr>
          <w:p w:rsidR="00CA3980" w:rsidRDefault="00CA3980" w:rsidP="007E0D9F">
            <w:pPr>
              <w:spacing w:line="360" w:lineRule="auto"/>
              <w:ind w:left="284"/>
              <w:jc w:val="both"/>
              <w:rPr>
                <w:rFonts w:ascii="Times New Roman" w:hAnsi="Times New Roman" w:cs="Times New Roman"/>
              </w:rPr>
            </w:pPr>
            <w:r>
              <w:rPr>
                <w:rFonts w:ascii="Times New Roman" w:eastAsia="Calibri" w:hAnsi="Times New Roman" w:cs="Times New Roman"/>
              </w:rPr>
              <w:t>≤ 10 mm from critical OARs</w:t>
            </w:r>
          </w:p>
        </w:tc>
        <w:tc>
          <w:tcPr>
            <w:tcW w:w="1701" w:type="dxa"/>
          </w:tcPr>
          <w:p w:rsidR="00CA3980" w:rsidRDefault="00CA3980" w:rsidP="007E0D9F">
            <w:pPr>
              <w:spacing w:line="360" w:lineRule="auto"/>
              <w:ind w:left="284"/>
              <w:jc w:val="both"/>
              <w:rPr>
                <w:rFonts w:ascii="Times New Roman" w:hAnsi="Times New Roman" w:cs="Times New Roman"/>
              </w:rPr>
            </w:pPr>
            <w:r>
              <w:rPr>
                <w:rFonts w:ascii="Times New Roman" w:eastAsia="Calibri" w:hAnsi="Times New Roman" w:cs="Times New Roman"/>
              </w:rPr>
              <w:t>25 (64)</w:t>
            </w:r>
          </w:p>
        </w:tc>
        <w:tc>
          <w:tcPr>
            <w:tcW w:w="2468" w:type="dxa"/>
          </w:tcPr>
          <w:p w:rsidR="00CA3980" w:rsidRDefault="00CA3980" w:rsidP="007E0D9F">
            <w:pPr>
              <w:spacing w:line="360" w:lineRule="auto"/>
              <w:ind w:left="284"/>
              <w:jc w:val="both"/>
              <w:rPr>
                <w:rFonts w:ascii="Times New Roman" w:hAnsi="Times New Roman" w:cs="Times New Roman"/>
              </w:rPr>
            </w:pPr>
            <w:r>
              <w:rPr>
                <w:rFonts w:ascii="Times New Roman" w:eastAsia="Calibri" w:hAnsi="Times New Roman" w:cs="Times New Roman"/>
              </w:rPr>
              <w:t>5</w:t>
            </w:r>
          </w:p>
        </w:tc>
        <w:tc>
          <w:tcPr>
            <w:tcW w:w="2486" w:type="dxa"/>
          </w:tcPr>
          <w:p w:rsidR="00CA3980" w:rsidRDefault="00CA3980" w:rsidP="007E0D9F">
            <w:pPr>
              <w:spacing w:line="360" w:lineRule="auto"/>
              <w:ind w:left="284"/>
              <w:jc w:val="both"/>
              <w:rPr>
                <w:rFonts w:ascii="Times New Roman" w:hAnsi="Times New Roman" w:cs="Times New Roman"/>
              </w:rPr>
            </w:pPr>
            <w:r>
              <w:rPr>
                <w:rFonts w:ascii="Times New Roman" w:eastAsia="Calibri" w:hAnsi="Times New Roman" w:cs="Times New Roman"/>
              </w:rPr>
              <w:t xml:space="preserve">5 </w:t>
            </w:r>
          </w:p>
        </w:tc>
      </w:tr>
      <w:tr w:rsidR="00CA3980" w:rsidTr="00CA3980">
        <w:tc>
          <w:tcPr>
            <w:tcW w:w="2973" w:type="dxa"/>
          </w:tcPr>
          <w:p w:rsidR="00CA3980" w:rsidRDefault="00CA3980" w:rsidP="007E0D9F">
            <w:pPr>
              <w:spacing w:line="360" w:lineRule="auto"/>
              <w:ind w:left="284"/>
              <w:jc w:val="both"/>
              <w:rPr>
                <w:rFonts w:ascii="Times New Roman" w:hAnsi="Times New Roman" w:cs="Times New Roman"/>
              </w:rPr>
            </w:pPr>
            <w:r>
              <w:rPr>
                <w:rFonts w:ascii="Times New Roman" w:eastAsia="Calibri" w:hAnsi="Times New Roman" w:cs="Times New Roman"/>
              </w:rPr>
              <w:t>&gt; 10 mm from critical OARs</w:t>
            </w:r>
          </w:p>
        </w:tc>
        <w:tc>
          <w:tcPr>
            <w:tcW w:w="1701" w:type="dxa"/>
          </w:tcPr>
          <w:p w:rsidR="00CA3980" w:rsidRDefault="00CA3980" w:rsidP="007E0D9F">
            <w:pPr>
              <w:spacing w:line="360" w:lineRule="auto"/>
              <w:ind w:left="284"/>
              <w:jc w:val="both"/>
              <w:rPr>
                <w:rFonts w:ascii="Times New Roman" w:hAnsi="Times New Roman" w:cs="Times New Roman"/>
              </w:rPr>
            </w:pPr>
            <w:r>
              <w:rPr>
                <w:rFonts w:ascii="Times New Roman" w:eastAsia="Calibri" w:hAnsi="Times New Roman" w:cs="Times New Roman"/>
              </w:rPr>
              <w:t>14 (36)</w:t>
            </w:r>
          </w:p>
        </w:tc>
        <w:tc>
          <w:tcPr>
            <w:tcW w:w="2468" w:type="dxa"/>
          </w:tcPr>
          <w:p w:rsidR="00CA3980" w:rsidRDefault="00CA3980" w:rsidP="007E0D9F">
            <w:pPr>
              <w:spacing w:line="360" w:lineRule="auto"/>
              <w:ind w:left="284"/>
              <w:jc w:val="both"/>
              <w:rPr>
                <w:rFonts w:ascii="Times New Roman" w:hAnsi="Times New Roman" w:cs="Times New Roman"/>
              </w:rPr>
            </w:pPr>
            <w:r>
              <w:rPr>
                <w:rFonts w:ascii="Times New Roman" w:eastAsia="Calibri" w:hAnsi="Times New Roman" w:cs="Times New Roman"/>
              </w:rPr>
              <w:t>4</w:t>
            </w:r>
          </w:p>
        </w:tc>
        <w:tc>
          <w:tcPr>
            <w:tcW w:w="2486" w:type="dxa"/>
          </w:tcPr>
          <w:p w:rsidR="00CA3980" w:rsidRDefault="00CA3980" w:rsidP="007E0D9F">
            <w:pPr>
              <w:spacing w:line="360" w:lineRule="auto"/>
              <w:ind w:left="284"/>
              <w:jc w:val="both"/>
              <w:rPr>
                <w:rFonts w:ascii="Times New Roman" w:hAnsi="Times New Roman" w:cs="Times New Roman"/>
              </w:rPr>
            </w:pPr>
            <w:r>
              <w:rPr>
                <w:rFonts w:ascii="Times New Roman" w:eastAsia="Calibri" w:hAnsi="Times New Roman" w:cs="Times New Roman"/>
              </w:rPr>
              <w:t>3</w:t>
            </w:r>
          </w:p>
        </w:tc>
      </w:tr>
    </w:tbl>
    <w:p w:rsidR="00A43537" w:rsidRDefault="00A43537"/>
    <w:sectPr w:rsidR="00A4353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80"/>
    <w:rsid w:val="002B3132"/>
    <w:rsid w:val="00A43537"/>
    <w:rsid w:val="00CA39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2BB07"/>
  <w15:chartTrackingRefBased/>
  <w15:docId w15:val="{64645974-7EB6-4EC0-8B59-E8AE9589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980"/>
    <w:pPr>
      <w:suppressAutoHyphens/>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A3980"/>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417</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Bendtsen Sharma</dc:creator>
  <cp:keywords/>
  <dc:description/>
  <cp:lastModifiedBy>Maja Bendtsen Sharma</cp:lastModifiedBy>
  <cp:revision>2</cp:revision>
  <dcterms:created xsi:type="dcterms:W3CDTF">2021-06-23T14:24:00Z</dcterms:created>
  <dcterms:modified xsi:type="dcterms:W3CDTF">2021-10-21T21:20:00Z</dcterms:modified>
</cp:coreProperties>
</file>