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512" w:rsidRPr="008F7CC3" w:rsidRDefault="00B40512" w:rsidP="00B40512">
      <w:pPr>
        <w:pStyle w:val="Heading1"/>
        <w:spacing w:line="480" w:lineRule="auto"/>
        <w:jc w:val="both"/>
        <w:rPr>
          <w:rFonts w:asciiTheme="minorHAnsi" w:hAnsiTheme="minorHAnsi" w:cstheme="minorHAnsi"/>
          <w:color w:val="000000" w:themeColor="text1"/>
        </w:rPr>
      </w:pPr>
      <w:r w:rsidRPr="008F7CC3">
        <w:rPr>
          <w:rFonts w:asciiTheme="minorHAnsi" w:hAnsiTheme="minorHAnsi" w:cstheme="minorHAnsi"/>
          <w:color w:val="000000" w:themeColor="text1"/>
        </w:rPr>
        <w:t>Appendix 1</w:t>
      </w:r>
    </w:p>
    <w:p w:rsidR="00B40512" w:rsidRPr="008F7CC3" w:rsidRDefault="00B40512" w:rsidP="00B40512">
      <w:pPr>
        <w:spacing w:line="480" w:lineRule="auto"/>
        <w:jc w:val="both"/>
        <w:rPr>
          <w:rFonts w:cstheme="minorHAnsi"/>
          <w:sz w:val="24"/>
          <w:szCs w:val="24"/>
        </w:rPr>
      </w:pPr>
      <w:r w:rsidRPr="008F7CC3">
        <w:rPr>
          <w:rFonts w:cstheme="minorHAnsi"/>
          <w:sz w:val="24"/>
          <w:szCs w:val="24"/>
        </w:rPr>
        <w:t xml:space="preserve">Interview guide that was used for interviewing eight experts from different Chemelot companies. </w:t>
      </w:r>
    </w:p>
    <w:tbl>
      <w:tblPr>
        <w:tblStyle w:val="TableGrid"/>
        <w:tblW w:w="0" w:type="auto"/>
        <w:tblLook w:val="04A0" w:firstRow="1" w:lastRow="0" w:firstColumn="1" w:lastColumn="0" w:noHBand="0" w:noVBand="1"/>
      </w:tblPr>
      <w:tblGrid>
        <w:gridCol w:w="2263"/>
        <w:gridCol w:w="7087"/>
      </w:tblGrid>
      <w:tr w:rsidR="00B40512" w:rsidRPr="008F7CC3" w:rsidTr="00E07602">
        <w:tc>
          <w:tcPr>
            <w:tcW w:w="2263" w:type="dxa"/>
          </w:tcPr>
          <w:p w:rsidR="00B40512" w:rsidRPr="008F7CC3" w:rsidRDefault="00B40512" w:rsidP="00E07602">
            <w:pPr>
              <w:spacing w:line="480" w:lineRule="auto"/>
              <w:jc w:val="center"/>
              <w:rPr>
                <w:rFonts w:cstheme="minorHAnsi"/>
                <w:b/>
              </w:rPr>
            </w:pPr>
            <w:r w:rsidRPr="008F7CC3">
              <w:rPr>
                <w:rFonts w:cstheme="minorHAnsi"/>
                <w:b/>
              </w:rPr>
              <w:t xml:space="preserve">Theme </w:t>
            </w:r>
          </w:p>
        </w:tc>
        <w:tc>
          <w:tcPr>
            <w:tcW w:w="7087" w:type="dxa"/>
          </w:tcPr>
          <w:p w:rsidR="00B40512" w:rsidRPr="008F7CC3" w:rsidRDefault="00B40512" w:rsidP="00E07602">
            <w:pPr>
              <w:spacing w:line="480" w:lineRule="auto"/>
              <w:jc w:val="center"/>
              <w:rPr>
                <w:rFonts w:cstheme="minorHAnsi"/>
                <w:b/>
              </w:rPr>
            </w:pPr>
            <w:r w:rsidRPr="008F7CC3">
              <w:rPr>
                <w:rFonts w:cstheme="minorHAnsi"/>
                <w:b/>
              </w:rPr>
              <w:t>Interview questions</w:t>
            </w:r>
          </w:p>
        </w:tc>
      </w:tr>
      <w:tr w:rsidR="00B40512" w:rsidRPr="008F7CC3" w:rsidTr="00E07602">
        <w:tc>
          <w:tcPr>
            <w:tcW w:w="2263" w:type="dxa"/>
          </w:tcPr>
          <w:p w:rsidR="00B40512" w:rsidRPr="008F7CC3" w:rsidRDefault="00B40512" w:rsidP="00E07602">
            <w:pPr>
              <w:spacing w:line="480" w:lineRule="auto"/>
              <w:jc w:val="center"/>
              <w:rPr>
                <w:rFonts w:cstheme="minorHAnsi"/>
                <w:b/>
              </w:rPr>
            </w:pPr>
            <w:r w:rsidRPr="008F7CC3">
              <w:rPr>
                <w:rFonts w:cstheme="minorHAnsi"/>
                <w:b/>
              </w:rPr>
              <w:t xml:space="preserve">Introduction </w:t>
            </w:r>
          </w:p>
        </w:tc>
        <w:tc>
          <w:tcPr>
            <w:tcW w:w="7087" w:type="dxa"/>
          </w:tcPr>
          <w:p w:rsidR="00B40512" w:rsidRPr="008F7CC3" w:rsidRDefault="00B40512" w:rsidP="00E07602">
            <w:pPr>
              <w:spacing w:line="480" w:lineRule="auto"/>
              <w:jc w:val="both"/>
            </w:pPr>
            <w:r w:rsidRPr="008F7CC3">
              <w:t>- Name, affiliation and position in the organisation</w:t>
            </w:r>
          </w:p>
          <w:p w:rsidR="00B40512" w:rsidRPr="008F7CC3" w:rsidRDefault="00B40512" w:rsidP="00E07602">
            <w:pPr>
              <w:spacing w:line="480" w:lineRule="auto"/>
              <w:jc w:val="both"/>
            </w:pPr>
            <w:r w:rsidRPr="008F7CC3">
              <w:t>- How long have you been working for this organisation/ in this position?</w:t>
            </w:r>
          </w:p>
          <w:p w:rsidR="00B40512" w:rsidRPr="008F7CC3" w:rsidRDefault="00B40512" w:rsidP="00E07602">
            <w:pPr>
              <w:spacing w:line="480" w:lineRule="auto"/>
              <w:jc w:val="both"/>
            </w:pPr>
            <w:r w:rsidRPr="008F7CC3">
              <w:t xml:space="preserve">- What are the main products that your company is producing? </w:t>
            </w:r>
          </w:p>
        </w:tc>
      </w:tr>
      <w:tr w:rsidR="00B40512" w:rsidRPr="008F7CC3" w:rsidTr="00E07602">
        <w:tc>
          <w:tcPr>
            <w:tcW w:w="2263" w:type="dxa"/>
          </w:tcPr>
          <w:p w:rsidR="00B40512" w:rsidRPr="008F7CC3" w:rsidRDefault="00B40512" w:rsidP="00E07602">
            <w:pPr>
              <w:spacing w:line="480" w:lineRule="auto"/>
              <w:jc w:val="center"/>
              <w:rPr>
                <w:rFonts w:cstheme="minorHAnsi"/>
                <w:b/>
              </w:rPr>
            </w:pPr>
            <w:r w:rsidRPr="008F7CC3">
              <w:rPr>
                <w:rFonts w:cstheme="minorHAnsi"/>
                <w:b/>
              </w:rPr>
              <w:t xml:space="preserve">Envisioning the future </w:t>
            </w:r>
          </w:p>
        </w:tc>
        <w:tc>
          <w:tcPr>
            <w:tcW w:w="7087" w:type="dxa"/>
          </w:tcPr>
          <w:p w:rsidR="00B40512" w:rsidRPr="008F7CC3" w:rsidRDefault="00B40512" w:rsidP="00E07602">
            <w:pPr>
              <w:spacing w:line="480" w:lineRule="auto"/>
              <w:jc w:val="both"/>
            </w:pPr>
            <w:r w:rsidRPr="008F7CC3">
              <w:t xml:space="preserve">- How do you envision your company in the future (say after 2030)? and the Chemelot cluster? </w:t>
            </w:r>
          </w:p>
          <w:p w:rsidR="00B40512" w:rsidRPr="008F7CC3" w:rsidRDefault="00B40512" w:rsidP="00E07602">
            <w:pPr>
              <w:spacing w:line="480" w:lineRule="auto"/>
              <w:jc w:val="both"/>
            </w:pPr>
            <w:r w:rsidRPr="008F7CC3">
              <w:t xml:space="preserve">- What is the climate target of your organisation? </w:t>
            </w:r>
          </w:p>
          <w:p w:rsidR="00B40512" w:rsidRPr="008F7CC3" w:rsidRDefault="00B40512" w:rsidP="00E07602">
            <w:pPr>
              <w:spacing w:line="480" w:lineRule="auto"/>
              <w:jc w:val="both"/>
            </w:pPr>
            <w:r w:rsidRPr="008F7CC3">
              <w:t xml:space="preserve">- What are the key climate neutrality options for your companies? </w:t>
            </w:r>
          </w:p>
          <w:p w:rsidR="00B40512" w:rsidRPr="008F7CC3" w:rsidRDefault="00B40512" w:rsidP="00E07602">
            <w:pPr>
              <w:spacing w:line="480" w:lineRule="auto"/>
              <w:jc w:val="both"/>
            </w:pPr>
            <w:r w:rsidRPr="008F7CC3">
              <w:t>- What are the main climate neutrality options for the Chemelot cluster?</w:t>
            </w:r>
          </w:p>
          <w:p w:rsidR="00B40512" w:rsidRPr="008F7CC3" w:rsidRDefault="00B40512" w:rsidP="00E07602">
            <w:pPr>
              <w:spacing w:line="480" w:lineRule="auto"/>
              <w:jc w:val="both"/>
            </w:pPr>
            <w:r w:rsidRPr="008F7CC3">
              <w:t>- Do you see any conflict/inconsistency between the climate neutrality plans of your company and the Chemelot cluster?</w:t>
            </w:r>
          </w:p>
        </w:tc>
      </w:tr>
      <w:tr w:rsidR="00B40512" w:rsidRPr="008F7CC3" w:rsidTr="00E07602">
        <w:tc>
          <w:tcPr>
            <w:tcW w:w="2263" w:type="dxa"/>
          </w:tcPr>
          <w:p w:rsidR="00B40512" w:rsidRPr="008F7CC3" w:rsidRDefault="00B40512" w:rsidP="00E07602">
            <w:pPr>
              <w:spacing w:line="480" w:lineRule="auto"/>
              <w:jc w:val="center"/>
              <w:rPr>
                <w:rFonts w:cstheme="minorHAnsi"/>
                <w:b/>
              </w:rPr>
            </w:pPr>
            <w:r w:rsidRPr="008F7CC3">
              <w:rPr>
                <w:rFonts w:cstheme="minorHAnsi"/>
                <w:b/>
              </w:rPr>
              <w:t xml:space="preserve">Cluster effects  </w:t>
            </w:r>
          </w:p>
        </w:tc>
        <w:tc>
          <w:tcPr>
            <w:tcW w:w="7087" w:type="dxa"/>
          </w:tcPr>
          <w:p w:rsidR="00B40512" w:rsidRPr="008F7CC3" w:rsidRDefault="00B40512" w:rsidP="00E07602">
            <w:pPr>
              <w:spacing w:line="480" w:lineRule="auto"/>
              <w:jc w:val="both"/>
            </w:pPr>
            <w:r w:rsidRPr="008F7CC3">
              <w:t xml:space="preserve">- How do you characterise your company’s inter-organisational relationship/cooperation within the Chemelot cluster towards reaching climate neutrality goals? </w:t>
            </w:r>
          </w:p>
          <w:p w:rsidR="00B40512" w:rsidRPr="008F7CC3" w:rsidRDefault="00B40512" w:rsidP="00E07602">
            <w:pPr>
              <w:spacing w:line="480" w:lineRule="auto"/>
              <w:jc w:val="both"/>
            </w:pPr>
            <w:r w:rsidRPr="008F7CC3">
              <w:t xml:space="preserve">- What are the advantages of being in a cluster to attain the climate neutrality goals? </w:t>
            </w:r>
          </w:p>
          <w:p w:rsidR="00B40512" w:rsidRPr="008F7CC3" w:rsidRDefault="00B40512" w:rsidP="00E07602">
            <w:pPr>
              <w:spacing w:line="480" w:lineRule="auto"/>
              <w:jc w:val="both"/>
              <w:rPr>
                <w:u w:val="single"/>
              </w:rPr>
            </w:pPr>
            <w:r w:rsidRPr="008F7CC3">
              <w:rPr>
                <w:u w:val="single"/>
              </w:rPr>
              <w:t>Sensitising topics</w:t>
            </w:r>
          </w:p>
          <w:p w:rsidR="00B40512" w:rsidRPr="008F7CC3" w:rsidRDefault="00B40512" w:rsidP="00E07602">
            <w:pPr>
              <w:spacing w:line="480" w:lineRule="auto"/>
              <w:jc w:val="both"/>
            </w:pPr>
            <w:r w:rsidRPr="008F7CC3">
              <w:t>1. Symbiosis (use streams that would otherwise end up as waste)</w:t>
            </w:r>
          </w:p>
          <w:p w:rsidR="00B40512" w:rsidRPr="008F7CC3" w:rsidRDefault="00B40512" w:rsidP="00E07602">
            <w:pPr>
              <w:spacing w:line="480" w:lineRule="auto"/>
              <w:jc w:val="both"/>
            </w:pPr>
            <w:r w:rsidRPr="008F7CC3">
              <w:t>2. Gain access to resources</w:t>
            </w:r>
          </w:p>
          <w:p w:rsidR="00B40512" w:rsidRPr="008F7CC3" w:rsidRDefault="00B40512" w:rsidP="00E07602">
            <w:pPr>
              <w:spacing w:line="480" w:lineRule="auto"/>
              <w:jc w:val="both"/>
            </w:pPr>
            <w:r w:rsidRPr="008F7CC3">
              <w:t>3. Risk and cost sharing (sharing the risk and cost of a climate neutral business endeavour)</w:t>
            </w:r>
          </w:p>
          <w:p w:rsidR="00B40512" w:rsidRPr="008F7CC3" w:rsidRDefault="00B40512" w:rsidP="00E07602">
            <w:pPr>
              <w:spacing w:line="480" w:lineRule="auto"/>
              <w:jc w:val="both"/>
            </w:pPr>
            <w:r w:rsidRPr="008F7CC3">
              <w:lastRenderedPageBreak/>
              <w:t xml:space="preserve">4. Learning and sharing knowledge </w:t>
            </w:r>
          </w:p>
          <w:p w:rsidR="00B40512" w:rsidRPr="008F7CC3" w:rsidRDefault="00B40512" w:rsidP="00E07602">
            <w:pPr>
              <w:spacing w:line="480" w:lineRule="auto"/>
              <w:jc w:val="both"/>
            </w:pPr>
            <w:r w:rsidRPr="008F7CC3">
              <w:t xml:space="preserve">5. Economies of scale (finding partners to expand production volume to lower high fixed costs) </w:t>
            </w:r>
          </w:p>
          <w:p w:rsidR="00B40512" w:rsidRPr="008F7CC3" w:rsidRDefault="00B40512" w:rsidP="00E07602">
            <w:pPr>
              <w:spacing w:line="480" w:lineRule="auto"/>
              <w:jc w:val="both"/>
            </w:pPr>
            <w:r w:rsidRPr="008F7CC3">
              <w:t>6. (re)gain access to a foreign market (e.g. partnering with an (local) international company based in the cluster to gain access to a foreign market)</w:t>
            </w:r>
          </w:p>
          <w:p w:rsidR="00B40512" w:rsidRPr="008F7CC3" w:rsidRDefault="00B40512" w:rsidP="00E07602">
            <w:pPr>
              <w:spacing w:line="480" w:lineRule="auto"/>
              <w:jc w:val="both"/>
            </w:pPr>
            <w:r w:rsidRPr="008F7CC3">
              <w:t>7. Product and/or service development (partners pool their skills to develop new products and/or services)</w:t>
            </w:r>
          </w:p>
          <w:p w:rsidR="00B40512" w:rsidRPr="008F7CC3" w:rsidRDefault="00B40512" w:rsidP="00E07602">
            <w:pPr>
              <w:spacing w:line="480" w:lineRule="auto"/>
              <w:jc w:val="both"/>
            </w:pPr>
            <w:r w:rsidRPr="008F7CC3">
              <w:t>8. Speed to market (e.g. firms with complementary skills, such as one firm that is technologically strong and another that has strong market access, partner to increase speed to market in hopes of capturing first-mover advantages)</w:t>
            </w:r>
          </w:p>
          <w:p w:rsidR="00B40512" w:rsidRPr="008F7CC3" w:rsidRDefault="00B40512" w:rsidP="00E07602">
            <w:pPr>
              <w:spacing w:line="480" w:lineRule="auto"/>
              <w:jc w:val="both"/>
            </w:pPr>
            <w:r w:rsidRPr="008F7CC3">
              <w:t>9. Flexibility (e.g. providing alternative to markets and hierarchies, and being subject to fewer regulatory concerns than acquisitions)</w:t>
            </w:r>
          </w:p>
          <w:p w:rsidR="00B40512" w:rsidRPr="008F7CC3" w:rsidRDefault="00B40512" w:rsidP="00E07602">
            <w:pPr>
              <w:spacing w:line="480" w:lineRule="auto"/>
              <w:jc w:val="both"/>
            </w:pPr>
            <w:r w:rsidRPr="008F7CC3">
              <w:t xml:space="preserve">10. Collective lobbying </w:t>
            </w:r>
          </w:p>
          <w:p w:rsidR="00B40512" w:rsidRPr="008F7CC3" w:rsidRDefault="00B40512" w:rsidP="00E07602">
            <w:pPr>
              <w:spacing w:line="480" w:lineRule="auto"/>
              <w:jc w:val="both"/>
            </w:pPr>
            <w:r w:rsidRPr="008F7CC3">
              <w:t>11. Neutralising or blocking competitors (gaining the competencies and market power that is needed to neutralize or block the moves of a competitor)</w:t>
            </w:r>
          </w:p>
          <w:p w:rsidR="00B40512" w:rsidRPr="008F7CC3" w:rsidRDefault="00B40512" w:rsidP="00E07602">
            <w:pPr>
              <w:spacing w:line="480" w:lineRule="auto"/>
              <w:jc w:val="both"/>
            </w:pPr>
            <w:r w:rsidRPr="008F7CC3">
              <w:t>- What are the disadvantages of being in a cluster to attain the climate neutrality goals?</w:t>
            </w:r>
          </w:p>
          <w:p w:rsidR="00B40512" w:rsidRPr="008F7CC3" w:rsidRDefault="00B40512" w:rsidP="00E07602">
            <w:pPr>
              <w:spacing w:line="480" w:lineRule="auto"/>
              <w:jc w:val="both"/>
              <w:rPr>
                <w:u w:val="single"/>
              </w:rPr>
            </w:pPr>
            <w:r w:rsidRPr="008F7CC3">
              <w:rPr>
                <w:u w:val="single"/>
              </w:rPr>
              <w:t>Sensitising topics</w:t>
            </w:r>
          </w:p>
          <w:p w:rsidR="00B40512" w:rsidRPr="008F7CC3" w:rsidRDefault="00B40512" w:rsidP="00E07602">
            <w:pPr>
              <w:spacing w:line="480" w:lineRule="auto"/>
              <w:jc w:val="both"/>
            </w:pPr>
            <w:r w:rsidRPr="008F7CC3">
              <w:t xml:space="preserve">12. Loss of proprietary information (Proprietary information can be lost to a partner who is already a competitor or will eventually become one) </w:t>
            </w:r>
          </w:p>
          <w:p w:rsidR="00B40512" w:rsidRPr="008F7CC3" w:rsidRDefault="00B40512" w:rsidP="00E07602">
            <w:pPr>
              <w:spacing w:line="480" w:lineRule="auto"/>
              <w:jc w:val="both"/>
            </w:pPr>
            <w:r w:rsidRPr="008F7CC3">
              <w:t>13. Management complexities (combined effort of two or more firms are often difficult to manage that may lead to frustrations and costly delays)</w:t>
            </w:r>
          </w:p>
          <w:p w:rsidR="00B40512" w:rsidRPr="008F7CC3" w:rsidRDefault="00B40512" w:rsidP="00E07602">
            <w:pPr>
              <w:spacing w:line="480" w:lineRule="auto"/>
              <w:jc w:val="both"/>
            </w:pPr>
            <w:r w:rsidRPr="008F7CC3">
              <w:t>14. Financial and organisational risks (e.g. potential opportunistic behaviour)</w:t>
            </w:r>
          </w:p>
          <w:p w:rsidR="00B40512" w:rsidRPr="008F7CC3" w:rsidRDefault="00B40512" w:rsidP="00E07602">
            <w:pPr>
              <w:spacing w:line="480" w:lineRule="auto"/>
              <w:jc w:val="both"/>
            </w:pPr>
            <w:r w:rsidRPr="008F7CC3">
              <w:lastRenderedPageBreak/>
              <w:t xml:space="preserve">15. Risk becoming dependent on a partner (e.g. lock-in, resource dependence, power imbalance)  </w:t>
            </w:r>
          </w:p>
          <w:p w:rsidR="00B40512" w:rsidRPr="008F7CC3" w:rsidRDefault="00B40512" w:rsidP="00E07602">
            <w:pPr>
              <w:spacing w:line="480" w:lineRule="auto"/>
              <w:jc w:val="both"/>
            </w:pPr>
            <w:r w:rsidRPr="008F7CC3">
              <w:t>16. Partial loss of decision autonomy (Joint planning and decision making may result in a loss of decision autonomy)</w:t>
            </w:r>
          </w:p>
          <w:p w:rsidR="00B40512" w:rsidRPr="008F7CC3" w:rsidRDefault="00B40512" w:rsidP="00E07602">
            <w:pPr>
              <w:spacing w:line="480" w:lineRule="auto"/>
              <w:jc w:val="both"/>
            </w:pPr>
            <w:r w:rsidRPr="008F7CC3">
              <w:t>17. Loss of organisational flexibility (e.g. foreclosing the possibility of establishing a partnership with another firm)</w:t>
            </w:r>
          </w:p>
        </w:tc>
      </w:tr>
    </w:tbl>
    <w:p w:rsidR="00B40512" w:rsidRPr="008F7CC3" w:rsidRDefault="00B40512" w:rsidP="00B40512">
      <w:pPr>
        <w:rPr>
          <w:rFonts w:eastAsiaTheme="majorEastAsia" w:cstheme="minorHAnsi"/>
          <w:b/>
          <w:bCs/>
          <w:color w:val="000000" w:themeColor="text1"/>
          <w:sz w:val="28"/>
          <w:szCs w:val="28"/>
        </w:rPr>
      </w:pPr>
      <w:r w:rsidRPr="008F7CC3">
        <w:rPr>
          <w:rFonts w:cstheme="minorHAnsi"/>
          <w:color w:val="000000" w:themeColor="text1"/>
        </w:rPr>
        <w:lastRenderedPageBreak/>
        <w:br w:type="page"/>
      </w:r>
    </w:p>
    <w:p w:rsidR="00B40512" w:rsidRPr="008F7CC3" w:rsidRDefault="00B40512" w:rsidP="00B40512">
      <w:pPr>
        <w:pStyle w:val="Heading1"/>
        <w:spacing w:line="480" w:lineRule="auto"/>
        <w:jc w:val="both"/>
        <w:rPr>
          <w:rFonts w:asciiTheme="minorHAnsi" w:hAnsiTheme="minorHAnsi" w:cstheme="minorHAnsi"/>
          <w:color w:val="000000" w:themeColor="text1"/>
        </w:rPr>
      </w:pPr>
      <w:r w:rsidRPr="008F7CC3">
        <w:rPr>
          <w:rFonts w:asciiTheme="minorHAnsi" w:hAnsiTheme="minorHAnsi" w:cstheme="minorHAnsi"/>
          <w:color w:val="000000" w:themeColor="text1"/>
        </w:rPr>
        <w:lastRenderedPageBreak/>
        <w:t>Appendix 2</w:t>
      </w:r>
    </w:p>
    <w:p w:rsidR="00B40512" w:rsidRPr="008F7CC3" w:rsidRDefault="00B40512" w:rsidP="00B40512">
      <w:pPr>
        <w:rPr>
          <w:rFonts w:cstheme="minorHAnsi"/>
          <w:sz w:val="24"/>
          <w:szCs w:val="24"/>
        </w:rPr>
      </w:pPr>
      <w:r w:rsidRPr="008F7CC3">
        <w:rPr>
          <w:rFonts w:cstheme="minorHAnsi"/>
          <w:sz w:val="24"/>
          <w:szCs w:val="24"/>
        </w:rPr>
        <w:t xml:space="preserve">Graphical presentation on the system dynamics model building process. </w:t>
      </w:r>
    </w:p>
    <w:p w:rsidR="00B40512" w:rsidRPr="008F7CC3" w:rsidRDefault="00B40512" w:rsidP="00B40512">
      <w:pPr>
        <w:rPr>
          <w:rFonts w:cstheme="minorHAnsi"/>
          <w:sz w:val="24"/>
          <w:szCs w:val="24"/>
        </w:rPr>
      </w:pPr>
    </w:p>
    <w:p w:rsidR="00B40512" w:rsidRPr="008F7CC3" w:rsidRDefault="00B40512" w:rsidP="00B40512">
      <w:pPr>
        <w:jc w:val="center"/>
        <w:rPr>
          <w:rFonts w:cstheme="minorHAnsi"/>
          <w:sz w:val="24"/>
          <w:szCs w:val="24"/>
        </w:rPr>
      </w:pPr>
      <w:r w:rsidRPr="008F7CC3">
        <w:rPr>
          <w:rFonts w:cstheme="minorHAnsi"/>
          <w:sz w:val="24"/>
          <w:szCs w:val="24"/>
        </w:rPr>
        <w:drawing>
          <wp:inline distT="0" distB="0" distL="0" distR="0" wp14:anchorId="77F692AC" wp14:editId="4965C9F1">
            <wp:extent cx="6723289" cy="2324100"/>
            <wp:effectExtent l="0" t="0" r="1905" b="0"/>
            <wp:docPr id="19" name="Picture 19" descr="M:\zjanipour\PhD Thesis\MCSc\Paper 3- Chemelot\Resubmission\Figures\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zjanipour\PhD Thesis\MCSc\Paper 3- Chemelot\Resubmission\Figures\M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27784" cy="2325654"/>
                    </a:xfrm>
                    <a:prstGeom prst="rect">
                      <a:avLst/>
                    </a:prstGeom>
                    <a:noFill/>
                    <a:ln>
                      <a:noFill/>
                    </a:ln>
                  </pic:spPr>
                </pic:pic>
              </a:graphicData>
            </a:graphic>
          </wp:inline>
        </w:drawing>
      </w:r>
    </w:p>
    <w:p w:rsidR="00B40512" w:rsidRPr="008F7CC3" w:rsidRDefault="00B40512" w:rsidP="00B40512">
      <w:pPr>
        <w:rPr>
          <w:rFonts w:eastAsiaTheme="majorEastAsia" w:cstheme="minorHAnsi"/>
          <w:b/>
          <w:bCs/>
          <w:color w:val="000000" w:themeColor="text1"/>
          <w:sz w:val="28"/>
          <w:szCs w:val="28"/>
        </w:rPr>
      </w:pPr>
      <w:r w:rsidRPr="008F7CC3">
        <w:rPr>
          <w:rFonts w:cstheme="minorHAnsi"/>
          <w:color w:val="000000" w:themeColor="text1"/>
        </w:rPr>
        <w:br w:type="page"/>
      </w:r>
    </w:p>
    <w:p w:rsidR="00B40512" w:rsidRPr="008F7CC3" w:rsidRDefault="00B40512" w:rsidP="00B40512">
      <w:pPr>
        <w:pStyle w:val="Heading1"/>
        <w:spacing w:line="480" w:lineRule="auto"/>
        <w:jc w:val="both"/>
        <w:rPr>
          <w:color w:val="000000" w:themeColor="text1"/>
        </w:rPr>
      </w:pPr>
      <w:r w:rsidRPr="008F7CC3">
        <w:rPr>
          <w:rFonts w:asciiTheme="minorHAnsi" w:hAnsiTheme="minorHAnsi" w:cstheme="minorHAnsi"/>
          <w:color w:val="000000" w:themeColor="text1"/>
        </w:rPr>
        <w:lastRenderedPageBreak/>
        <w:t>Appendix 3</w:t>
      </w:r>
    </w:p>
    <w:p w:rsidR="00B40512" w:rsidRPr="008F7CC3" w:rsidRDefault="00B40512" w:rsidP="00B40512">
      <w:pPr>
        <w:rPr>
          <w:rFonts w:cstheme="minorHAnsi"/>
          <w:sz w:val="24"/>
          <w:szCs w:val="24"/>
        </w:rPr>
      </w:pPr>
      <w:r w:rsidRPr="008F7CC3">
        <w:rPr>
          <w:rFonts w:cstheme="minorHAnsi"/>
          <w:sz w:val="24"/>
          <w:szCs w:val="24"/>
        </w:rPr>
        <w:t xml:space="preserve">Illustrative examples of intermediate stock and flow models that emerged from words-and-arrows diagramming </w:t>
      </w:r>
    </w:p>
    <w:p w:rsidR="00B40512" w:rsidRPr="008F7CC3" w:rsidRDefault="00B40512" w:rsidP="00B40512">
      <w:r w:rsidRPr="008F7CC3">
        <w:t xml:space="preserve"> </w:t>
      </w:r>
    </w:p>
    <w:p w:rsidR="00B40512" w:rsidRPr="008F7CC3" w:rsidRDefault="00B40512" w:rsidP="00B40512">
      <w:pPr>
        <w:spacing w:line="480" w:lineRule="auto"/>
        <w:jc w:val="center"/>
        <w:rPr>
          <w:rFonts w:cstheme="minorHAnsi"/>
        </w:rPr>
      </w:pPr>
      <w:bookmarkStart w:id="0" w:name="_GoBack"/>
      <w:bookmarkEnd w:id="0"/>
      <w:r w:rsidRPr="008F7CC3">
        <w:rPr>
          <w:rFonts w:cstheme="minorHAnsi"/>
          <w:iCs/>
          <w:color w:val="000000"/>
          <w:sz w:val="24"/>
        </w:rPr>
        <w:drawing>
          <wp:inline distT="0" distB="0" distL="0" distR="0" wp14:anchorId="61010D52" wp14:editId="0068FCC7">
            <wp:extent cx="4317558" cy="3115683"/>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5">
                      <a:extLst>
                        <a:ext uri="{28A0092B-C50C-407E-A947-70E740481C1C}">
                          <a14:useLocalDpi xmlns:a14="http://schemas.microsoft.com/office/drawing/2010/main" val="0"/>
                        </a:ext>
                      </a:extLst>
                    </a:blip>
                    <a:srcRect r="33244" b="31495"/>
                    <a:stretch/>
                  </pic:blipFill>
                  <pic:spPr bwMode="auto">
                    <a:xfrm>
                      <a:off x="0" y="0"/>
                      <a:ext cx="4319924" cy="3117390"/>
                    </a:xfrm>
                    <a:prstGeom prst="rect">
                      <a:avLst/>
                    </a:prstGeom>
                    <a:noFill/>
                    <a:ln>
                      <a:noFill/>
                    </a:ln>
                    <a:extLst>
                      <a:ext uri="{53640926-AAD7-44D8-BBD7-CCE9431645EC}">
                        <a14:shadowObscured xmlns:a14="http://schemas.microsoft.com/office/drawing/2010/main"/>
                      </a:ext>
                    </a:extLst>
                  </pic:spPr>
                </pic:pic>
              </a:graphicData>
            </a:graphic>
          </wp:inline>
        </w:drawing>
      </w:r>
      <w:r w:rsidRPr="008F7CC3">
        <w:rPr>
          <w:rFonts w:cstheme="minorHAnsi"/>
          <w:iCs/>
          <w:color w:val="000000"/>
          <w:sz w:val="24"/>
        </w:rPr>
        <w:drawing>
          <wp:inline distT="0" distB="0" distL="0" distR="0" wp14:anchorId="56B606AE" wp14:editId="202B1762">
            <wp:extent cx="5943600" cy="24400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6">
                      <a:extLst>
                        <a:ext uri="{28A0092B-C50C-407E-A947-70E740481C1C}">
                          <a14:useLocalDpi xmlns:a14="http://schemas.microsoft.com/office/drawing/2010/main" val="0"/>
                        </a:ext>
                      </a:extLst>
                    </a:blip>
                    <a:srcRect r="32538" b="27840"/>
                    <a:stretch/>
                  </pic:blipFill>
                  <pic:spPr bwMode="auto">
                    <a:xfrm>
                      <a:off x="0" y="0"/>
                      <a:ext cx="5943600" cy="2440036"/>
                    </a:xfrm>
                    <a:prstGeom prst="rect">
                      <a:avLst/>
                    </a:prstGeom>
                    <a:noFill/>
                    <a:ln>
                      <a:noFill/>
                    </a:ln>
                    <a:extLst>
                      <a:ext uri="{53640926-AAD7-44D8-BBD7-CCE9431645EC}">
                        <a14:shadowObscured xmlns:a14="http://schemas.microsoft.com/office/drawing/2010/main"/>
                      </a:ext>
                    </a:extLst>
                  </pic:spPr>
                </pic:pic>
              </a:graphicData>
            </a:graphic>
          </wp:inline>
        </w:drawing>
      </w:r>
    </w:p>
    <w:p w:rsidR="00B40512" w:rsidRPr="008F7CC3" w:rsidRDefault="00B40512" w:rsidP="00B40512">
      <w:pPr>
        <w:spacing w:line="480" w:lineRule="auto"/>
        <w:jc w:val="center"/>
        <w:rPr>
          <w:rFonts w:cstheme="minorHAnsi"/>
        </w:rPr>
      </w:pPr>
      <w:r w:rsidRPr="008F7CC3">
        <w:rPr>
          <w:rFonts w:cstheme="minorHAnsi"/>
          <w:iCs/>
          <w:color w:val="000000"/>
          <w:sz w:val="24"/>
        </w:rPr>
        <w:lastRenderedPageBreak/>
        <w:drawing>
          <wp:inline distT="0" distB="0" distL="0" distR="0" wp14:anchorId="302CC81E" wp14:editId="4106059C">
            <wp:extent cx="5943600" cy="29872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7">
                      <a:extLst>
                        <a:ext uri="{28A0092B-C50C-407E-A947-70E740481C1C}">
                          <a14:useLocalDpi xmlns:a14="http://schemas.microsoft.com/office/drawing/2010/main" val="0"/>
                        </a:ext>
                      </a:extLst>
                    </a:blip>
                    <a:srcRect r="32423" b="29275"/>
                    <a:stretch/>
                  </pic:blipFill>
                  <pic:spPr bwMode="auto">
                    <a:xfrm>
                      <a:off x="0" y="0"/>
                      <a:ext cx="5943600" cy="2987265"/>
                    </a:xfrm>
                    <a:prstGeom prst="rect">
                      <a:avLst/>
                    </a:prstGeom>
                    <a:noFill/>
                    <a:ln>
                      <a:noFill/>
                    </a:ln>
                    <a:extLst>
                      <a:ext uri="{53640926-AAD7-44D8-BBD7-CCE9431645EC}">
                        <a14:shadowObscured xmlns:a14="http://schemas.microsoft.com/office/drawing/2010/main"/>
                      </a:ext>
                    </a:extLst>
                  </pic:spPr>
                </pic:pic>
              </a:graphicData>
            </a:graphic>
          </wp:inline>
        </w:drawing>
      </w:r>
    </w:p>
    <w:p w:rsidR="00B40512" w:rsidRPr="008F7CC3" w:rsidRDefault="00B40512" w:rsidP="00B40512">
      <w:pPr>
        <w:spacing w:line="480" w:lineRule="auto"/>
        <w:jc w:val="center"/>
        <w:rPr>
          <w:rFonts w:cstheme="minorHAnsi"/>
        </w:rPr>
      </w:pPr>
      <w:r w:rsidRPr="008F7CC3">
        <w:rPr>
          <w:rFonts w:cstheme="minorHAnsi"/>
        </w:rPr>
        <w:drawing>
          <wp:inline distT="0" distB="0" distL="0" distR="0" wp14:anchorId="1F11FBEE" wp14:editId="0FFA8D2A">
            <wp:extent cx="4947368" cy="3608363"/>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8">
                      <a:extLst>
                        <a:ext uri="{28A0092B-C50C-407E-A947-70E740481C1C}">
                          <a14:useLocalDpi xmlns:a14="http://schemas.microsoft.com/office/drawing/2010/main" val="0"/>
                        </a:ext>
                      </a:extLst>
                    </a:blip>
                    <a:srcRect r="32654" b="29191"/>
                    <a:stretch/>
                  </pic:blipFill>
                  <pic:spPr bwMode="auto">
                    <a:xfrm>
                      <a:off x="0" y="0"/>
                      <a:ext cx="4996010" cy="3643840"/>
                    </a:xfrm>
                    <a:prstGeom prst="rect">
                      <a:avLst/>
                    </a:prstGeom>
                    <a:noFill/>
                    <a:ln>
                      <a:noFill/>
                    </a:ln>
                    <a:extLst>
                      <a:ext uri="{53640926-AAD7-44D8-BBD7-CCE9431645EC}">
                        <a14:shadowObscured xmlns:a14="http://schemas.microsoft.com/office/drawing/2010/main"/>
                      </a:ext>
                    </a:extLst>
                  </pic:spPr>
                </pic:pic>
              </a:graphicData>
            </a:graphic>
          </wp:inline>
        </w:drawing>
      </w:r>
    </w:p>
    <w:p w:rsidR="00B40512" w:rsidRPr="008F7CC3" w:rsidRDefault="00B40512" w:rsidP="00B40512">
      <w:pPr>
        <w:spacing w:line="480" w:lineRule="auto"/>
        <w:jc w:val="center"/>
        <w:rPr>
          <w:rFonts w:cstheme="minorHAnsi"/>
        </w:rPr>
      </w:pPr>
      <w:r w:rsidRPr="008F7CC3">
        <w:rPr>
          <w:rFonts w:cstheme="minorHAnsi"/>
          <w:iCs/>
          <w:color w:val="000000"/>
          <w:sz w:val="24"/>
        </w:rPr>
        <w:lastRenderedPageBreak/>
        <w:drawing>
          <wp:inline distT="0" distB="0" distL="0" distR="0" wp14:anchorId="1A064479" wp14:editId="7D7DA2FB">
            <wp:extent cx="5908431" cy="337182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9">
                      <a:extLst>
                        <a:ext uri="{28A0092B-C50C-407E-A947-70E740481C1C}">
                          <a14:useLocalDpi xmlns:a14="http://schemas.microsoft.com/office/drawing/2010/main" val="0"/>
                        </a:ext>
                      </a:extLst>
                    </a:blip>
                    <a:srcRect r="32177" b="29283"/>
                    <a:stretch/>
                  </pic:blipFill>
                  <pic:spPr bwMode="auto">
                    <a:xfrm>
                      <a:off x="0" y="0"/>
                      <a:ext cx="5926427" cy="3382098"/>
                    </a:xfrm>
                    <a:prstGeom prst="rect">
                      <a:avLst/>
                    </a:prstGeom>
                    <a:noFill/>
                    <a:ln>
                      <a:noFill/>
                    </a:ln>
                    <a:extLst>
                      <a:ext uri="{53640926-AAD7-44D8-BBD7-CCE9431645EC}">
                        <a14:shadowObscured xmlns:a14="http://schemas.microsoft.com/office/drawing/2010/main"/>
                      </a:ext>
                    </a:extLst>
                  </pic:spPr>
                </pic:pic>
              </a:graphicData>
            </a:graphic>
          </wp:inline>
        </w:drawing>
      </w:r>
    </w:p>
    <w:p w:rsidR="004D7F21" w:rsidRDefault="004D7F21"/>
    <w:p w:rsidR="00B40512" w:rsidRDefault="00B40512" w:rsidP="00B40512">
      <w:pPr>
        <w:jc w:val="center"/>
      </w:pPr>
      <w:r w:rsidRPr="008F7CC3">
        <w:rPr>
          <w:rFonts w:cstheme="minorHAnsi"/>
          <w:iCs/>
          <w:color w:val="000000"/>
        </w:rPr>
        <w:drawing>
          <wp:inline distT="0" distB="0" distL="0" distR="0" wp14:anchorId="247874D2" wp14:editId="3C2657C8">
            <wp:extent cx="3988191" cy="332349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0">
                      <a:extLst>
                        <a:ext uri="{28A0092B-C50C-407E-A947-70E740481C1C}">
                          <a14:useLocalDpi xmlns:a14="http://schemas.microsoft.com/office/drawing/2010/main" val="0"/>
                        </a:ext>
                      </a:extLst>
                    </a:blip>
                    <a:srcRect r="32565" b="31034"/>
                    <a:stretch/>
                  </pic:blipFill>
                  <pic:spPr bwMode="auto">
                    <a:xfrm>
                      <a:off x="0" y="0"/>
                      <a:ext cx="3998832" cy="3332360"/>
                    </a:xfrm>
                    <a:prstGeom prst="rect">
                      <a:avLst/>
                    </a:prstGeom>
                    <a:noFill/>
                    <a:ln>
                      <a:noFill/>
                    </a:ln>
                    <a:extLst>
                      <a:ext uri="{53640926-AAD7-44D8-BBD7-CCE9431645EC}">
                        <a14:shadowObscured xmlns:a14="http://schemas.microsoft.com/office/drawing/2010/main"/>
                      </a:ext>
                    </a:extLst>
                  </pic:spPr>
                </pic:pic>
              </a:graphicData>
            </a:graphic>
          </wp:inline>
        </w:drawing>
      </w:r>
    </w:p>
    <w:sectPr w:rsidR="00B40512" w:rsidSect="00B40512">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EB"/>
    <w:rsid w:val="004D7F21"/>
    <w:rsid w:val="00B40512"/>
    <w:rsid w:val="00C77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2411"/>
  <w15:chartTrackingRefBased/>
  <w15:docId w15:val="{83777FDD-3DE8-478E-9029-7DBABDDB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B405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512"/>
    <w:rPr>
      <w:rFonts w:asciiTheme="majorHAnsi" w:eastAsiaTheme="majorEastAsia" w:hAnsiTheme="majorHAnsi" w:cstheme="majorBidi"/>
      <w:b/>
      <w:bCs/>
      <w:color w:val="2E74B5" w:themeColor="accent1" w:themeShade="BF"/>
      <w:sz w:val="28"/>
      <w:szCs w:val="28"/>
      <w:lang w:val="en-GB"/>
    </w:rPr>
  </w:style>
  <w:style w:type="table" w:styleId="TableGrid">
    <w:name w:val="Table Grid"/>
    <w:basedOn w:val="TableNormal"/>
    <w:uiPriority w:val="59"/>
    <w:rsid w:val="00B4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jpe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479</Words>
  <Characters>2731</Characters>
  <Application>Microsoft Office Word</Application>
  <DocSecurity>0</DocSecurity>
  <Lines>22</Lines>
  <Paragraphs>6</Paragraphs>
  <ScaleCrop>false</ScaleCrop>
  <Company>Microsoft</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Janipour</dc:creator>
  <cp:keywords/>
  <dc:description/>
  <cp:lastModifiedBy>zahra Janipour</cp:lastModifiedBy>
  <cp:revision>2</cp:revision>
  <dcterms:created xsi:type="dcterms:W3CDTF">2021-12-31T14:59:00Z</dcterms:created>
  <dcterms:modified xsi:type="dcterms:W3CDTF">2021-12-31T15:01:00Z</dcterms:modified>
</cp:coreProperties>
</file>