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78AB" w14:textId="12B5A18D" w:rsidR="00B94B6A" w:rsidRPr="009D16D8" w:rsidRDefault="00DF7A2F" w:rsidP="00D22DA0">
      <w:r>
        <w:t xml:space="preserve">Supplementary Table </w:t>
      </w:r>
      <w:r w:rsidR="007612D9">
        <w:t>2</w:t>
      </w:r>
      <w:r w:rsidR="00D22DA0">
        <w:t>:</w:t>
      </w:r>
      <w:r>
        <w:t xml:space="preserve"> </w:t>
      </w:r>
      <w:r w:rsidR="00B94B6A">
        <w:t xml:space="preserve">Comparison between results </w:t>
      </w:r>
      <w:r w:rsidR="00C726A1">
        <w:t>from</w:t>
      </w:r>
      <w:r w:rsidR="00B94B6A">
        <w:t xml:space="preserve"> models </w:t>
      </w:r>
      <w:r w:rsidR="00C726A1">
        <w:t>that included</w:t>
      </w:r>
      <w:r w:rsidR="00B94B6A">
        <w:t xml:space="preserve"> </w:t>
      </w:r>
      <w:r w:rsidR="009D16D8">
        <w:t xml:space="preserve">2,3, </w:t>
      </w:r>
      <w:r w:rsidR="00C726A1">
        <w:t>or</w:t>
      </w:r>
      <w:r w:rsidR="009D16D8">
        <w:t xml:space="preserve"> 10 </w:t>
      </w:r>
      <w:r w:rsidR="00205277">
        <w:t>PCs</w:t>
      </w:r>
      <w:r w:rsidR="00C726A1">
        <w:t xml:space="preserve">. </w:t>
      </w:r>
      <w:r w:rsidR="00B94B6A">
        <w:t xml:space="preserve">Here, </w:t>
      </w:r>
      <w:r w:rsidR="00C726A1">
        <w:t xml:space="preserve">correlations are Pearson correlations. </w:t>
      </w:r>
      <w:r w:rsidR="00B94B6A">
        <w:t xml:space="preserve">DMCs are defined as CpG sites with </w:t>
      </w:r>
      <w:proofErr w:type="spellStart"/>
      <w:r w:rsidR="00B94B6A">
        <w:t>Benjamini</w:t>
      </w:r>
      <w:proofErr w:type="spellEnd"/>
      <w:r w:rsidR="00B94B6A">
        <w:t xml:space="preserve">-Hochberg corrected P value </w:t>
      </w:r>
      <w:r w:rsidR="00B94B6A" w:rsidRPr="002E5901">
        <w:t>&lt;</w:t>
      </w:r>
      <w:r w:rsidR="00B94B6A">
        <w:t xml:space="preserve"> 0.05 (before spatial adjustment) and </w:t>
      </w:r>
      <w:proofErr w:type="spellStart"/>
      <w:r w:rsidR="00B94B6A">
        <w:t>CpGs</w:t>
      </w:r>
      <w:proofErr w:type="spellEnd"/>
      <w:r w:rsidR="00B94B6A">
        <w:t xml:space="preserve"> within candidate DMRs are all CpG sites with empirically FDR-controlled spatially adjusted P value </w:t>
      </w:r>
      <w:r w:rsidR="00B94B6A" w:rsidRPr="002E5901">
        <w:t>&lt;</w:t>
      </w:r>
      <w:r w:rsidR="00B94B6A">
        <w:t xml:space="preserve"> 0.05.</w:t>
      </w:r>
      <w:r w:rsidR="009D16D8">
        <w:t xml:space="preserve"> A permutation analysis was only performed for </w:t>
      </w:r>
      <w:r w:rsidR="00C726A1">
        <w:t>one variable (sex) for the models with 3 and 10 principal components</w:t>
      </w:r>
      <w:r w:rsidR="009D16D8">
        <w:t xml:space="preserve"> (therefore overlaps between candidate DMRs are not shown for other variables). The percentages are percentages of the original detections</w:t>
      </w:r>
      <w:r w:rsidR="00C726A1">
        <w:t xml:space="preserve"> that are reported in the main text Table 1</w:t>
      </w:r>
      <w:r w:rsidR="009D16D8">
        <w:t xml:space="preserve"> (</w:t>
      </w:r>
      <w:r w:rsidR="00C726A1">
        <w:t xml:space="preserve">from the </w:t>
      </w:r>
      <w:r w:rsidR="009D16D8">
        <w:t xml:space="preserve">model that included 2 </w:t>
      </w:r>
      <w:r w:rsidR="007612D9">
        <w:t>PCs</w:t>
      </w:r>
      <w:r w:rsidR="009D16D8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633"/>
        <w:gridCol w:w="1629"/>
        <w:gridCol w:w="1843"/>
        <w:gridCol w:w="2075"/>
      </w:tblGrid>
      <w:tr w:rsidR="00B94B6A" w:rsidRPr="007612D9" w14:paraId="403F80AB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5536A457" w14:textId="77777777" w:rsidR="00B94B6A" w:rsidRPr="009D16D8" w:rsidRDefault="00B94B6A" w:rsidP="002A687A">
            <w:pPr>
              <w:pStyle w:val="NoSpacing"/>
              <w:rPr>
                <w:lang w:val="en-US"/>
              </w:rPr>
            </w:pPr>
          </w:p>
          <w:p w14:paraId="2C4B902C" w14:textId="77777777" w:rsidR="00B94B6A" w:rsidRPr="009D16D8" w:rsidRDefault="00B94B6A" w:rsidP="002A687A">
            <w:pPr>
              <w:pStyle w:val="NoSpacing"/>
              <w:rPr>
                <w:lang w:val="en-US"/>
              </w:rPr>
            </w:pPr>
          </w:p>
        </w:tc>
        <w:tc>
          <w:tcPr>
            <w:tcW w:w="1633" w:type="dxa"/>
            <w:noWrap/>
            <w:hideMark/>
          </w:tcPr>
          <w:p w14:paraId="69E6B768" w14:textId="77777777" w:rsidR="00B94B6A" w:rsidRPr="00B94B6A" w:rsidRDefault="00B94B6A" w:rsidP="002A687A">
            <w:pPr>
              <w:pStyle w:val="NoSpacing"/>
              <w:rPr>
                <w:lang w:val="en-US"/>
              </w:rPr>
            </w:pPr>
            <w:r w:rsidRPr="00B94B6A">
              <w:rPr>
                <w:lang w:val="en-US"/>
              </w:rPr>
              <w:t>Correlation between</w:t>
            </w:r>
            <w:r>
              <w:rPr>
                <w:lang w:val="en-US"/>
              </w:rPr>
              <w:t xml:space="preserve"> log</w:t>
            </w:r>
            <w:r w:rsidRPr="00B94B6A"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(P values),</w:t>
            </w:r>
            <w:r w:rsidRPr="00B94B6A">
              <w:rPr>
                <w:lang w:val="en-US"/>
              </w:rPr>
              <w:t xml:space="preserve"> 2PC </w:t>
            </w:r>
            <w:r>
              <w:rPr>
                <w:lang w:val="en-US"/>
              </w:rPr>
              <w:t>vs.</w:t>
            </w:r>
            <w:r w:rsidRPr="00B94B6A">
              <w:rPr>
                <w:lang w:val="en-US"/>
              </w:rPr>
              <w:t xml:space="preserve"> 3PC model</w:t>
            </w:r>
          </w:p>
        </w:tc>
        <w:tc>
          <w:tcPr>
            <w:tcW w:w="1629" w:type="dxa"/>
            <w:noWrap/>
            <w:hideMark/>
          </w:tcPr>
          <w:p w14:paraId="5316FF4D" w14:textId="77777777" w:rsidR="00B94B6A" w:rsidRPr="00B94B6A" w:rsidRDefault="00B94B6A" w:rsidP="002A687A">
            <w:pPr>
              <w:pStyle w:val="NoSpacing"/>
              <w:rPr>
                <w:lang w:val="en-US"/>
              </w:rPr>
            </w:pPr>
            <w:r w:rsidRPr="00B94B6A">
              <w:rPr>
                <w:lang w:val="en-US"/>
              </w:rPr>
              <w:t>Correlation between</w:t>
            </w:r>
            <w:r>
              <w:rPr>
                <w:lang w:val="en-US"/>
              </w:rPr>
              <w:t xml:space="preserve"> log</w:t>
            </w:r>
            <w:r w:rsidRPr="00B94B6A"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(P values),</w:t>
            </w:r>
            <w:r w:rsidRPr="00B94B6A">
              <w:rPr>
                <w:lang w:val="en-US"/>
              </w:rPr>
              <w:t xml:space="preserve"> 2PC </w:t>
            </w:r>
            <w:r>
              <w:rPr>
                <w:lang w:val="en-US"/>
              </w:rPr>
              <w:t>vs.</w:t>
            </w:r>
            <w:r w:rsidRPr="00B94B6A">
              <w:rPr>
                <w:lang w:val="en-US"/>
              </w:rPr>
              <w:t xml:space="preserve"> 10PC model</w:t>
            </w:r>
          </w:p>
        </w:tc>
        <w:tc>
          <w:tcPr>
            <w:tcW w:w="1843" w:type="dxa"/>
            <w:noWrap/>
            <w:hideMark/>
          </w:tcPr>
          <w:p w14:paraId="344D03BE" w14:textId="77777777" w:rsidR="00B94B6A" w:rsidRPr="00B94B6A" w:rsidRDefault="00B94B6A" w:rsidP="002A687A">
            <w:pPr>
              <w:pStyle w:val="NoSpacing"/>
              <w:rPr>
                <w:lang w:val="en-US"/>
              </w:rPr>
            </w:pPr>
            <w:r w:rsidRPr="00B94B6A">
              <w:rPr>
                <w:lang w:val="en-US"/>
              </w:rPr>
              <w:t>DMCs, overlap between 2PC and 3PC model</w:t>
            </w:r>
          </w:p>
        </w:tc>
        <w:tc>
          <w:tcPr>
            <w:tcW w:w="2075" w:type="dxa"/>
            <w:noWrap/>
            <w:hideMark/>
          </w:tcPr>
          <w:p w14:paraId="0995508A" w14:textId="77777777" w:rsidR="00B94B6A" w:rsidRPr="00B94B6A" w:rsidRDefault="00B94B6A" w:rsidP="002A687A">
            <w:pPr>
              <w:pStyle w:val="NoSpacing"/>
              <w:rPr>
                <w:lang w:val="en-US"/>
              </w:rPr>
            </w:pPr>
            <w:r w:rsidRPr="00B94B6A">
              <w:rPr>
                <w:lang w:val="en-US"/>
              </w:rPr>
              <w:t>DMCs, overlap between 2PC and 10PC model</w:t>
            </w:r>
          </w:p>
        </w:tc>
      </w:tr>
      <w:tr w:rsidR="00B94B6A" w:rsidRPr="00B94B6A" w14:paraId="7B1D37F8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5F380559" w14:textId="77777777" w:rsidR="00B94B6A" w:rsidRPr="00B94B6A" w:rsidRDefault="00B94B6A" w:rsidP="002A687A">
            <w:pPr>
              <w:pStyle w:val="NoSpacing"/>
            </w:pPr>
            <w:proofErr w:type="spellStart"/>
            <w:r w:rsidRPr="00B94B6A">
              <w:t>Age</w:t>
            </w:r>
            <w:proofErr w:type="spellEnd"/>
            <w:r w:rsidRPr="00B94B6A">
              <w:t xml:space="preserve">, </w:t>
            </w:r>
            <w:proofErr w:type="spellStart"/>
            <w:r w:rsidRPr="00B94B6A">
              <w:t>mother</w:t>
            </w:r>
            <w:proofErr w:type="spellEnd"/>
          </w:p>
        </w:tc>
        <w:tc>
          <w:tcPr>
            <w:tcW w:w="1633" w:type="dxa"/>
            <w:noWrap/>
            <w:hideMark/>
          </w:tcPr>
          <w:p w14:paraId="03321063" w14:textId="77777777" w:rsidR="00B94B6A" w:rsidRPr="00B94B6A" w:rsidRDefault="00B94B6A" w:rsidP="002A687A">
            <w:pPr>
              <w:pStyle w:val="NoSpacing"/>
            </w:pPr>
            <w:r w:rsidRPr="00B94B6A">
              <w:t>0.996</w:t>
            </w:r>
          </w:p>
        </w:tc>
        <w:tc>
          <w:tcPr>
            <w:tcW w:w="1629" w:type="dxa"/>
            <w:noWrap/>
            <w:hideMark/>
          </w:tcPr>
          <w:p w14:paraId="32AB4C67" w14:textId="77777777" w:rsidR="00B94B6A" w:rsidRPr="00B94B6A" w:rsidRDefault="00B94B6A" w:rsidP="002A687A">
            <w:pPr>
              <w:pStyle w:val="NoSpacing"/>
            </w:pPr>
            <w:r w:rsidRPr="00B94B6A">
              <w:t>0.937</w:t>
            </w:r>
          </w:p>
        </w:tc>
        <w:tc>
          <w:tcPr>
            <w:tcW w:w="1843" w:type="dxa"/>
            <w:noWrap/>
            <w:hideMark/>
          </w:tcPr>
          <w:p w14:paraId="709EEC3A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  <w:tc>
          <w:tcPr>
            <w:tcW w:w="2075" w:type="dxa"/>
            <w:noWrap/>
            <w:hideMark/>
          </w:tcPr>
          <w:p w14:paraId="1BD951A0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</w:tr>
      <w:tr w:rsidR="00B94B6A" w:rsidRPr="00B94B6A" w14:paraId="6651AC91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2AF924EC" w14:textId="77777777" w:rsidR="00B94B6A" w:rsidRPr="00B94B6A" w:rsidRDefault="00B94B6A" w:rsidP="002A687A">
            <w:pPr>
              <w:pStyle w:val="NoSpacing"/>
            </w:pPr>
            <w:proofErr w:type="spellStart"/>
            <w:r w:rsidRPr="00B94B6A">
              <w:t>Apgar</w:t>
            </w:r>
            <w:proofErr w:type="spellEnd"/>
            <w:r w:rsidRPr="00B94B6A">
              <w:t xml:space="preserve"> </w:t>
            </w:r>
            <w:proofErr w:type="spellStart"/>
            <w:r w:rsidRPr="00B94B6A">
              <w:t>points</w:t>
            </w:r>
            <w:proofErr w:type="spellEnd"/>
            <w:r w:rsidRPr="00B94B6A">
              <w:t xml:space="preserve"> </w:t>
            </w:r>
            <w:proofErr w:type="spellStart"/>
            <w:r w:rsidRPr="00B94B6A">
              <w:t>low</w:t>
            </w:r>
            <w:proofErr w:type="spellEnd"/>
          </w:p>
        </w:tc>
        <w:tc>
          <w:tcPr>
            <w:tcW w:w="1633" w:type="dxa"/>
            <w:noWrap/>
            <w:hideMark/>
          </w:tcPr>
          <w:p w14:paraId="330A4714" w14:textId="77777777" w:rsidR="00B94B6A" w:rsidRPr="00B94B6A" w:rsidRDefault="00B94B6A" w:rsidP="002A687A">
            <w:pPr>
              <w:pStyle w:val="NoSpacing"/>
            </w:pPr>
            <w:r w:rsidRPr="00B94B6A">
              <w:t>0.994</w:t>
            </w:r>
          </w:p>
        </w:tc>
        <w:tc>
          <w:tcPr>
            <w:tcW w:w="1629" w:type="dxa"/>
            <w:noWrap/>
            <w:hideMark/>
          </w:tcPr>
          <w:p w14:paraId="2C559FD6" w14:textId="77777777" w:rsidR="00B94B6A" w:rsidRPr="00B94B6A" w:rsidRDefault="00B94B6A" w:rsidP="002A687A">
            <w:pPr>
              <w:pStyle w:val="NoSpacing"/>
            </w:pPr>
            <w:r w:rsidRPr="00B94B6A">
              <w:t>0.912</w:t>
            </w:r>
          </w:p>
        </w:tc>
        <w:tc>
          <w:tcPr>
            <w:tcW w:w="1843" w:type="dxa"/>
            <w:noWrap/>
            <w:hideMark/>
          </w:tcPr>
          <w:p w14:paraId="6BE198DA" w14:textId="77777777" w:rsidR="00B94B6A" w:rsidRPr="00B94B6A" w:rsidRDefault="00B94B6A" w:rsidP="002A687A">
            <w:pPr>
              <w:pStyle w:val="NoSpacing"/>
            </w:pPr>
            <w:r w:rsidRPr="00B94B6A">
              <w:t>2 (100 %)</w:t>
            </w:r>
          </w:p>
        </w:tc>
        <w:tc>
          <w:tcPr>
            <w:tcW w:w="2075" w:type="dxa"/>
            <w:noWrap/>
            <w:hideMark/>
          </w:tcPr>
          <w:p w14:paraId="48B1C14E" w14:textId="77777777" w:rsidR="00B94B6A" w:rsidRPr="00B94B6A" w:rsidRDefault="00B94B6A" w:rsidP="002A687A">
            <w:pPr>
              <w:pStyle w:val="NoSpacing"/>
            </w:pPr>
            <w:r w:rsidRPr="00B94B6A">
              <w:t>1 (50 %)</w:t>
            </w:r>
          </w:p>
        </w:tc>
      </w:tr>
      <w:tr w:rsidR="00B94B6A" w:rsidRPr="00B94B6A" w14:paraId="55DAD6A1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665631B5" w14:textId="77777777" w:rsidR="00B94B6A" w:rsidRPr="00B94B6A" w:rsidRDefault="00B94B6A" w:rsidP="002A687A">
            <w:pPr>
              <w:pStyle w:val="NoSpacing"/>
            </w:pPr>
            <w:proofErr w:type="spellStart"/>
            <w:r w:rsidRPr="00B94B6A">
              <w:t>Birth</w:t>
            </w:r>
            <w:proofErr w:type="spellEnd"/>
            <w:r w:rsidRPr="00B94B6A">
              <w:t xml:space="preserve"> </w:t>
            </w:r>
            <w:proofErr w:type="spellStart"/>
            <w:r w:rsidRPr="00B94B6A">
              <w:t>weight</w:t>
            </w:r>
            <w:proofErr w:type="spellEnd"/>
          </w:p>
        </w:tc>
        <w:tc>
          <w:tcPr>
            <w:tcW w:w="1633" w:type="dxa"/>
            <w:noWrap/>
            <w:hideMark/>
          </w:tcPr>
          <w:p w14:paraId="13BDD056" w14:textId="77777777" w:rsidR="00B94B6A" w:rsidRPr="00B94B6A" w:rsidRDefault="00B94B6A" w:rsidP="002A687A">
            <w:pPr>
              <w:pStyle w:val="NoSpacing"/>
            </w:pPr>
            <w:r w:rsidRPr="00B94B6A">
              <w:t>0.981</w:t>
            </w:r>
          </w:p>
        </w:tc>
        <w:tc>
          <w:tcPr>
            <w:tcW w:w="1629" w:type="dxa"/>
            <w:noWrap/>
            <w:hideMark/>
          </w:tcPr>
          <w:p w14:paraId="73EE3613" w14:textId="77777777" w:rsidR="00B94B6A" w:rsidRPr="00B94B6A" w:rsidRDefault="00B94B6A" w:rsidP="002A687A">
            <w:pPr>
              <w:pStyle w:val="NoSpacing"/>
            </w:pPr>
            <w:r w:rsidRPr="00B94B6A">
              <w:t>0.849</w:t>
            </w:r>
          </w:p>
        </w:tc>
        <w:tc>
          <w:tcPr>
            <w:tcW w:w="1843" w:type="dxa"/>
            <w:noWrap/>
            <w:hideMark/>
          </w:tcPr>
          <w:p w14:paraId="149D7802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  <w:tc>
          <w:tcPr>
            <w:tcW w:w="2075" w:type="dxa"/>
            <w:noWrap/>
            <w:hideMark/>
          </w:tcPr>
          <w:p w14:paraId="78119700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</w:tr>
      <w:tr w:rsidR="00B94B6A" w:rsidRPr="00B94B6A" w14:paraId="6F2B6CB6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4768D39A" w14:textId="77777777" w:rsidR="00B94B6A" w:rsidRPr="00B94B6A" w:rsidRDefault="00B94B6A" w:rsidP="002A687A">
            <w:pPr>
              <w:pStyle w:val="NoSpacing"/>
            </w:pPr>
            <w:r w:rsidRPr="00B94B6A">
              <w:t xml:space="preserve">BMI, </w:t>
            </w:r>
            <w:proofErr w:type="spellStart"/>
            <w:r w:rsidRPr="00B94B6A">
              <w:t>mother</w:t>
            </w:r>
            <w:proofErr w:type="spellEnd"/>
          </w:p>
        </w:tc>
        <w:tc>
          <w:tcPr>
            <w:tcW w:w="1633" w:type="dxa"/>
            <w:noWrap/>
            <w:hideMark/>
          </w:tcPr>
          <w:p w14:paraId="1B8A911E" w14:textId="77777777" w:rsidR="00B94B6A" w:rsidRPr="00B94B6A" w:rsidRDefault="00B94B6A" w:rsidP="002A687A">
            <w:pPr>
              <w:pStyle w:val="NoSpacing"/>
            </w:pPr>
            <w:r w:rsidRPr="00B94B6A">
              <w:t xml:space="preserve">0.992 </w:t>
            </w:r>
          </w:p>
        </w:tc>
        <w:tc>
          <w:tcPr>
            <w:tcW w:w="1629" w:type="dxa"/>
            <w:noWrap/>
            <w:hideMark/>
          </w:tcPr>
          <w:p w14:paraId="2DEDDB08" w14:textId="77777777" w:rsidR="00B94B6A" w:rsidRPr="00B94B6A" w:rsidRDefault="00B94B6A" w:rsidP="002A687A">
            <w:pPr>
              <w:pStyle w:val="NoSpacing"/>
            </w:pPr>
            <w:r w:rsidRPr="00B94B6A">
              <w:t>0.944</w:t>
            </w:r>
          </w:p>
        </w:tc>
        <w:tc>
          <w:tcPr>
            <w:tcW w:w="1843" w:type="dxa"/>
            <w:noWrap/>
            <w:hideMark/>
          </w:tcPr>
          <w:p w14:paraId="18F87F0D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  <w:tc>
          <w:tcPr>
            <w:tcW w:w="2075" w:type="dxa"/>
            <w:noWrap/>
            <w:hideMark/>
          </w:tcPr>
          <w:p w14:paraId="102ED198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</w:tr>
      <w:tr w:rsidR="00B94B6A" w:rsidRPr="00B94B6A" w14:paraId="43263A8D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6FF680AB" w14:textId="77777777" w:rsidR="00B94B6A" w:rsidRPr="00B94B6A" w:rsidRDefault="00B94B6A" w:rsidP="002A687A">
            <w:pPr>
              <w:pStyle w:val="NoSpacing"/>
            </w:pPr>
            <w:r w:rsidRPr="00B94B6A">
              <w:t>C-</w:t>
            </w:r>
            <w:proofErr w:type="spellStart"/>
            <w:r w:rsidRPr="00B94B6A">
              <w:t>section</w:t>
            </w:r>
            <w:proofErr w:type="spellEnd"/>
          </w:p>
        </w:tc>
        <w:tc>
          <w:tcPr>
            <w:tcW w:w="1633" w:type="dxa"/>
            <w:noWrap/>
            <w:hideMark/>
          </w:tcPr>
          <w:p w14:paraId="5EB31861" w14:textId="77777777" w:rsidR="00B94B6A" w:rsidRPr="00B94B6A" w:rsidRDefault="00B94B6A" w:rsidP="002A687A">
            <w:pPr>
              <w:pStyle w:val="NoSpacing"/>
            </w:pPr>
            <w:r w:rsidRPr="00B94B6A">
              <w:t>0.995</w:t>
            </w:r>
          </w:p>
        </w:tc>
        <w:tc>
          <w:tcPr>
            <w:tcW w:w="1629" w:type="dxa"/>
            <w:noWrap/>
            <w:hideMark/>
          </w:tcPr>
          <w:p w14:paraId="17BB2F9C" w14:textId="77777777" w:rsidR="00B94B6A" w:rsidRPr="00B94B6A" w:rsidRDefault="00B94B6A" w:rsidP="002A687A">
            <w:pPr>
              <w:pStyle w:val="NoSpacing"/>
            </w:pPr>
            <w:r w:rsidRPr="00B94B6A">
              <w:t>0.945</w:t>
            </w:r>
          </w:p>
        </w:tc>
        <w:tc>
          <w:tcPr>
            <w:tcW w:w="1843" w:type="dxa"/>
            <w:noWrap/>
            <w:hideMark/>
          </w:tcPr>
          <w:p w14:paraId="031E3C82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  <w:tc>
          <w:tcPr>
            <w:tcW w:w="2075" w:type="dxa"/>
            <w:noWrap/>
            <w:hideMark/>
          </w:tcPr>
          <w:p w14:paraId="3A03E99F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</w:tr>
      <w:tr w:rsidR="00B94B6A" w:rsidRPr="00B94B6A" w14:paraId="7D5063D9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2CA11023" w14:textId="77777777" w:rsidR="00B94B6A" w:rsidRPr="00B94B6A" w:rsidRDefault="00B94B6A" w:rsidP="002A687A">
            <w:pPr>
              <w:pStyle w:val="NoSpacing"/>
            </w:pPr>
            <w:proofErr w:type="spellStart"/>
            <w:r w:rsidRPr="00B94B6A">
              <w:t>Earlier</w:t>
            </w:r>
            <w:proofErr w:type="spellEnd"/>
            <w:r w:rsidRPr="00B94B6A">
              <w:t xml:space="preserve"> </w:t>
            </w:r>
            <w:proofErr w:type="spellStart"/>
            <w:r w:rsidRPr="00B94B6A">
              <w:t>miscarriage</w:t>
            </w:r>
            <w:proofErr w:type="spellEnd"/>
            <w:r w:rsidRPr="00B94B6A">
              <w:t>(s)</w:t>
            </w:r>
          </w:p>
        </w:tc>
        <w:tc>
          <w:tcPr>
            <w:tcW w:w="1633" w:type="dxa"/>
            <w:noWrap/>
            <w:hideMark/>
          </w:tcPr>
          <w:p w14:paraId="39F4CB2F" w14:textId="77777777" w:rsidR="00B94B6A" w:rsidRPr="00B94B6A" w:rsidRDefault="00B94B6A" w:rsidP="002A687A">
            <w:pPr>
              <w:pStyle w:val="NoSpacing"/>
            </w:pPr>
            <w:r w:rsidRPr="00B94B6A">
              <w:t>0.995</w:t>
            </w:r>
          </w:p>
        </w:tc>
        <w:tc>
          <w:tcPr>
            <w:tcW w:w="1629" w:type="dxa"/>
            <w:noWrap/>
            <w:hideMark/>
          </w:tcPr>
          <w:p w14:paraId="7F2393F3" w14:textId="77777777" w:rsidR="00B94B6A" w:rsidRPr="00B94B6A" w:rsidRDefault="00B94B6A" w:rsidP="002A687A">
            <w:pPr>
              <w:pStyle w:val="NoSpacing"/>
            </w:pPr>
            <w:r w:rsidRPr="00B94B6A">
              <w:t>0.971</w:t>
            </w:r>
          </w:p>
        </w:tc>
        <w:tc>
          <w:tcPr>
            <w:tcW w:w="1843" w:type="dxa"/>
            <w:noWrap/>
            <w:hideMark/>
          </w:tcPr>
          <w:p w14:paraId="12EFD53B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  <w:tc>
          <w:tcPr>
            <w:tcW w:w="2075" w:type="dxa"/>
            <w:noWrap/>
            <w:hideMark/>
          </w:tcPr>
          <w:p w14:paraId="15D3E6F8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</w:tr>
      <w:tr w:rsidR="00B94B6A" w:rsidRPr="00B94B6A" w14:paraId="7C35B0F6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10137F09" w14:textId="77777777" w:rsidR="00B94B6A" w:rsidRPr="00B94B6A" w:rsidRDefault="00B94B6A" w:rsidP="002A687A">
            <w:pPr>
              <w:pStyle w:val="NoSpacing"/>
            </w:pPr>
            <w:proofErr w:type="spellStart"/>
            <w:r w:rsidRPr="00B94B6A">
              <w:t>Epidural</w:t>
            </w:r>
            <w:proofErr w:type="spellEnd"/>
            <w:r w:rsidRPr="00B94B6A">
              <w:t xml:space="preserve"> </w:t>
            </w:r>
            <w:proofErr w:type="spellStart"/>
            <w:r w:rsidRPr="00B94B6A">
              <w:t>anaesthetic</w:t>
            </w:r>
            <w:proofErr w:type="spellEnd"/>
          </w:p>
        </w:tc>
        <w:tc>
          <w:tcPr>
            <w:tcW w:w="1633" w:type="dxa"/>
            <w:noWrap/>
            <w:hideMark/>
          </w:tcPr>
          <w:p w14:paraId="56FD31D8" w14:textId="77777777" w:rsidR="00B94B6A" w:rsidRPr="00B94B6A" w:rsidRDefault="00B94B6A" w:rsidP="002A687A">
            <w:pPr>
              <w:pStyle w:val="NoSpacing"/>
            </w:pPr>
            <w:r w:rsidRPr="00B94B6A">
              <w:t>0.946</w:t>
            </w:r>
          </w:p>
        </w:tc>
        <w:tc>
          <w:tcPr>
            <w:tcW w:w="1629" w:type="dxa"/>
            <w:noWrap/>
            <w:hideMark/>
          </w:tcPr>
          <w:p w14:paraId="4A6E0070" w14:textId="77777777" w:rsidR="00B94B6A" w:rsidRPr="00B94B6A" w:rsidRDefault="00B94B6A" w:rsidP="002A687A">
            <w:pPr>
              <w:pStyle w:val="NoSpacing"/>
            </w:pPr>
            <w:r w:rsidRPr="00B94B6A">
              <w:t>0.863</w:t>
            </w:r>
          </w:p>
        </w:tc>
        <w:tc>
          <w:tcPr>
            <w:tcW w:w="1843" w:type="dxa"/>
            <w:noWrap/>
            <w:hideMark/>
          </w:tcPr>
          <w:p w14:paraId="7913A1C6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  <w:tc>
          <w:tcPr>
            <w:tcW w:w="2075" w:type="dxa"/>
            <w:noWrap/>
            <w:hideMark/>
          </w:tcPr>
          <w:p w14:paraId="01322803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</w:tr>
      <w:tr w:rsidR="00B94B6A" w:rsidRPr="00B94B6A" w14:paraId="0795782D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32D2BE36" w14:textId="77777777" w:rsidR="00B94B6A" w:rsidRPr="00B94B6A" w:rsidRDefault="00B94B6A" w:rsidP="002A687A">
            <w:pPr>
              <w:pStyle w:val="NoSpacing"/>
            </w:pPr>
            <w:proofErr w:type="spellStart"/>
            <w:r w:rsidRPr="00B94B6A">
              <w:t>Gestational</w:t>
            </w:r>
            <w:proofErr w:type="spellEnd"/>
            <w:r w:rsidRPr="00B94B6A">
              <w:t xml:space="preserve"> </w:t>
            </w:r>
            <w:proofErr w:type="spellStart"/>
            <w:r w:rsidRPr="00B94B6A">
              <w:t>weight</w:t>
            </w:r>
            <w:proofErr w:type="spellEnd"/>
            <w:r w:rsidRPr="00B94B6A">
              <w:t xml:space="preserve"> </w:t>
            </w:r>
            <w:proofErr w:type="spellStart"/>
            <w:r w:rsidRPr="00B94B6A">
              <w:t>gain</w:t>
            </w:r>
            <w:proofErr w:type="spellEnd"/>
            <w:r w:rsidRPr="00B94B6A">
              <w:t xml:space="preserve">, </w:t>
            </w:r>
            <w:proofErr w:type="spellStart"/>
            <w:r w:rsidRPr="00B94B6A">
              <w:t>mother</w:t>
            </w:r>
            <w:proofErr w:type="spellEnd"/>
          </w:p>
        </w:tc>
        <w:tc>
          <w:tcPr>
            <w:tcW w:w="1633" w:type="dxa"/>
            <w:noWrap/>
            <w:hideMark/>
          </w:tcPr>
          <w:p w14:paraId="59D7F1C3" w14:textId="77777777" w:rsidR="00B94B6A" w:rsidRPr="00B94B6A" w:rsidRDefault="00B94B6A" w:rsidP="002A687A">
            <w:pPr>
              <w:pStyle w:val="NoSpacing"/>
            </w:pPr>
            <w:r w:rsidRPr="00B94B6A">
              <w:t>0.997</w:t>
            </w:r>
          </w:p>
        </w:tc>
        <w:tc>
          <w:tcPr>
            <w:tcW w:w="1629" w:type="dxa"/>
            <w:noWrap/>
            <w:hideMark/>
          </w:tcPr>
          <w:p w14:paraId="4C629F01" w14:textId="77777777" w:rsidR="00B94B6A" w:rsidRPr="00B94B6A" w:rsidRDefault="00B94B6A" w:rsidP="002A687A">
            <w:pPr>
              <w:pStyle w:val="NoSpacing"/>
            </w:pPr>
            <w:r w:rsidRPr="00B94B6A">
              <w:t>0.927</w:t>
            </w:r>
          </w:p>
        </w:tc>
        <w:tc>
          <w:tcPr>
            <w:tcW w:w="1843" w:type="dxa"/>
            <w:noWrap/>
            <w:hideMark/>
          </w:tcPr>
          <w:p w14:paraId="7E7AC90B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  <w:tc>
          <w:tcPr>
            <w:tcW w:w="2075" w:type="dxa"/>
            <w:noWrap/>
            <w:hideMark/>
          </w:tcPr>
          <w:p w14:paraId="477FA97A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</w:tr>
      <w:tr w:rsidR="00B94B6A" w:rsidRPr="00B94B6A" w14:paraId="23556C5C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0C301B6F" w14:textId="77777777" w:rsidR="00B94B6A" w:rsidRPr="00B94B6A" w:rsidRDefault="00B94B6A" w:rsidP="002A687A">
            <w:pPr>
              <w:pStyle w:val="NoSpacing"/>
            </w:pPr>
            <w:proofErr w:type="spellStart"/>
            <w:r w:rsidRPr="00B94B6A">
              <w:t>Height</w:t>
            </w:r>
            <w:proofErr w:type="spellEnd"/>
            <w:r w:rsidRPr="00B94B6A">
              <w:t xml:space="preserve">, </w:t>
            </w:r>
            <w:proofErr w:type="spellStart"/>
            <w:r w:rsidRPr="00B94B6A">
              <w:t>mother</w:t>
            </w:r>
            <w:proofErr w:type="spellEnd"/>
          </w:p>
        </w:tc>
        <w:tc>
          <w:tcPr>
            <w:tcW w:w="1633" w:type="dxa"/>
            <w:noWrap/>
            <w:hideMark/>
          </w:tcPr>
          <w:p w14:paraId="2C9936EF" w14:textId="77777777" w:rsidR="00B94B6A" w:rsidRPr="00B94B6A" w:rsidRDefault="00B94B6A" w:rsidP="002A687A">
            <w:pPr>
              <w:pStyle w:val="NoSpacing"/>
            </w:pPr>
            <w:r w:rsidRPr="00B94B6A">
              <w:t>0.993</w:t>
            </w:r>
          </w:p>
        </w:tc>
        <w:tc>
          <w:tcPr>
            <w:tcW w:w="1629" w:type="dxa"/>
            <w:noWrap/>
            <w:hideMark/>
          </w:tcPr>
          <w:p w14:paraId="0CDD3EDA" w14:textId="77777777" w:rsidR="00B94B6A" w:rsidRPr="00B94B6A" w:rsidRDefault="00B94B6A" w:rsidP="002A687A">
            <w:pPr>
              <w:pStyle w:val="NoSpacing"/>
            </w:pPr>
            <w:r w:rsidRPr="00B94B6A">
              <w:t>0.907</w:t>
            </w:r>
          </w:p>
        </w:tc>
        <w:tc>
          <w:tcPr>
            <w:tcW w:w="1843" w:type="dxa"/>
            <w:noWrap/>
            <w:hideMark/>
          </w:tcPr>
          <w:p w14:paraId="1EC0E460" w14:textId="77777777" w:rsidR="00B94B6A" w:rsidRPr="00B94B6A" w:rsidRDefault="00B94B6A" w:rsidP="002A687A">
            <w:pPr>
              <w:pStyle w:val="NoSpacing"/>
            </w:pPr>
            <w:r w:rsidRPr="00B94B6A">
              <w:t>3 (100 %)</w:t>
            </w:r>
          </w:p>
        </w:tc>
        <w:tc>
          <w:tcPr>
            <w:tcW w:w="2075" w:type="dxa"/>
            <w:noWrap/>
            <w:hideMark/>
          </w:tcPr>
          <w:p w14:paraId="6905ECAC" w14:textId="77777777" w:rsidR="00B94B6A" w:rsidRPr="00B94B6A" w:rsidRDefault="00B94B6A" w:rsidP="002A687A">
            <w:pPr>
              <w:pStyle w:val="NoSpacing"/>
            </w:pPr>
            <w:r w:rsidRPr="00B94B6A">
              <w:t>2 (66.7 %)</w:t>
            </w:r>
          </w:p>
        </w:tc>
      </w:tr>
      <w:tr w:rsidR="00B94B6A" w:rsidRPr="00B94B6A" w14:paraId="78A6FD46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1F2AD227" w14:textId="77777777" w:rsidR="00B94B6A" w:rsidRPr="00B94B6A" w:rsidRDefault="00B94B6A" w:rsidP="002A687A">
            <w:pPr>
              <w:pStyle w:val="NoSpacing"/>
            </w:pPr>
            <w:proofErr w:type="spellStart"/>
            <w:r w:rsidRPr="00B94B6A">
              <w:t>Induced</w:t>
            </w:r>
            <w:proofErr w:type="spellEnd"/>
            <w:r w:rsidRPr="00B94B6A">
              <w:t xml:space="preserve"> </w:t>
            </w:r>
            <w:proofErr w:type="spellStart"/>
            <w:r w:rsidRPr="00B94B6A">
              <w:t>labor</w:t>
            </w:r>
            <w:proofErr w:type="spellEnd"/>
          </w:p>
        </w:tc>
        <w:tc>
          <w:tcPr>
            <w:tcW w:w="1633" w:type="dxa"/>
            <w:noWrap/>
            <w:hideMark/>
          </w:tcPr>
          <w:p w14:paraId="48CCD5A5" w14:textId="77777777" w:rsidR="00B94B6A" w:rsidRPr="00B94B6A" w:rsidRDefault="00B94B6A" w:rsidP="002A687A">
            <w:pPr>
              <w:pStyle w:val="NoSpacing"/>
            </w:pPr>
            <w:r w:rsidRPr="00B94B6A">
              <w:t>0.990</w:t>
            </w:r>
          </w:p>
        </w:tc>
        <w:tc>
          <w:tcPr>
            <w:tcW w:w="1629" w:type="dxa"/>
            <w:noWrap/>
            <w:hideMark/>
          </w:tcPr>
          <w:p w14:paraId="752CEC9C" w14:textId="77777777" w:rsidR="00B94B6A" w:rsidRPr="00B94B6A" w:rsidRDefault="00B94B6A" w:rsidP="002A687A">
            <w:pPr>
              <w:pStyle w:val="NoSpacing"/>
            </w:pPr>
            <w:r w:rsidRPr="00B94B6A">
              <w:t>0.938</w:t>
            </w:r>
          </w:p>
        </w:tc>
        <w:tc>
          <w:tcPr>
            <w:tcW w:w="1843" w:type="dxa"/>
            <w:noWrap/>
            <w:hideMark/>
          </w:tcPr>
          <w:p w14:paraId="577E1C6C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  <w:tc>
          <w:tcPr>
            <w:tcW w:w="2075" w:type="dxa"/>
            <w:noWrap/>
            <w:hideMark/>
          </w:tcPr>
          <w:p w14:paraId="1C154FE6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</w:tr>
      <w:tr w:rsidR="00B94B6A" w:rsidRPr="00B94B6A" w14:paraId="461B0ECF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394F54A6" w14:textId="77777777" w:rsidR="00B94B6A" w:rsidRPr="00B94B6A" w:rsidRDefault="00B94B6A" w:rsidP="002A687A">
            <w:pPr>
              <w:pStyle w:val="NoSpacing"/>
            </w:pPr>
            <w:proofErr w:type="spellStart"/>
            <w:r w:rsidRPr="00B94B6A">
              <w:t>Insulin-treated</w:t>
            </w:r>
            <w:proofErr w:type="spellEnd"/>
            <w:r w:rsidRPr="00B94B6A">
              <w:t xml:space="preserve"> diabetes, </w:t>
            </w:r>
            <w:proofErr w:type="spellStart"/>
            <w:r w:rsidRPr="00B94B6A">
              <w:t>mother</w:t>
            </w:r>
            <w:proofErr w:type="spellEnd"/>
          </w:p>
        </w:tc>
        <w:tc>
          <w:tcPr>
            <w:tcW w:w="1633" w:type="dxa"/>
            <w:noWrap/>
            <w:hideMark/>
          </w:tcPr>
          <w:p w14:paraId="336F45A3" w14:textId="77777777" w:rsidR="00B94B6A" w:rsidRPr="00B94B6A" w:rsidRDefault="00B94B6A" w:rsidP="002A687A">
            <w:pPr>
              <w:pStyle w:val="NoSpacing"/>
            </w:pPr>
            <w:r w:rsidRPr="00B94B6A">
              <w:t>0.973</w:t>
            </w:r>
          </w:p>
        </w:tc>
        <w:tc>
          <w:tcPr>
            <w:tcW w:w="1629" w:type="dxa"/>
            <w:noWrap/>
            <w:hideMark/>
          </w:tcPr>
          <w:p w14:paraId="4ECF562E" w14:textId="77777777" w:rsidR="00B94B6A" w:rsidRPr="00B94B6A" w:rsidRDefault="00B94B6A" w:rsidP="002A687A">
            <w:pPr>
              <w:pStyle w:val="NoSpacing"/>
            </w:pPr>
            <w:r w:rsidRPr="00B94B6A">
              <w:t>0.901</w:t>
            </w:r>
          </w:p>
        </w:tc>
        <w:tc>
          <w:tcPr>
            <w:tcW w:w="1843" w:type="dxa"/>
            <w:noWrap/>
            <w:hideMark/>
          </w:tcPr>
          <w:p w14:paraId="032A05FF" w14:textId="77777777" w:rsidR="00B94B6A" w:rsidRPr="00B94B6A" w:rsidRDefault="00B94B6A" w:rsidP="002A687A">
            <w:pPr>
              <w:pStyle w:val="NoSpacing"/>
            </w:pPr>
            <w:r w:rsidRPr="00B94B6A">
              <w:t>4 (40 %)</w:t>
            </w:r>
          </w:p>
        </w:tc>
        <w:tc>
          <w:tcPr>
            <w:tcW w:w="2075" w:type="dxa"/>
            <w:noWrap/>
            <w:hideMark/>
          </w:tcPr>
          <w:p w14:paraId="7E34AE99" w14:textId="77777777" w:rsidR="00B94B6A" w:rsidRPr="00B94B6A" w:rsidRDefault="00B94B6A" w:rsidP="002A687A">
            <w:pPr>
              <w:pStyle w:val="NoSpacing"/>
            </w:pPr>
            <w:r w:rsidRPr="00B94B6A">
              <w:t>0</w:t>
            </w:r>
          </w:p>
        </w:tc>
      </w:tr>
      <w:tr w:rsidR="00B94B6A" w:rsidRPr="00B94B6A" w14:paraId="773331A9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1713E2E9" w14:textId="77777777" w:rsidR="00B94B6A" w:rsidRPr="00B94B6A" w:rsidRDefault="00B94B6A" w:rsidP="002A687A">
            <w:pPr>
              <w:pStyle w:val="NoSpacing"/>
              <w:rPr>
                <w:lang w:val="en-US"/>
              </w:rPr>
            </w:pPr>
            <w:r w:rsidRPr="00B94B6A">
              <w:rPr>
                <w:lang w:val="en-US"/>
              </w:rPr>
              <w:t>Month of birth (cosine transformed)</w:t>
            </w:r>
          </w:p>
        </w:tc>
        <w:tc>
          <w:tcPr>
            <w:tcW w:w="1633" w:type="dxa"/>
            <w:noWrap/>
            <w:hideMark/>
          </w:tcPr>
          <w:p w14:paraId="70F4B199" w14:textId="77777777" w:rsidR="00B94B6A" w:rsidRPr="00B94B6A" w:rsidRDefault="00B94B6A" w:rsidP="002A687A">
            <w:pPr>
              <w:pStyle w:val="NoSpacing"/>
            </w:pPr>
            <w:r w:rsidRPr="00B94B6A">
              <w:t>0.996</w:t>
            </w:r>
          </w:p>
        </w:tc>
        <w:tc>
          <w:tcPr>
            <w:tcW w:w="1629" w:type="dxa"/>
            <w:noWrap/>
            <w:hideMark/>
          </w:tcPr>
          <w:p w14:paraId="764E3A2F" w14:textId="77777777" w:rsidR="00B94B6A" w:rsidRPr="00B94B6A" w:rsidRDefault="00B94B6A" w:rsidP="002A687A">
            <w:pPr>
              <w:pStyle w:val="NoSpacing"/>
            </w:pPr>
            <w:r w:rsidRPr="00B94B6A">
              <w:t>0.941</w:t>
            </w:r>
          </w:p>
        </w:tc>
        <w:tc>
          <w:tcPr>
            <w:tcW w:w="1843" w:type="dxa"/>
            <w:noWrap/>
            <w:hideMark/>
          </w:tcPr>
          <w:p w14:paraId="321B03CD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  <w:tc>
          <w:tcPr>
            <w:tcW w:w="2075" w:type="dxa"/>
            <w:noWrap/>
            <w:hideMark/>
          </w:tcPr>
          <w:p w14:paraId="516DAA83" w14:textId="77777777" w:rsidR="00B94B6A" w:rsidRPr="00B94B6A" w:rsidRDefault="00B94B6A" w:rsidP="002A687A">
            <w:pPr>
              <w:pStyle w:val="NoSpacing"/>
            </w:pPr>
            <w:r w:rsidRPr="00B94B6A">
              <w:t>-</w:t>
            </w:r>
          </w:p>
        </w:tc>
      </w:tr>
      <w:tr w:rsidR="00B94B6A" w:rsidRPr="007612D9" w14:paraId="4D412348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02052AF1" w14:textId="77777777" w:rsidR="00B94B6A" w:rsidRPr="00B94B6A" w:rsidRDefault="00B94B6A" w:rsidP="002A687A">
            <w:pPr>
              <w:pStyle w:val="NoSpacing"/>
            </w:pPr>
            <w:r w:rsidRPr="00B94B6A">
              <w:t>Sex</w:t>
            </w:r>
          </w:p>
        </w:tc>
        <w:tc>
          <w:tcPr>
            <w:tcW w:w="1633" w:type="dxa"/>
            <w:noWrap/>
            <w:hideMark/>
          </w:tcPr>
          <w:p w14:paraId="1B4D0D7C" w14:textId="77777777" w:rsidR="00B94B6A" w:rsidRPr="00B94B6A" w:rsidRDefault="00B94B6A" w:rsidP="002A687A">
            <w:pPr>
              <w:pStyle w:val="NoSpacing"/>
            </w:pPr>
            <w:r w:rsidRPr="00B94B6A">
              <w:t>0.980</w:t>
            </w:r>
          </w:p>
        </w:tc>
        <w:tc>
          <w:tcPr>
            <w:tcW w:w="1629" w:type="dxa"/>
            <w:noWrap/>
            <w:hideMark/>
          </w:tcPr>
          <w:p w14:paraId="760B0EC9" w14:textId="77777777" w:rsidR="00B94B6A" w:rsidRPr="00B94B6A" w:rsidRDefault="00B94B6A" w:rsidP="002A687A">
            <w:pPr>
              <w:pStyle w:val="NoSpacing"/>
            </w:pPr>
            <w:r w:rsidRPr="00B94B6A">
              <w:t>0.871</w:t>
            </w:r>
          </w:p>
        </w:tc>
        <w:tc>
          <w:tcPr>
            <w:tcW w:w="1843" w:type="dxa"/>
            <w:noWrap/>
            <w:hideMark/>
          </w:tcPr>
          <w:p w14:paraId="21432377" w14:textId="77777777" w:rsidR="00B94B6A" w:rsidRPr="00B94B6A" w:rsidRDefault="00B94B6A" w:rsidP="002A687A">
            <w:pPr>
              <w:pStyle w:val="NoSpacing"/>
              <w:rPr>
                <w:lang w:val="en-US"/>
              </w:rPr>
            </w:pPr>
            <w:r w:rsidRPr="00B94B6A">
              <w:rPr>
                <w:lang w:val="en-US"/>
              </w:rPr>
              <w:t xml:space="preserve">1315 (92.2 %) DMCs, 5872 (92.8 %) </w:t>
            </w:r>
            <w:proofErr w:type="spellStart"/>
            <w:r w:rsidRPr="00B94B6A">
              <w:rPr>
                <w:lang w:val="en-US"/>
              </w:rPr>
              <w:t>CpGs</w:t>
            </w:r>
            <w:proofErr w:type="spellEnd"/>
            <w:r w:rsidRPr="00B94B6A">
              <w:rPr>
                <w:lang w:val="en-US"/>
              </w:rPr>
              <w:t xml:space="preserve"> within candidate DMRs</w:t>
            </w:r>
          </w:p>
        </w:tc>
        <w:tc>
          <w:tcPr>
            <w:tcW w:w="2075" w:type="dxa"/>
            <w:noWrap/>
            <w:hideMark/>
          </w:tcPr>
          <w:p w14:paraId="27B45C2E" w14:textId="77777777" w:rsidR="00B94B6A" w:rsidRPr="00B94B6A" w:rsidRDefault="00B94B6A" w:rsidP="002A687A">
            <w:pPr>
              <w:pStyle w:val="NoSpacing"/>
              <w:rPr>
                <w:lang w:val="en-US"/>
              </w:rPr>
            </w:pPr>
            <w:r w:rsidRPr="00B94B6A">
              <w:rPr>
                <w:lang w:val="en-US"/>
              </w:rPr>
              <w:t xml:space="preserve">889 (62.3 %) DMCs, 5288 (83.5 %) </w:t>
            </w:r>
            <w:proofErr w:type="spellStart"/>
            <w:r w:rsidRPr="00B94B6A">
              <w:rPr>
                <w:lang w:val="en-US"/>
              </w:rPr>
              <w:t>CpGs</w:t>
            </w:r>
            <w:proofErr w:type="spellEnd"/>
            <w:r w:rsidRPr="00B94B6A">
              <w:rPr>
                <w:lang w:val="en-US"/>
              </w:rPr>
              <w:t xml:space="preserve"> within candidate DMRs</w:t>
            </w:r>
          </w:p>
        </w:tc>
      </w:tr>
      <w:tr w:rsidR="00B94B6A" w:rsidRPr="00B94B6A" w14:paraId="7E26F107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56F36170" w14:textId="77777777" w:rsidR="00B94B6A" w:rsidRPr="00B94B6A" w:rsidRDefault="00B94B6A" w:rsidP="002A687A">
            <w:pPr>
              <w:pStyle w:val="NoSpacing"/>
            </w:pPr>
            <w:r w:rsidRPr="00B94B6A">
              <w:t xml:space="preserve">Smoking </w:t>
            </w:r>
            <w:proofErr w:type="spellStart"/>
            <w:r w:rsidRPr="00B94B6A">
              <w:t>during</w:t>
            </w:r>
            <w:proofErr w:type="spellEnd"/>
            <w:r w:rsidRPr="00B94B6A">
              <w:t xml:space="preserve"> </w:t>
            </w:r>
            <w:proofErr w:type="spellStart"/>
            <w:r w:rsidRPr="00B94B6A">
              <w:t>pregnancy</w:t>
            </w:r>
            <w:proofErr w:type="spellEnd"/>
            <w:r w:rsidRPr="00B94B6A">
              <w:t xml:space="preserve">, </w:t>
            </w:r>
            <w:proofErr w:type="spellStart"/>
            <w:r w:rsidRPr="00B94B6A">
              <w:t>mother</w:t>
            </w:r>
            <w:proofErr w:type="spellEnd"/>
          </w:p>
        </w:tc>
        <w:tc>
          <w:tcPr>
            <w:tcW w:w="1633" w:type="dxa"/>
            <w:noWrap/>
            <w:hideMark/>
          </w:tcPr>
          <w:p w14:paraId="51EDEF30" w14:textId="77777777" w:rsidR="00B94B6A" w:rsidRPr="00B94B6A" w:rsidRDefault="00B94B6A" w:rsidP="002A687A">
            <w:pPr>
              <w:pStyle w:val="NoSpacing"/>
            </w:pPr>
            <w:r w:rsidRPr="00B94B6A">
              <w:t>0.994</w:t>
            </w:r>
          </w:p>
        </w:tc>
        <w:tc>
          <w:tcPr>
            <w:tcW w:w="1629" w:type="dxa"/>
            <w:noWrap/>
            <w:hideMark/>
          </w:tcPr>
          <w:p w14:paraId="2FFDD4B0" w14:textId="77777777" w:rsidR="00B94B6A" w:rsidRPr="00B94B6A" w:rsidRDefault="00B94B6A" w:rsidP="002A687A">
            <w:pPr>
              <w:pStyle w:val="NoSpacing"/>
            </w:pPr>
            <w:r w:rsidRPr="00B94B6A">
              <w:t>0.961</w:t>
            </w:r>
          </w:p>
        </w:tc>
        <w:tc>
          <w:tcPr>
            <w:tcW w:w="1843" w:type="dxa"/>
            <w:noWrap/>
            <w:hideMark/>
          </w:tcPr>
          <w:p w14:paraId="37D52C05" w14:textId="77777777" w:rsidR="00B94B6A" w:rsidRPr="00B94B6A" w:rsidRDefault="00B94B6A" w:rsidP="002A687A">
            <w:pPr>
              <w:pStyle w:val="NoSpacing"/>
            </w:pPr>
            <w:r w:rsidRPr="00B94B6A">
              <w:t>1 (100 %)</w:t>
            </w:r>
          </w:p>
        </w:tc>
        <w:tc>
          <w:tcPr>
            <w:tcW w:w="2075" w:type="dxa"/>
            <w:noWrap/>
            <w:hideMark/>
          </w:tcPr>
          <w:p w14:paraId="08068B9E" w14:textId="77777777" w:rsidR="00B94B6A" w:rsidRPr="00B94B6A" w:rsidRDefault="00B94B6A" w:rsidP="002A687A">
            <w:pPr>
              <w:pStyle w:val="NoSpacing"/>
            </w:pPr>
            <w:r w:rsidRPr="00B94B6A">
              <w:t>0</w:t>
            </w:r>
          </w:p>
        </w:tc>
      </w:tr>
      <w:tr w:rsidR="00B94B6A" w:rsidRPr="00B94B6A" w14:paraId="03159FDD" w14:textId="77777777" w:rsidTr="002A687A">
        <w:trPr>
          <w:trHeight w:val="290"/>
        </w:trPr>
        <w:tc>
          <w:tcPr>
            <w:tcW w:w="1836" w:type="dxa"/>
            <w:noWrap/>
            <w:hideMark/>
          </w:tcPr>
          <w:p w14:paraId="36F9A86F" w14:textId="77777777" w:rsidR="00B94B6A" w:rsidRPr="00B94B6A" w:rsidRDefault="00B94B6A" w:rsidP="002A687A">
            <w:pPr>
              <w:pStyle w:val="NoSpacing"/>
            </w:pPr>
            <w:proofErr w:type="spellStart"/>
            <w:r w:rsidRPr="00B94B6A">
              <w:t>Year</w:t>
            </w:r>
            <w:proofErr w:type="spellEnd"/>
          </w:p>
        </w:tc>
        <w:tc>
          <w:tcPr>
            <w:tcW w:w="1633" w:type="dxa"/>
            <w:noWrap/>
            <w:hideMark/>
          </w:tcPr>
          <w:p w14:paraId="22BF6CCA" w14:textId="77777777" w:rsidR="00B94B6A" w:rsidRPr="00B94B6A" w:rsidRDefault="00B94B6A" w:rsidP="002A687A">
            <w:pPr>
              <w:pStyle w:val="NoSpacing"/>
            </w:pPr>
            <w:r w:rsidRPr="00B94B6A">
              <w:t>0.996</w:t>
            </w:r>
          </w:p>
        </w:tc>
        <w:tc>
          <w:tcPr>
            <w:tcW w:w="1629" w:type="dxa"/>
            <w:noWrap/>
            <w:hideMark/>
          </w:tcPr>
          <w:p w14:paraId="24BD3948" w14:textId="77777777" w:rsidR="00B94B6A" w:rsidRPr="00B94B6A" w:rsidRDefault="00B94B6A" w:rsidP="002A687A">
            <w:pPr>
              <w:pStyle w:val="NoSpacing"/>
            </w:pPr>
            <w:r w:rsidRPr="00B94B6A">
              <w:t>0.926</w:t>
            </w:r>
          </w:p>
        </w:tc>
        <w:tc>
          <w:tcPr>
            <w:tcW w:w="1843" w:type="dxa"/>
            <w:noWrap/>
            <w:hideMark/>
          </w:tcPr>
          <w:p w14:paraId="0A4B45F8" w14:textId="77777777" w:rsidR="00B94B6A" w:rsidRPr="00B94B6A" w:rsidRDefault="00B94B6A" w:rsidP="002A687A">
            <w:pPr>
              <w:pStyle w:val="NoSpacing"/>
            </w:pPr>
            <w:r w:rsidRPr="00B94B6A">
              <w:t>6 (100 %)</w:t>
            </w:r>
          </w:p>
        </w:tc>
        <w:tc>
          <w:tcPr>
            <w:tcW w:w="2075" w:type="dxa"/>
            <w:noWrap/>
            <w:hideMark/>
          </w:tcPr>
          <w:p w14:paraId="04C7E129" w14:textId="77777777" w:rsidR="00B94B6A" w:rsidRPr="00B94B6A" w:rsidRDefault="00B94B6A" w:rsidP="002A687A">
            <w:pPr>
              <w:pStyle w:val="NoSpacing"/>
            </w:pPr>
            <w:r w:rsidRPr="00B94B6A">
              <w:t>1 (16.7 %)</w:t>
            </w:r>
          </w:p>
        </w:tc>
      </w:tr>
    </w:tbl>
    <w:p w14:paraId="053B7651" w14:textId="77777777" w:rsidR="00B94B6A" w:rsidRDefault="00B94B6A"/>
    <w:sectPr w:rsidR="00B94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6A"/>
    <w:rsid w:val="001600AF"/>
    <w:rsid w:val="001C2B4F"/>
    <w:rsid w:val="00205277"/>
    <w:rsid w:val="00566B5A"/>
    <w:rsid w:val="007612D9"/>
    <w:rsid w:val="009D16D8"/>
    <w:rsid w:val="00B94B6A"/>
    <w:rsid w:val="00C726A1"/>
    <w:rsid w:val="00D22DA0"/>
    <w:rsid w:val="00D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1EFA"/>
  <w15:chartTrackingRefBased/>
  <w15:docId w15:val="{0D00981A-961C-4609-B6DF-9D95CD31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DA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DA0"/>
    <w:pPr>
      <w:spacing w:after="0" w:line="240" w:lineRule="auto"/>
    </w:pPr>
    <w:rPr>
      <w:rFonts w:ascii="Arial" w:hAnsi="Arial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B94B6A"/>
    <w:pPr>
      <w:spacing w:before="120" w:after="240" w:line="240" w:lineRule="auto"/>
    </w:pPr>
    <w:rPr>
      <w:rFonts w:eastAsia="Calibri" w:cs="Calibri"/>
      <w:iCs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Laajala, Essi J</dc:creator>
  <cp:keywords/>
  <dc:description/>
  <cp:lastModifiedBy>Laajala, Essi J</cp:lastModifiedBy>
  <cp:revision>4</cp:revision>
  <dcterms:created xsi:type="dcterms:W3CDTF">2022-01-19T16:00:00Z</dcterms:created>
  <dcterms:modified xsi:type="dcterms:W3CDTF">2022-01-20T13:43:00Z</dcterms:modified>
</cp:coreProperties>
</file>