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725FD" w14:textId="2D86AA74" w:rsidR="00EA4F25" w:rsidRPr="00DC10B5" w:rsidRDefault="00EA4F25" w:rsidP="00EA4F25">
      <w:pPr>
        <w:pStyle w:val="Caption"/>
        <w:keepNext/>
        <w:rPr>
          <w:rFonts w:ascii="Arial" w:hAnsi="Arial" w:cs="Arial"/>
          <w:i w:val="0"/>
          <w:iCs w:val="0"/>
          <w:color w:val="auto"/>
          <w:sz w:val="20"/>
          <w:szCs w:val="20"/>
        </w:rPr>
      </w:pPr>
      <w:r w:rsidRPr="00DC10B5">
        <w:rPr>
          <w:rFonts w:ascii="Arial" w:hAnsi="Arial" w:cs="Arial"/>
          <w:i w:val="0"/>
          <w:iCs w:val="0"/>
          <w:color w:val="auto"/>
          <w:sz w:val="20"/>
          <w:szCs w:val="20"/>
        </w:rPr>
        <w:t xml:space="preserve">Supplementary </w:t>
      </w:r>
      <w:r w:rsidR="00BE4A90" w:rsidRPr="00DC10B5">
        <w:rPr>
          <w:rFonts w:ascii="Arial" w:hAnsi="Arial" w:cs="Arial"/>
          <w:i w:val="0"/>
          <w:iCs w:val="0"/>
          <w:color w:val="auto"/>
          <w:sz w:val="20"/>
          <w:szCs w:val="20"/>
        </w:rPr>
        <w:t>T</w:t>
      </w:r>
      <w:r w:rsidRPr="00DC10B5">
        <w:rPr>
          <w:rFonts w:ascii="Arial" w:hAnsi="Arial" w:cs="Arial"/>
          <w:i w:val="0"/>
          <w:iCs w:val="0"/>
          <w:color w:val="auto"/>
          <w:sz w:val="20"/>
          <w:szCs w:val="20"/>
        </w:rPr>
        <w:t xml:space="preserve">able </w:t>
      </w:r>
      <w:r w:rsidR="009224F4">
        <w:rPr>
          <w:rFonts w:ascii="Arial" w:hAnsi="Arial" w:cs="Arial"/>
          <w:i w:val="0"/>
          <w:iCs w:val="0"/>
          <w:color w:val="auto"/>
          <w:sz w:val="20"/>
          <w:szCs w:val="20"/>
        </w:rPr>
        <w:t>6</w:t>
      </w:r>
      <w:r w:rsidRPr="00DC10B5">
        <w:rPr>
          <w:rFonts w:ascii="Arial" w:hAnsi="Arial" w:cs="Arial"/>
          <w:i w:val="0"/>
          <w:iCs w:val="0"/>
          <w:color w:val="auto"/>
          <w:sz w:val="20"/>
          <w:szCs w:val="20"/>
        </w:rPr>
        <w:t xml:space="preserve">: Comparison between results obtained by fitting the full vs. the simple model. The full models included all clinical and technical covariates specified </w:t>
      </w:r>
      <w:r w:rsidR="007972A2" w:rsidRPr="00DC10B5">
        <w:rPr>
          <w:rFonts w:ascii="Arial" w:hAnsi="Arial" w:cs="Arial"/>
          <w:i w:val="0"/>
          <w:iCs w:val="0"/>
          <w:color w:val="auto"/>
          <w:sz w:val="20"/>
          <w:szCs w:val="20"/>
        </w:rPr>
        <w:t>in Supplementary Table 1</w:t>
      </w:r>
      <w:r w:rsidRPr="00DC10B5">
        <w:rPr>
          <w:rFonts w:ascii="Arial" w:hAnsi="Arial" w:cs="Arial"/>
          <w:i w:val="0"/>
          <w:iCs w:val="0"/>
          <w:color w:val="auto"/>
          <w:sz w:val="20"/>
          <w:szCs w:val="20"/>
        </w:rPr>
        <w:t>. The simple models were sex + PC1 + PC2 (columns 1 and 2, testing for sex) and epidural + sex + PC1 + PC2 (column 3, testing for epidural). Here, DMCs are defined as CpG sites with Benjamini-Hochberg corrected P value &lt; 0.05 (before spatial adjustment) and CpGs within candidate DMRs are all CpG sites with empirically FDR-controlled spatially adjusted P value &lt; 0.05. DMR detection has not been done for this comparison. The percentages are percentages of the detections with the full model.</w:t>
      </w:r>
    </w:p>
    <w:tbl>
      <w:tblPr>
        <w:tblStyle w:val="TableGrid"/>
        <w:tblW w:w="0" w:type="auto"/>
        <w:tblLook w:val="04A0" w:firstRow="1" w:lastRow="0" w:firstColumn="1" w:lastColumn="0" w:noHBand="0" w:noVBand="1"/>
      </w:tblPr>
      <w:tblGrid>
        <w:gridCol w:w="2337"/>
        <w:gridCol w:w="2337"/>
        <w:gridCol w:w="2338"/>
        <w:gridCol w:w="2338"/>
      </w:tblGrid>
      <w:tr w:rsidR="00EA4F25" w14:paraId="724C8552" w14:textId="77777777" w:rsidTr="00C34386">
        <w:tc>
          <w:tcPr>
            <w:tcW w:w="2337" w:type="dxa"/>
          </w:tcPr>
          <w:p w14:paraId="2AC90C24" w14:textId="77777777" w:rsidR="00EA4F25" w:rsidRPr="00B367F9" w:rsidRDefault="00EA4F25" w:rsidP="00C34386">
            <w:pPr>
              <w:rPr>
                <w:rFonts w:ascii="Arial" w:hAnsi="Arial" w:cs="Arial"/>
                <w:sz w:val="20"/>
                <w:szCs w:val="20"/>
              </w:rPr>
            </w:pPr>
          </w:p>
        </w:tc>
        <w:tc>
          <w:tcPr>
            <w:tcW w:w="2337" w:type="dxa"/>
          </w:tcPr>
          <w:p w14:paraId="7DE38183" w14:textId="77777777" w:rsidR="00EA4F25" w:rsidRPr="00B367F9" w:rsidRDefault="00EA4F25" w:rsidP="00C34386">
            <w:pPr>
              <w:rPr>
                <w:rFonts w:ascii="Arial" w:hAnsi="Arial" w:cs="Arial"/>
                <w:sz w:val="20"/>
                <w:szCs w:val="20"/>
              </w:rPr>
            </w:pPr>
            <w:r w:rsidRPr="00B367F9">
              <w:rPr>
                <w:rFonts w:ascii="Arial" w:hAnsi="Arial" w:cs="Arial"/>
                <w:sz w:val="20"/>
                <w:szCs w:val="20"/>
              </w:rPr>
              <w:t xml:space="preserve">PQLseq, sex </w:t>
            </w:r>
          </w:p>
        </w:tc>
        <w:tc>
          <w:tcPr>
            <w:tcW w:w="2338" w:type="dxa"/>
          </w:tcPr>
          <w:p w14:paraId="1BEC86E3" w14:textId="77777777" w:rsidR="00EA4F25" w:rsidRPr="00B367F9" w:rsidRDefault="00EA4F25" w:rsidP="00C34386">
            <w:pPr>
              <w:rPr>
                <w:rFonts w:ascii="Arial" w:hAnsi="Arial" w:cs="Arial"/>
                <w:sz w:val="20"/>
                <w:szCs w:val="20"/>
              </w:rPr>
            </w:pPr>
            <w:r w:rsidRPr="00B367F9">
              <w:rPr>
                <w:rFonts w:ascii="Arial" w:hAnsi="Arial" w:cs="Arial"/>
                <w:sz w:val="20"/>
                <w:szCs w:val="20"/>
              </w:rPr>
              <w:t>RADMeth, sex</w:t>
            </w:r>
          </w:p>
        </w:tc>
        <w:tc>
          <w:tcPr>
            <w:tcW w:w="2338" w:type="dxa"/>
          </w:tcPr>
          <w:p w14:paraId="5BFF7586" w14:textId="77777777" w:rsidR="00EA4F25" w:rsidRPr="00B367F9" w:rsidRDefault="00EA4F25" w:rsidP="00C34386">
            <w:pPr>
              <w:rPr>
                <w:rFonts w:ascii="Arial" w:hAnsi="Arial" w:cs="Arial"/>
                <w:sz w:val="20"/>
                <w:szCs w:val="20"/>
              </w:rPr>
            </w:pPr>
            <w:r w:rsidRPr="00B367F9">
              <w:rPr>
                <w:rFonts w:ascii="Arial" w:hAnsi="Arial" w:cs="Arial"/>
                <w:sz w:val="20"/>
                <w:szCs w:val="20"/>
              </w:rPr>
              <w:t>RADMeth, usage of epidural anesthetic</w:t>
            </w:r>
          </w:p>
        </w:tc>
      </w:tr>
      <w:tr w:rsidR="00EA4F25" w14:paraId="1F3BA701" w14:textId="77777777" w:rsidTr="00C34386">
        <w:tc>
          <w:tcPr>
            <w:tcW w:w="2337" w:type="dxa"/>
          </w:tcPr>
          <w:p w14:paraId="7CA38D5A" w14:textId="77777777" w:rsidR="00EA4F25" w:rsidRPr="00B367F9" w:rsidRDefault="00EA4F25" w:rsidP="00C34386">
            <w:pPr>
              <w:rPr>
                <w:rFonts w:ascii="Arial" w:hAnsi="Arial" w:cs="Arial"/>
                <w:sz w:val="20"/>
                <w:szCs w:val="20"/>
              </w:rPr>
            </w:pPr>
            <w:r w:rsidRPr="00B367F9">
              <w:rPr>
                <w:rFonts w:ascii="Arial" w:hAnsi="Arial" w:cs="Arial"/>
                <w:sz w:val="20"/>
                <w:szCs w:val="20"/>
              </w:rPr>
              <w:t>Detections, total</w:t>
            </w:r>
          </w:p>
        </w:tc>
        <w:tc>
          <w:tcPr>
            <w:tcW w:w="2337" w:type="dxa"/>
          </w:tcPr>
          <w:p w14:paraId="2972AB8F" w14:textId="77777777" w:rsidR="00EA4F25" w:rsidRPr="00B367F9" w:rsidRDefault="00EA4F25" w:rsidP="00C34386">
            <w:pPr>
              <w:rPr>
                <w:rFonts w:ascii="Arial" w:hAnsi="Arial" w:cs="Arial"/>
                <w:sz w:val="20"/>
                <w:szCs w:val="20"/>
              </w:rPr>
            </w:pPr>
            <w:r w:rsidRPr="00B367F9">
              <w:rPr>
                <w:rFonts w:ascii="Arial" w:hAnsi="Arial" w:cs="Arial"/>
                <w:sz w:val="20"/>
                <w:szCs w:val="20"/>
              </w:rPr>
              <w:t>Altogether 1426 DMCs and 6330 CpG sites within candidate DMRs were detected by fitting the full model. Fitting the simple model, 1798 DMCs and 5975 CpG sites within candidate DMRs were detected.</w:t>
            </w:r>
          </w:p>
        </w:tc>
        <w:tc>
          <w:tcPr>
            <w:tcW w:w="2338" w:type="dxa"/>
          </w:tcPr>
          <w:p w14:paraId="2F2C5C26" w14:textId="77777777" w:rsidR="00EA4F25" w:rsidRPr="00B367F9" w:rsidRDefault="00EA4F25" w:rsidP="00C34386">
            <w:pPr>
              <w:rPr>
                <w:rFonts w:ascii="Arial" w:hAnsi="Arial" w:cs="Arial"/>
                <w:sz w:val="20"/>
                <w:szCs w:val="20"/>
              </w:rPr>
            </w:pPr>
            <w:r w:rsidRPr="00B367F9">
              <w:rPr>
                <w:rFonts w:ascii="Arial" w:hAnsi="Arial" w:cs="Arial"/>
                <w:sz w:val="20"/>
                <w:szCs w:val="20"/>
              </w:rPr>
              <w:t>Altogether 4624 DMCs and 4583 CpG sites within candidate DMRs were detected by fitting the full model. Fitting the simple model, 1913 DMCs and 5700 CpG sites within candidate DMRs were detected.</w:t>
            </w:r>
          </w:p>
        </w:tc>
        <w:tc>
          <w:tcPr>
            <w:tcW w:w="2338" w:type="dxa"/>
          </w:tcPr>
          <w:p w14:paraId="53D7F76B" w14:textId="77777777" w:rsidR="00EA4F25" w:rsidRPr="00B367F9" w:rsidRDefault="00EA4F25" w:rsidP="00C34386">
            <w:pPr>
              <w:rPr>
                <w:rFonts w:ascii="Arial" w:hAnsi="Arial" w:cs="Arial"/>
                <w:sz w:val="20"/>
                <w:szCs w:val="20"/>
              </w:rPr>
            </w:pPr>
            <w:r w:rsidRPr="00B367F9">
              <w:rPr>
                <w:rFonts w:ascii="Arial" w:hAnsi="Arial" w:cs="Arial"/>
                <w:sz w:val="20"/>
                <w:szCs w:val="20"/>
              </w:rPr>
              <w:t>Altogether 106 DMCs and 3 CpG sites within a candidate DMR were detected by fitting the full model. Fitting the simple model, 3 DMCs and 0 CpG sites within candidate DMRs were detected.</w:t>
            </w:r>
          </w:p>
        </w:tc>
      </w:tr>
      <w:tr w:rsidR="00EA4F25" w14:paraId="089B1DE7" w14:textId="77777777" w:rsidTr="00C34386">
        <w:tc>
          <w:tcPr>
            <w:tcW w:w="2337" w:type="dxa"/>
          </w:tcPr>
          <w:p w14:paraId="4E8290C1" w14:textId="77777777" w:rsidR="00EA4F25" w:rsidRPr="00B367F9" w:rsidRDefault="00EA4F25" w:rsidP="00C34386">
            <w:pPr>
              <w:rPr>
                <w:rFonts w:ascii="Arial" w:hAnsi="Arial" w:cs="Arial"/>
                <w:sz w:val="20"/>
                <w:szCs w:val="20"/>
              </w:rPr>
            </w:pPr>
            <w:r w:rsidRPr="00B367F9">
              <w:rPr>
                <w:rFonts w:ascii="Arial" w:hAnsi="Arial" w:cs="Arial"/>
                <w:sz w:val="20"/>
                <w:szCs w:val="20"/>
              </w:rPr>
              <w:t>Overlap, DMCs</w:t>
            </w:r>
          </w:p>
        </w:tc>
        <w:tc>
          <w:tcPr>
            <w:tcW w:w="2337" w:type="dxa"/>
          </w:tcPr>
          <w:p w14:paraId="01F80938" w14:textId="77777777" w:rsidR="00EA4F25" w:rsidRPr="00B367F9" w:rsidRDefault="00EA4F25" w:rsidP="00C34386">
            <w:pPr>
              <w:rPr>
                <w:rFonts w:ascii="Arial" w:hAnsi="Arial" w:cs="Arial"/>
                <w:sz w:val="20"/>
                <w:szCs w:val="20"/>
              </w:rPr>
            </w:pPr>
            <w:r w:rsidRPr="00B367F9">
              <w:rPr>
                <w:rFonts w:ascii="Arial" w:hAnsi="Arial" w:cs="Arial"/>
                <w:sz w:val="20"/>
                <w:szCs w:val="20"/>
              </w:rPr>
              <w:t>1215 (85.2 %)</w:t>
            </w:r>
          </w:p>
        </w:tc>
        <w:tc>
          <w:tcPr>
            <w:tcW w:w="2338" w:type="dxa"/>
          </w:tcPr>
          <w:p w14:paraId="2386594D" w14:textId="77777777" w:rsidR="00EA4F25" w:rsidRPr="00B367F9" w:rsidRDefault="00EA4F25" w:rsidP="00C34386">
            <w:pPr>
              <w:rPr>
                <w:rFonts w:ascii="Arial" w:hAnsi="Arial" w:cs="Arial"/>
                <w:sz w:val="20"/>
                <w:szCs w:val="20"/>
              </w:rPr>
            </w:pPr>
            <w:r w:rsidRPr="00B367F9">
              <w:rPr>
                <w:rFonts w:ascii="Arial" w:hAnsi="Arial" w:cs="Arial"/>
                <w:sz w:val="20"/>
                <w:szCs w:val="20"/>
              </w:rPr>
              <w:t>1841 (39.8 %)</w:t>
            </w:r>
          </w:p>
        </w:tc>
        <w:tc>
          <w:tcPr>
            <w:tcW w:w="2338" w:type="dxa"/>
          </w:tcPr>
          <w:p w14:paraId="741C9C0A" w14:textId="77777777" w:rsidR="00EA4F25" w:rsidRPr="00B367F9" w:rsidRDefault="00EA4F25" w:rsidP="00C34386">
            <w:pPr>
              <w:rPr>
                <w:rFonts w:ascii="Arial" w:hAnsi="Arial" w:cs="Arial"/>
                <w:sz w:val="20"/>
                <w:szCs w:val="20"/>
              </w:rPr>
            </w:pPr>
            <w:r w:rsidRPr="00B367F9">
              <w:rPr>
                <w:rFonts w:ascii="Arial" w:hAnsi="Arial" w:cs="Arial"/>
                <w:sz w:val="20"/>
                <w:szCs w:val="20"/>
              </w:rPr>
              <w:t>0</w:t>
            </w:r>
          </w:p>
        </w:tc>
      </w:tr>
      <w:tr w:rsidR="00EA4F25" w14:paraId="56FCED0B" w14:textId="77777777" w:rsidTr="00C34386">
        <w:tc>
          <w:tcPr>
            <w:tcW w:w="2337" w:type="dxa"/>
          </w:tcPr>
          <w:p w14:paraId="41D6DA8B" w14:textId="77777777" w:rsidR="00EA4F25" w:rsidRPr="00B367F9" w:rsidRDefault="00EA4F25" w:rsidP="00C34386">
            <w:pPr>
              <w:rPr>
                <w:rFonts w:ascii="Arial" w:hAnsi="Arial" w:cs="Arial"/>
                <w:sz w:val="20"/>
                <w:szCs w:val="20"/>
              </w:rPr>
            </w:pPr>
            <w:r w:rsidRPr="00B367F9">
              <w:rPr>
                <w:rFonts w:ascii="Arial" w:hAnsi="Arial" w:cs="Arial"/>
                <w:sz w:val="20"/>
                <w:szCs w:val="20"/>
              </w:rPr>
              <w:t>Overlap, CpG sites within candidate DMRs</w:t>
            </w:r>
          </w:p>
        </w:tc>
        <w:tc>
          <w:tcPr>
            <w:tcW w:w="2337" w:type="dxa"/>
          </w:tcPr>
          <w:p w14:paraId="6A8AE61A" w14:textId="77777777" w:rsidR="00EA4F25" w:rsidRPr="00B367F9" w:rsidRDefault="00EA4F25" w:rsidP="00C34386">
            <w:pPr>
              <w:rPr>
                <w:rFonts w:ascii="Arial" w:hAnsi="Arial" w:cs="Arial"/>
                <w:sz w:val="20"/>
                <w:szCs w:val="20"/>
              </w:rPr>
            </w:pPr>
            <w:r w:rsidRPr="00B367F9">
              <w:rPr>
                <w:rFonts w:ascii="Arial" w:hAnsi="Arial" w:cs="Arial"/>
                <w:sz w:val="20"/>
                <w:szCs w:val="20"/>
              </w:rPr>
              <w:t>5476 (86.5 %)</w:t>
            </w:r>
          </w:p>
        </w:tc>
        <w:tc>
          <w:tcPr>
            <w:tcW w:w="2338" w:type="dxa"/>
          </w:tcPr>
          <w:p w14:paraId="6DAA6AF4" w14:textId="77777777" w:rsidR="00EA4F25" w:rsidRPr="00B367F9" w:rsidRDefault="00EA4F25" w:rsidP="00C34386">
            <w:pPr>
              <w:rPr>
                <w:rFonts w:ascii="Arial" w:hAnsi="Arial" w:cs="Arial"/>
                <w:sz w:val="20"/>
                <w:szCs w:val="20"/>
              </w:rPr>
            </w:pPr>
            <w:r w:rsidRPr="00B367F9">
              <w:rPr>
                <w:rFonts w:ascii="Arial" w:hAnsi="Arial" w:cs="Arial"/>
                <w:sz w:val="20"/>
                <w:szCs w:val="20"/>
              </w:rPr>
              <w:t>4466 (97.4 %)</w:t>
            </w:r>
          </w:p>
        </w:tc>
        <w:tc>
          <w:tcPr>
            <w:tcW w:w="2338" w:type="dxa"/>
          </w:tcPr>
          <w:p w14:paraId="3DD607FB" w14:textId="77777777" w:rsidR="00EA4F25" w:rsidRPr="00B367F9" w:rsidRDefault="00EA4F25" w:rsidP="00C34386">
            <w:pPr>
              <w:rPr>
                <w:rFonts w:ascii="Arial" w:hAnsi="Arial" w:cs="Arial"/>
                <w:sz w:val="20"/>
                <w:szCs w:val="20"/>
              </w:rPr>
            </w:pPr>
            <w:r w:rsidRPr="00B367F9">
              <w:rPr>
                <w:rFonts w:ascii="Arial" w:hAnsi="Arial" w:cs="Arial"/>
                <w:sz w:val="20"/>
                <w:szCs w:val="20"/>
              </w:rPr>
              <w:t>0</w:t>
            </w:r>
          </w:p>
        </w:tc>
      </w:tr>
      <w:tr w:rsidR="00EA4F25" w14:paraId="694E0EC1" w14:textId="77777777" w:rsidTr="00C34386">
        <w:tc>
          <w:tcPr>
            <w:tcW w:w="2337" w:type="dxa"/>
          </w:tcPr>
          <w:p w14:paraId="401E9610" w14:textId="77777777" w:rsidR="00EA4F25" w:rsidRPr="00B367F9" w:rsidRDefault="00EA4F25" w:rsidP="00C34386">
            <w:pPr>
              <w:rPr>
                <w:rFonts w:ascii="Arial" w:hAnsi="Arial" w:cs="Arial"/>
                <w:sz w:val="20"/>
                <w:szCs w:val="20"/>
              </w:rPr>
            </w:pPr>
            <w:r w:rsidRPr="00B367F9">
              <w:rPr>
                <w:rFonts w:ascii="Arial" w:hAnsi="Arial" w:cs="Arial"/>
                <w:sz w:val="20"/>
                <w:szCs w:val="20"/>
              </w:rPr>
              <w:t>Overlap of top 1000 CpG sites sorted by P value</w:t>
            </w:r>
          </w:p>
        </w:tc>
        <w:tc>
          <w:tcPr>
            <w:tcW w:w="2337" w:type="dxa"/>
          </w:tcPr>
          <w:p w14:paraId="706FC032" w14:textId="77777777" w:rsidR="00EA4F25" w:rsidRPr="00B367F9" w:rsidRDefault="00EA4F25" w:rsidP="00C34386">
            <w:pPr>
              <w:rPr>
                <w:rFonts w:ascii="Arial" w:hAnsi="Arial" w:cs="Arial"/>
                <w:sz w:val="20"/>
                <w:szCs w:val="20"/>
              </w:rPr>
            </w:pPr>
            <w:r w:rsidRPr="00B367F9">
              <w:rPr>
                <w:rFonts w:ascii="Arial" w:hAnsi="Arial" w:cs="Arial"/>
                <w:sz w:val="20"/>
                <w:szCs w:val="20"/>
              </w:rPr>
              <w:t>810</w:t>
            </w:r>
          </w:p>
        </w:tc>
        <w:tc>
          <w:tcPr>
            <w:tcW w:w="2338" w:type="dxa"/>
          </w:tcPr>
          <w:p w14:paraId="0A2D3CF2" w14:textId="77777777" w:rsidR="00EA4F25" w:rsidRPr="00B367F9" w:rsidRDefault="00EA4F25" w:rsidP="00C34386">
            <w:pPr>
              <w:rPr>
                <w:rFonts w:ascii="Arial" w:hAnsi="Arial" w:cs="Arial"/>
                <w:sz w:val="20"/>
                <w:szCs w:val="20"/>
              </w:rPr>
            </w:pPr>
            <w:r w:rsidRPr="00B367F9">
              <w:rPr>
                <w:rFonts w:ascii="Arial" w:hAnsi="Arial" w:cs="Arial"/>
                <w:sz w:val="20"/>
                <w:szCs w:val="20"/>
              </w:rPr>
              <w:t>797</w:t>
            </w:r>
          </w:p>
        </w:tc>
        <w:tc>
          <w:tcPr>
            <w:tcW w:w="2338" w:type="dxa"/>
          </w:tcPr>
          <w:p w14:paraId="0487D048" w14:textId="77777777" w:rsidR="00EA4F25" w:rsidRPr="00B367F9" w:rsidRDefault="00EA4F25" w:rsidP="00C34386">
            <w:pPr>
              <w:rPr>
                <w:rFonts w:ascii="Arial" w:hAnsi="Arial" w:cs="Arial"/>
                <w:sz w:val="20"/>
                <w:szCs w:val="20"/>
              </w:rPr>
            </w:pPr>
            <w:r w:rsidRPr="00B367F9">
              <w:rPr>
                <w:rFonts w:ascii="Arial" w:hAnsi="Arial" w:cs="Arial"/>
                <w:sz w:val="20"/>
                <w:szCs w:val="20"/>
              </w:rPr>
              <w:t>285</w:t>
            </w:r>
          </w:p>
        </w:tc>
      </w:tr>
      <w:tr w:rsidR="00EA4F25" w14:paraId="50BE5773" w14:textId="77777777" w:rsidTr="00C34386">
        <w:tc>
          <w:tcPr>
            <w:tcW w:w="2337" w:type="dxa"/>
          </w:tcPr>
          <w:p w14:paraId="7298EF95" w14:textId="77777777" w:rsidR="00EA4F25" w:rsidRPr="00B367F9" w:rsidRDefault="00EA4F25" w:rsidP="00C34386">
            <w:pPr>
              <w:rPr>
                <w:rFonts w:ascii="Arial" w:hAnsi="Arial" w:cs="Arial"/>
                <w:sz w:val="20"/>
                <w:szCs w:val="20"/>
              </w:rPr>
            </w:pPr>
            <w:r w:rsidRPr="00B367F9">
              <w:rPr>
                <w:rFonts w:ascii="Arial" w:hAnsi="Arial" w:cs="Arial"/>
                <w:sz w:val="20"/>
                <w:szCs w:val="20"/>
              </w:rPr>
              <w:t>Overlap of top 1000 CpG sites sorted by spatially adjusted P value</w:t>
            </w:r>
          </w:p>
        </w:tc>
        <w:tc>
          <w:tcPr>
            <w:tcW w:w="2337" w:type="dxa"/>
          </w:tcPr>
          <w:p w14:paraId="702C0F6D" w14:textId="77777777" w:rsidR="00EA4F25" w:rsidRPr="00B367F9" w:rsidRDefault="00EA4F25" w:rsidP="00C34386">
            <w:pPr>
              <w:rPr>
                <w:rFonts w:ascii="Arial" w:hAnsi="Arial" w:cs="Arial"/>
                <w:sz w:val="20"/>
                <w:szCs w:val="20"/>
              </w:rPr>
            </w:pPr>
            <w:r w:rsidRPr="00B367F9">
              <w:rPr>
                <w:rFonts w:ascii="Arial" w:hAnsi="Arial" w:cs="Arial"/>
                <w:sz w:val="20"/>
                <w:szCs w:val="20"/>
              </w:rPr>
              <w:t>861</w:t>
            </w:r>
          </w:p>
        </w:tc>
        <w:tc>
          <w:tcPr>
            <w:tcW w:w="2338" w:type="dxa"/>
          </w:tcPr>
          <w:p w14:paraId="6558C2CE" w14:textId="77777777" w:rsidR="00EA4F25" w:rsidRPr="00B367F9" w:rsidRDefault="00EA4F25" w:rsidP="00C34386">
            <w:pPr>
              <w:rPr>
                <w:rFonts w:ascii="Arial" w:hAnsi="Arial" w:cs="Arial"/>
                <w:sz w:val="20"/>
                <w:szCs w:val="20"/>
              </w:rPr>
            </w:pPr>
            <w:r w:rsidRPr="00B367F9">
              <w:rPr>
                <w:rFonts w:ascii="Arial" w:hAnsi="Arial" w:cs="Arial"/>
                <w:sz w:val="20"/>
                <w:szCs w:val="20"/>
              </w:rPr>
              <w:t>832</w:t>
            </w:r>
          </w:p>
        </w:tc>
        <w:tc>
          <w:tcPr>
            <w:tcW w:w="2338" w:type="dxa"/>
          </w:tcPr>
          <w:p w14:paraId="19363C91" w14:textId="77777777" w:rsidR="00EA4F25" w:rsidRPr="00B367F9" w:rsidRDefault="00EA4F25" w:rsidP="00C34386">
            <w:pPr>
              <w:rPr>
                <w:rFonts w:ascii="Arial" w:hAnsi="Arial" w:cs="Arial"/>
                <w:sz w:val="20"/>
                <w:szCs w:val="20"/>
              </w:rPr>
            </w:pPr>
            <w:r w:rsidRPr="00B367F9">
              <w:rPr>
                <w:rFonts w:ascii="Arial" w:hAnsi="Arial" w:cs="Arial"/>
                <w:sz w:val="20"/>
                <w:szCs w:val="20"/>
              </w:rPr>
              <w:t>392</w:t>
            </w:r>
          </w:p>
        </w:tc>
      </w:tr>
      <w:tr w:rsidR="00EA4F25" w14:paraId="51DE9F87" w14:textId="77777777" w:rsidTr="00C34386">
        <w:tc>
          <w:tcPr>
            <w:tcW w:w="2337" w:type="dxa"/>
          </w:tcPr>
          <w:p w14:paraId="312DA946" w14:textId="77777777" w:rsidR="00EA4F25" w:rsidRPr="00B367F9" w:rsidRDefault="00EA4F25" w:rsidP="00C34386">
            <w:pPr>
              <w:rPr>
                <w:rFonts w:ascii="Arial" w:hAnsi="Arial" w:cs="Arial"/>
                <w:sz w:val="20"/>
                <w:szCs w:val="20"/>
              </w:rPr>
            </w:pPr>
            <w:r w:rsidRPr="00B367F9">
              <w:rPr>
                <w:rFonts w:ascii="Arial" w:hAnsi="Arial" w:cs="Arial"/>
                <w:sz w:val="20"/>
                <w:szCs w:val="20"/>
              </w:rPr>
              <w:t>Pearson correlation between log</w:t>
            </w:r>
            <w:r w:rsidRPr="00B367F9">
              <w:rPr>
                <w:rFonts w:ascii="Arial" w:hAnsi="Arial" w:cs="Arial"/>
                <w:sz w:val="20"/>
                <w:szCs w:val="20"/>
                <w:vertAlign w:val="subscript"/>
              </w:rPr>
              <w:t>10</w:t>
            </w:r>
            <w:r w:rsidRPr="00B367F9">
              <w:rPr>
                <w:rFonts w:ascii="Arial" w:hAnsi="Arial" w:cs="Arial"/>
                <w:sz w:val="20"/>
                <w:szCs w:val="20"/>
              </w:rPr>
              <w:t xml:space="preserve"> P values</w:t>
            </w:r>
          </w:p>
        </w:tc>
        <w:tc>
          <w:tcPr>
            <w:tcW w:w="2337" w:type="dxa"/>
          </w:tcPr>
          <w:p w14:paraId="3FC3BBBF" w14:textId="77777777" w:rsidR="00EA4F25" w:rsidRPr="00B367F9" w:rsidRDefault="00EA4F25" w:rsidP="00C34386">
            <w:pPr>
              <w:rPr>
                <w:rFonts w:ascii="Arial" w:hAnsi="Arial" w:cs="Arial"/>
                <w:sz w:val="20"/>
                <w:szCs w:val="20"/>
              </w:rPr>
            </w:pPr>
            <w:r w:rsidRPr="00B367F9">
              <w:rPr>
                <w:rFonts w:ascii="Arial" w:hAnsi="Arial" w:cs="Arial"/>
                <w:sz w:val="20"/>
                <w:szCs w:val="20"/>
              </w:rPr>
              <w:t>0.88</w:t>
            </w:r>
          </w:p>
        </w:tc>
        <w:tc>
          <w:tcPr>
            <w:tcW w:w="2338" w:type="dxa"/>
          </w:tcPr>
          <w:p w14:paraId="530655A5" w14:textId="77777777" w:rsidR="00EA4F25" w:rsidRPr="00B367F9" w:rsidRDefault="00EA4F25" w:rsidP="00C34386">
            <w:pPr>
              <w:rPr>
                <w:rFonts w:ascii="Arial" w:hAnsi="Arial" w:cs="Arial"/>
                <w:sz w:val="20"/>
                <w:szCs w:val="20"/>
              </w:rPr>
            </w:pPr>
            <w:r w:rsidRPr="00B367F9">
              <w:rPr>
                <w:rFonts w:ascii="Arial" w:hAnsi="Arial" w:cs="Arial"/>
                <w:sz w:val="20"/>
                <w:szCs w:val="20"/>
              </w:rPr>
              <w:t>0.88</w:t>
            </w:r>
          </w:p>
        </w:tc>
        <w:tc>
          <w:tcPr>
            <w:tcW w:w="2338" w:type="dxa"/>
          </w:tcPr>
          <w:p w14:paraId="35106AD1" w14:textId="77777777" w:rsidR="00EA4F25" w:rsidRPr="00B367F9" w:rsidRDefault="00EA4F25" w:rsidP="00C34386">
            <w:pPr>
              <w:rPr>
                <w:rFonts w:ascii="Arial" w:hAnsi="Arial" w:cs="Arial"/>
                <w:sz w:val="20"/>
                <w:szCs w:val="20"/>
              </w:rPr>
            </w:pPr>
            <w:r w:rsidRPr="00B367F9">
              <w:rPr>
                <w:rFonts w:ascii="Arial" w:hAnsi="Arial" w:cs="Arial"/>
                <w:sz w:val="20"/>
                <w:szCs w:val="20"/>
              </w:rPr>
              <w:t>0.77</w:t>
            </w:r>
          </w:p>
        </w:tc>
      </w:tr>
      <w:tr w:rsidR="00EA4F25" w14:paraId="53711B3C" w14:textId="77777777" w:rsidTr="00C34386">
        <w:tc>
          <w:tcPr>
            <w:tcW w:w="2337" w:type="dxa"/>
          </w:tcPr>
          <w:p w14:paraId="649AE272" w14:textId="77777777" w:rsidR="00EA4F25" w:rsidRPr="00B367F9" w:rsidRDefault="00EA4F25" w:rsidP="00C34386">
            <w:pPr>
              <w:rPr>
                <w:rFonts w:ascii="Arial" w:hAnsi="Arial" w:cs="Arial"/>
                <w:sz w:val="20"/>
                <w:szCs w:val="20"/>
              </w:rPr>
            </w:pPr>
            <w:r w:rsidRPr="00B367F9">
              <w:rPr>
                <w:rFonts w:ascii="Arial" w:hAnsi="Arial" w:cs="Arial"/>
                <w:sz w:val="20"/>
                <w:szCs w:val="20"/>
              </w:rPr>
              <w:t>Pearson correlation between log</w:t>
            </w:r>
            <w:r w:rsidRPr="00B367F9">
              <w:rPr>
                <w:rFonts w:ascii="Arial" w:hAnsi="Arial" w:cs="Arial"/>
                <w:sz w:val="20"/>
                <w:szCs w:val="20"/>
                <w:vertAlign w:val="subscript"/>
              </w:rPr>
              <w:t>10</w:t>
            </w:r>
            <w:r w:rsidRPr="00B367F9">
              <w:rPr>
                <w:rFonts w:ascii="Arial" w:hAnsi="Arial" w:cs="Arial"/>
                <w:sz w:val="20"/>
                <w:szCs w:val="20"/>
              </w:rPr>
              <w:t xml:space="preserve"> spatially adjusted P values</w:t>
            </w:r>
          </w:p>
        </w:tc>
        <w:tc>
          <w:tcPr>
            <w:tcW w:w="2337" w:type="dxa"/>
          </w:tcPr>
          <w:p w14:paraId="24EE188A" w14:textId="77777777" w:rsidR="00EA4F25" w:rsidRPr="00B367F9" w:rsidRDefault="00EA4F25" w:rsidP="00C34386">
            <w:pPr>
              <w:rPr>
                <w:rFonts w:ascii="Arial" w:hAnsi="Arial" w:cs="Arial"/>
                <w:sz w:val="20"/>
                <w:szCs w:val="20"/>
              </w:rPr>
            </w:pPr>
            <w:r w:rsidRPr="00B367F9">
              <w:rPr>
                <w:rFonts w:ascii="Arial" w:hAnsi="Arial" w:cs="Arial"/>
                <w:sz w:val="20"/>
                <w:szCs w:val="20"/>
              </w:rPr>
              <w:t>0.95</w:t>
            </w:r>
          </w:p>
        </w:tc>
        <w:tc>
          <w:tcPr>
            <w:tcW w:w="2338" w:type="dxa"/>
          </w:tcPr>
          <w:p w14:paraId="5D3039E7" w14:textId="77777777" w:rsidR="00EA4F25" w:rsidRPr="00B367F9" w:rsidRDefault="00EA4F25" w:rsidP="00C34386">
            <w:pPr>
              <w:rPr>
                <w:rFonts w:ascii="Arial" w:hAnsi="Arial" w:cs="Arial"/>
                <w:sz w:val="20"/>
                <w:szCs w:val="20"/>
              </w:rPr>
            </w:pPr>
            <w:r w:rsidRPr="00B367F9">
              <w:rPr>
                <w:rFonts w:ascii="Arial" w:hAnsi="Arial" w:cs="Arial"/>
                <w:sz w:val="20"/>
                <w:szCs w:val="20"/>
              </w:rPr>
              <w:t>0.94</w:t>
            </w:r>
          </w:p>
        </w:tc>
        <w:tc>
          <w:tcPr>
            <w:tcW w:w="2338" w:type="dxa"/>
          </w:tcPr>
          <w:p w14:paraId="1E2A2F9B" w14:textId="77777777" w:rsidR="00EA4F25" w:rsidRPr="00B367F9" w:rsidRDefault="00EA4F25" w:rsidP="00C34386">
            <w:pPr>
              <w:rPr>
                <w:rFonts w:ascii="Arial" w:hAnsi="Arial" w:cs="Arial"/>
                <w:sz w:val="20"/>
                <w:szCs w:val="20"/>
              </w:rPr>
            </w:pPr>
            <w:r w:rsidRPr="00B367F9">
              <w:rPr>
                <w:rFonts w:ascii="Arial" w:hAnsi="Arial" w:cs="Arial"/>
                <w:sz w:val="20"/>
                <w:szCs w:val="20"/>
              </w:rPr>
              <w:t>0.75</w:t>
            </w:r>
          </w:p>
        </w:tc>
      </w:tr>
    </w:tbl>
    <w:p w14:paraId="352EA30A" w14:textId="77777777" w:rsidR="00EA4F25" w:rsidRDefault="00EA4F25" w:rsidP="00EA4F25">
      <w:pPr>
        <w:pStyle w:val="NoSpacing"/>
      </w:pPr>
    </w:p>
    <w:p w14:paraId="2B82CF0E" w14:textId="77777777" w:rsidR="00EA4F25" w:rsidRDefault="00EA4F25"/>
    <w:sectPr w:rsidR="00EA4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O316C466Y756V467"/>
    <w:docVar w:name="paperpile-doc-name" w:val="Supplementary_table_5.docx"/>
  </w:docVars>
  <w:rsids>
    <w:rsidRoot w:val="00EA4F25"/>
    <w:rsid w:val="00771F50"/>
    <w:rsid w:val="007972A2"/>
    <w:rsid w:val="009224F4"/>
    <w:rsid w:val="00B367F9"/>
    <w:rsid w:val="00BE4A90"/>
    <w:rsid w:val="00DC10B5"/>
    <w:rsid w:val="00EA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2A28"/>
  <w15:chartTrackingRefBased/>
  <w15:docId w15:val="{7628BA62-6614-4D66-B254-22B0EF09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A4F25"/>
    <w:pPr>
      <w:spacing w:after="200" w:line="240" w:lineRule="auto"/>
    </w:pPr>
    <w:rPr>
      <w:rFonts w:ascii="Calibri" w:eastAsia="Calibri" w:hAnsi="Calibri" w:cs="Calibri"/>
      <w:i/>
      <w:iCs/>
      <w:color w:val="44546A" w:themeColor="text2"/>
      <w:sz w:val="18"/>
      <w:szCs w:val="18"/>
    </w:rPr>
  </w:style>
  <w:style w:type="paragraph" w:styleId="NoSpacing">
    <w:name w:val="No Spacing"/>
    <w:uiPriority w:val="1"/>
    <w:qFormat/>
    <w:rsid w:val="00EA4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260</Words>
  <Characters>1490</Characters>
  <Application>Microsoft Office Word</Application>
  <DocSecurity>0</DocSecurity>
  <Lines>49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Laajala Essi</dc:creator>
  <cp:keywords/>
  <dc:description/>
  <cp:lastModifiedBy>Laajala, Essi J</cp:lastModifiedBy>
  <cp:revision>6</cp:revision>
  <cp:lastPrinted>2021-05-18T15:44:00Z</cp:lastPrinted>
  <dcterms:created xsi:type="dcterms:W3CDTF">2021-04-26T14:26:00Z</dcterms:created>
  <dcterms:modified xsi:type="dcterms:W3CDTF">2022-01-25T15:05:00Z</dcterms:modified>
</cp:coreProperties>
</file>