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4A9B" w14:textId="77777777" w:rsidR="00ED3D20" w:rsidRDefault="00ED3D20" w:rsidP="00ED3D20">
      <w:pPr>
        <w:pStyle w:val="Caption"/>
        <w:keepNext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96"/>
          <w:szCs w:val="96"/>
        </w:rPr>
      </w:pPr>
      <w:bookmarkStart w:id="0" w:name="_Ref80010006"/>
    </w:p>
    <w:p w14:paraId="48D4929A" w14:textId="77777777" w:rsidR="00ED3D20" w:rsidRDefault="00ED3D20" w:rsidP="00ED3D20">
      <w:pPr>
        <w:pStyle w:val="Caption"/>
        <w:keepNext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96"/>
          <w:szCs w:val="96"/>
        </w:rPr>
      </w:pPr>
    </w:p>
    <w:p w14:paraId="71BDB082" w14:textId="77777777" w:rsidR="00ED3D20" w:rsidRDefault="00ED3D20" w:rsidP="00ED3D20">
      <w:pPr>
        <w:pStyle w:val="Caption"/>
        <w:keepNext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96"/>
          <w:szCs w:val="96"/>
        </w:rPr>
      </w:pPr>
    </w:p>
    <w:p w14:paraId="0419AD70" w14:textId="77777777" w:rsidR="00ED3D20" w:rsidRDefault="00ED3D20" w:rsidP="00ED3D20">
      <w:pPr>
        <w:pStyle w:val="Caption"/>
        <w:keepNext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96"/>
          <w:szCs w:val="96"/>
        </w:rPr>
      </w:pPr>
    </w:p>
    <w:p w14:paraId="7D41C058" w14:textId="43E75FA2" w:rsidR="00ED3D20" w:rsidRPr="00ED3D20" w:rsidRDefault="00ED3D20" w:rsidP="00ED3D20">
      <w:pPr>
        <w:pStyle w:val="Caption"/>
        <w:keepNext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96"/>
          <w:szCs w:val="96"/>
        </w:rPr>
      </w:pPr>
      <w:r w:rsidRPr="00ED3D20">
        <w:rPr>
          <w:rFonts w:ascii="Times New Roman" w:hAnsi="Times New Roman" w:cs="Times New Roman"/>
          <w:i w:val="0"/>
          <w:iCs w:val="0"/>
          <w:color w:val="000000" w:themeColor="text1"/>
          <w:sz w:val="96"/>
          <w:szCs w:val="96"/>
        </w:rPr>
        <w:t>Supplementary Material</w:t>
      </w:r>
      <w:r w:rsidR="00C26EE9">
        <w:rPr>
          <w:rFonts w:ascii="Times New Roman" w:hAnsi="Times New Roman" w:cs="Times New Roman"/>
          <w:i w:val="0"/>
          <w:iCs w:val="0"/>
          <w:color w:val="000000" w:themeColor="text1"/>
          <w:sz w:val="96"/>
          <w:szCs w:val="96"/>
        </w:rPr>
        <w:t>s</w:t>
      </w:r>
    </w:p>
    <w:p w14:paraId="782DEFB7" w14:textId="7AC47A58" w:rsidR="00ED3D20" w:rsidRDefault="00ED3D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br w:type="page"/>
      </w:r>
    </w:p>
    <w:p w14:paraId="4F62CF40" w14:textId="5C4AFC3A" w:rsidR="00870ED6" w:rsidRPr="00C26EE9" w:rsidRDefault="00870ED6" w:rsidP="00C763C9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C26EE9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u w:val="single"/>
        </w:rPr>
        <w:lastRenderedPageBreak/>
        <w:t>Appendix A</w:t>
      </w:r>
    </w:p>
    <w:p w14:paraId="4F1D3383" w14:textId="5D1A274E" w:rsidR="00C763C9" w:rsidRDefault="00C763C9" w:rsidP="00C763C9">
      <w:pPr>
        <w:pStyle w:val="Caption"/>
        <w:keepNext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9967CF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Table </w:t>
      </w:r>
      <w:r w:rsidRPr="009967CF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9967CF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9967CF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EC7423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1</w:t>
      </w:r>
      <w:r w:rsidRPr="009967CF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bookmarkEnd w:id="0"/>
      <w:r w:rsidRPr="009967CF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: Demographic properties of the population under study. Please note that the better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hearing </w:t>
      </w:r>
      <w:r w:rsidRPr="009967CF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ear is defined by the ear having a better PTA.</w:t>
      </w:r>
      <w:r w:rsidRPr="009967C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</w:p>
    <w:tbl>
      <w:tblPr>
        <w:tblStyle w:val="TableGrid3"/>
        <w:tblpPr w:leftFromText="180" w:rightFromText="180" w:vertAnchor="page" w:horzAnchor="margin" w:tblpY="2931"/>
        <w:tblW w:w="9493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</w:tblGrid>
      <w:tr w:rsidR="00870ED6" w:rsidRPr="009967CF" w14:paraId="4D0B09CA" w14:textId="77777777" w:rsidTr="00870ED6">
        <w:trPr>
          <w:trHeight w:val="571"/>
        </w:trPr>
        <w:tc>
          <w:tcPr>
            <w:tcW w:w="4957" w:type="dxa"/>
            <w:vAlign w:val="center"/>
            <w:hideMark/>
          </w:tcPr>
          <w:p w14:paraId="60BA80F0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14:paraId="6DF152BF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First-time</w:t>
            </w:r>
            <w:r w:rsidRPr="009967CF">
              <w:rPr>
                <w:rFonts w:ascii="Times New Roman" w:hAnsi="Times New Roman" w:cs="Times New Roman"/>
                <w:bCs/>
              </w:rPr>
              <w:t xml:space="preserve"> users</w:t>
            </w:r>
          </w:p>
          <w:p w14:paraId="5E00683D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= 884</w:t>
            </w:r>
          </w:p>
        </w:tc>
        <w:tc>
          <w:tcPr>
            <w:tcW w:w="2268" w:type="dxa"/>
          </w:tcPr>
          <w:p w14:paraId="50ABD9EE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67CF">
              <w:rPr>
                <w:rFonts w:ascii="Times New Roman" w:hAnsi="Times New Roman" w:cs="Times New Roman"/>
                <w:bCs/>
              </w:rPr>
              <w:t>Experienced users</w:t>
            </w:r>
          </w:p>
          <w:p w14:paraId="6BD45D45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 = 329</w:t>
            </w:r>
          </w:p>
        </w:tc>
      </w:tr>
      <w:tr w:rsidR="00870ED6" w:rsidRPr="009967CF" w14:paraId="4F053970" w14:textId="77777777" w:rsidTr="00870ED6">
        <w:trPr>
          <w:trHeight w:val="650"/>
        </w:trPr>
        <w:tc>
          <w:tcPr>
            <w:tcW w:w="4957" w:type="dxa"/>
            <w:vAlign w:val="center"/>
          </w:tcPr>
          <w:p w14:paraId="3B836F9D" w14:textId="77777777" w:rsidR="00870ED6" w:rsidRPr="009967CF" w:rsidRDefault="00870ED6" w:rsidP="00870ED6">
            <w:pPr>
              <w:rPr>
                <w:rFonts w:ascii="Times New Roman" w:hAnsi="Times New Roman" w:cs="Times New Roman"/>
                <w:bCs/>
              </w:rPr>
            </w:pPr>
            <w:r w:rsidRPr="009967CF">
              <w:rPr>
                <w:rFonts w:ascii="Times New Roman" w:hAnsi="Times New Roman" w:cs="Times New Roman"/>
                <w:bCs/>
              </w:rPr>
              <w:t>Mean age, years (</w:t>
            </w:r>
            <w:r w:rsidRPr="009967CF">
              <w:rPr>
                <w:rFonts w:ascii="Times New Roman" w:hAnsi="Times New Roman" w:cs="Times New Roman"/>
              </w:rPr>
              <w:t>±</w:t>
            </w:r>
            <w:r w:rsidRPr="009967CF">
              <w:rPr>
                <w:rFonts w:ascii="Times New Roman" w:hAnsi="Times New Roman" w:cs="Times New Roman"/>
                <w:bCs/>
              </w:rPr>
              <w:t xml:space="preserve">SD) </w:t>
            </w:r>
          </w:p>
          <w:p w14:paraId="3C5D9CB9" w14:textId="77777777" w:rsidR="00870ED6" w:rsidRPr="009967CF" w:rsidRDefault="00870ED6" w:rsidP="00870ED6">
            <w:pPr>
              <w:rPr>
                <w:rFonts w:ascii="Times New Roman" w:hAnsi="Times New Roman" w:cs="Times New Roman"/>
                <w:bCs/>
              </w:rPr>
            </w:pPr>
            <w:r w:rsidRPr="009967CF">
              <w:rPr>
                <w:rFonts w:ascii="Times New Roman" w:hAnsi="Times New Roman" w:cs="Times New Roman"/>
                <w:bCs/>
              </w:rPr>
              <w:t>(range)</w:t>
            </w:r>
          </w:p>
        </w:tc>
        <w:tc>
          <w:tcPr>
            <w:tcW w:w="2268" w:type="dxa"/>
            <w:vAlign w:val="center"/>
          </w:tcPr>
          <w:p w14:paraId="6E523202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67 (11)</w:t>
            </w:r>
          </w:p>
          <w:p w14:paraId="6255578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(22-94)</w:t>
            </w:r>
          </w:p>
        </w:tc>
        <w:tc>
          <w:tcPr>
            <w:tcW w:w="2268" w:type="dxa"/>
          </w:tcPr>
          <w:p w14:paraId="7F0BF051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69 (11)</w:t>
            </w:r>
          </w:p>
          <w:p w14:paraId="080F538F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(19-100)</w:t>
            </w:r>
          </w:p>
        </w:tc>
      </w:tr>
      <w:tr w:rsidR="00870ED6" w:rsidRPr="009967CF" w14:paraId="7DF9A8B9" w14:textId="77777777" w:rsidTr="00870ED6">
        <w:trPr>
          <w:trHeight w:val="650"/>
        </w:trPr>
        <w:tc>
          <w:tcPr>
            <w:tcW w:w="4957" w:type="dxa"/>
            <w:vAlign w:val="center"/>
            <w:hideMark/>
          </w:tcPr>
          <w:p w14:paraId="16796923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  <w:bCs/>
              </w:rPr>
              <w:t xml:space="preserve">Gender, </w:t>
            </w:r>
            <w:r w:rsidRPr="009967CF">
              <w:rPr>
                <w:rFonts w:ascii="Times New Roman" w:hAnsi="Times New Roman" w:cs="Times New Roman"/>
                <w:bCs/>
                <w:i/>
              </w:rPr>
              <w:t>n</w:t>
            </w:r>
            <w:r w:rsidRPr="009967CF">
              <w:rPr>
                <w:rFonts w:ascii="Times New Roman" w:hAnsi="Times New Roman" w:cs="Times New Roman"/>
                <w:bCs/>
              </w:rPr>
              <w:t xml:space="preserve"> (%) </w:t>
            </w:r>
          </w:p>
          <w:p w14:paraId="4AC32953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       Men</w:t>
            </w:r>
          </w:p>
        </w:tc>
        <w:tc>
          <w:tcPr>
            <w:tcW w:w="2268" w:type="dxa"/>
            <w:vAlign w:val="center"/>
          </w:tcPr>
          <w:p w14:paraId="3C15252D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124008E4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509 (58)</w:t>
            </w:r>
          </w:p>
        </w:tc>
        <w:tc>
          <w:tcPr>
            <w:tcW w:w="2268" w:type="dxa"/>
          </w:tcPr>
          <w:p w14:paraId="3DA1C8A1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</w:t>
            </w:r>
          </w:p>
          <w:p w14:paraId="029A8C01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</w:t>
            </w:r>
            <w:r w:rsidRPr="009967CF">
              <w:rPr>
                <w:rFonts w:ascii="Times New Roman" w:hAnsi="Times New Roman" w:cs="Times New Roman"/>
              </w:rPr>
              <w:t xml:space="preserve"> (60)</w:t>
            </w:r>
          </w:p>
        </w:tc>
      </w:tr>
      <w:tr w:rsidR="00870ED6" w:rsidRPr="009967CF" w14:paraId="66E2EF43" w14:textId="77777777" w:rsidTr="00870ED6">
        <w:trPr>
          <w:trHeight w:val="714"/>
        </w:trPr>
        <w:tc>
          <w:tcPr>
            <w:tcW w:w="4957" w:type="dxa"/>
            <w:vAlign w:val="center"/>
            <w:hideMark/>
          </w:tcPr>
          <w:p w14:paraId="6DCAC169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  <w:bCs/>
              </w:rPr>
              <w:t>Mean PTA, dB H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9967CF">
              <w:rPr>
                <w:rFonts w:ascii="Times New Roman" w:hAnsi="Times New Roman" w:cs="Times New Roman"/>
                <w:bCs/>
              </w:rPr>
              <w:t xml:space="preserve"> (</w:t>
            </w:r>
            <w:r w:rsidRPr="009967CF">
              <w:rPr>
                <w:rFonts w:ascii="Times New Roman" w:hAnsi="Times New Roman" w:cs="Times New Roman"/>
              </w:rPr>
              <w:t>±</w:t>
            </w:r>
            <w:r w:rsidRPr="009967CF">
              <w:rPr>
                <w:rFonts w:ascii="Times New Roman" w:hAnsi="Times New Roman" w:cs="Times New Roman"/>
                <w:bCs/>
              </w:rPr>
              <w:t>SD)</w:t>
            </w:r>
          </w:p>
          <w:p w14:paraId="166AC1D2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 Better </w:t>
            </w:r>
            <w:r>
              <w:rPr>
                <w:rFonts w:ascii="Times New Roman" w:hAnsi="Times New Roman" w:cs="Times New Roman"/>
              </w:rPr>
              <w:t xml:space="preserve">hearing </w:t>
            </w:r>
            <w:r w:rsidRPr="009967CF">
              <w:rPr>
                <w:rFonts w:ascii="Times New Roman" w:hAnsi="Times New Roman" w:cs="Times New Roman"/>
              </w:rPr>
              <w:t xml:space="preserve">ear </w:t>
            </w:r>
          </w:p>
          <w:p w14:paraId="189A65B1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 Worst </w:t>
            </w:r>
            <w:r>
              <w:rPr>
                <w:rFonts w:ascii="Times New Roman" w:hAnsi="Times New Roman" w:cs="Times New Roman"/>
              </w:rPr>
              <w:t>hearing e</w:t>
            </w:r>
            <w:r w:rsidRPr="009967CF">
              <w:rPr>
                <w:rFonts w:ascii="Times New Roman" w:hAnsi="Times New Roman" w:cs="Times New Roman"/>
              </w:rPr>
              <w:t xml:space="preserve">ar </w:t>
            </w:r>
          </w:p>
        </w:tc>
        <w:tc>
          <w:tcPr>
            <w:tcW w:w="2268" w:type="dxa"/>
            <w:vAlign w:val="center"/>
            <w:hideMark/>
          </w:tcPr>
          <w:p w14:paraId="763BE6F4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73180C8F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33 (10)</w:t>
            </w:r>
          </w:p>
          <w:p w14:paraId="7CA6B5C5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39 (11)</w:t>
            </w:r>
          </w:p>
        </w:tc>
        <w:tc>
          <w:tcPr>
            <w:tcW w:w="2268" w:type="dxa"/>
          </w:tcPr>
          <w:p w14:paraId="22982F1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43536E2E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44 (13)</w:t>
            </w:r>
          </w:p>
          <w:p w14:paraId="72B6B8F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50 (13)</w:t>
            </w:r>
          </w:p>
        </w:tc>
      </w:tr>
      <w:tr w:rsidR="00870ED6" w:rsidRPr="009967CF" w14:paraId="034D4BD2" w14:textId="77777777" w:rsidTr="00870ED6">
        <w:trPr>
          <w:trHeight w:val="714"/>
        </w:trPr>
        <w:tc>
          <w:tcPr>
            <w:tcW w:w="4957" w:type="dxa"/>
            <w:vAlign w:val="center"/>
            <w:hideMark/>
          </w:tcPr>
          <w:p w14:paraId="2B01D035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  <w:bCs/>
              </w:rPr>
              <w:t>Mean WRS, percentage (</w:t>
            </w:r>
            <w:r w:rsidRPr="009967CF">
              <w:rPr>
                <w:rFonts w:ascii="Times New Roman" w:hAnsi="Times New Roman" w:cs="Times New Roman"/>
              </w:rPr>
              <w:t>±</w:t>
            </w:r>
            <w:r w:rsidRPr="009967CF">
              <w:rPr>
                <w:rFonts w:ascii="Times New Roman" w:hAnsi="Times New Roman" w:cs="Times New Roman"/>
                <w:bCs/>
              </w:rPr>
              <w:t>SD)</w:t>
            </w:r>
          </w:p>
          <w:p w14:paraId="7F9D462F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 Better </w:t>
            </w:r>
            <w:r>
              <w:rPr>
                <w:rFonts w:ascii="Times New Roman" w:hAnsi="Times New Roman" w:cs="Times New Roman"/>
              </w:rPr>
              <w:t xml:space="preserve">hearing </w:t>
            </w:r>
            <w:r w:rsidRPr="009967CF">
              <w:rPr>
                <w:rFonts w:ascii="Times New Roman" w:hAnsi="Times New Roman" w:cs="Times New Roman"/>
              </w:rPr>
              <w:t xml:space="preserve">ear </w:t>
            </w:r>
          </w:p>
          <w:p w14:paraId="4F9A7D79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 Worst </w:t>
            </w:r>
            <w:r>
              <w:rPr>
                <w:rFonts w:ascii="Times New Roman" w:hAnsi="Times New Roman" w:cs="Times New Roman"/>
              </w:rPr>
              <w:t>hearing e</w:t>
            </w:r>
            <w:r w:rsidRPr="009967CF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2268" w:type="dxa"/>
            <w:vAlign w:val="center"/>
            <w:hideMark/>
          </w:tcPr>
          <w:p w14:paraId="74CC634B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600A3A5E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92 (12)</w:t>
            </w:r>
          </w:p>
          <w:p w14:paraId="036E0763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88 (16)</w:t>
            </w:r>
          </w:p>
        </w:tc>
        <w:tc>
          <w:tcPr>
            <w:tcW w:w="2268" w:type="dxa"/>
          </w:tcPr>
          <w:p w14:paraId="2F1E0F46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2F3CADA6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85 (16)</w:t>
            </w:r>
          </w:p>
          <w:p w14:paraId="45DE7C24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82 (18)</w:t>
            </w:r>
          </w:p>
        </w:tc>
      </w:tr>
      <w:tr w:rsidR="00870ED6" w:rsidRPr="009967CF" w14:paraId="0984390C" w14:textId="77777777" w:rsidTr="00870ED6">
        <w:trPr>
          <w:trHeight w:val="714"/>
        </w:trPr>
        <w:tc>
          <w:tcPr>
            <w:tcW w:w="4957" w:type="dxa"/>
            <w:vAlign w:val="center"/>
          </w:tcPr>
          <w:p w14:paraId="4762697E" w14:textId="77777777" w:rsidR="00870ED6" w:rsidRPr="009967CF" w:rsidRDefault="00870ED6" w:rsidP="00870ED6">
            <w:pPr>
              <w:rPr>
                <w:rFonts w:ascii="Times New Roman" w:hAnsi="Times New Roman" w:cs="Times New Roman"/>
                <w:bCs/>
              </w:rPr>
            </w:pPr>
            <w:r w:rsidRPr="009967CF">
              <w:rPr>
                <w:rFonts w:ascii="Times New Roman" w:hAnsi="Times New Roman" w:cs="Times New Roman"/>
                <w:bCs/>
              </w:rPr>
              <w:t xml:space="preserve">Interaural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9967CF">
              <w:rPr>
                <w:rFonts w:ascii="Times New Roman" w:hAnsi="Times New Roman" w:cs="Times New Roman"/>
                <w:bCs/>
              </w:rPr>
              <w:t xml:space="preserve">symmetry, </w:t>
            </w:r>
            <w:r w:rsidRPr="009967CF">
              <w:rPr>
                <w:rFonts w:ascii="Times New Roman" w:hAnsi="Times New Roman" w:cs="Times New Roman"/>
                <w:bCs/>
                <w:i/>
              </w:rPr>
              <w:t>n</w:t>
            </w:r>
            <w:r w:rsidRPr="009967CF">
              <w:rPr>
                <w:rFonts w:ascii="Times New Roman" w:hAnsi="Times New Roman" w:cs="Times New Roman"/>
                <w:bCs/>
              </w:rPr>
              <w:t xml:space="preserve"> (%)</w:t>
            </w:r>
          </w:p>
          <w:p w14:paraId="2575D514" w14:textId="77777777" w:rsidR="00870ED6" w:rsidRPr="009967CF" w:rsidRDefault="00870ED6" w:rsidP="00870ED6">
            <w:pPr>
              <w:rPr>
                <w:rFonts w:ascii="Times New Roman" w:hAnsi="Times New Roman" w:cs="Times New Roman"/>
                <w:bCs/>
              </w:rPr>
            </w:pPr>
            <w:r w:rsidRPr="009967CF">
              <w:rPr>
                <w:rFonts w:ascii="Times New Roman" w:hAnsi="Times New Roman" w:cs="Times New Roman"/>
                <w:bCs/>
              </w:rPr>
              <w:t xml:space="preserve">     Symmetric</w:t>
            </w:r>
          </w:p>
        </w:tc>
        <w:tc>
          <w:tcPr>
            <w:tcW w:w="2268" w:type="dxa"/>
            <w:vAlign w:val="center"/>
          </w:tcPr>
          <w:p w14:paraId="347C23A1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196F964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738 (83)</w:t>
            </w:r>
          </w:p>
        </w:tc>
        <w:tc>
          <w:tcPr>
            <w:tcW w:w="2268" w:type="dxa"/>
            <w:vAlign w:val="center"/>
          </w:tcPr>
          <w:p w14:paraId="68E503DF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34D2794C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274 (83)</w:t>
            </w:r>
          </w:p>
        </w:tc>
      </w:tr>
      <w:tr w:rsidR="00870ED6" w:rsidRPr="009967CF" w14:paraId="5F3D3F12" w14:textId="77777777" w:rsidTr="00870ED6">
        <w:trPr>
          <w:trHeight w:val="714"/>
        </w:trPr>
        <w:tc>
          <w:tcPr>
            <w:tcW w:w="4957" w:type="dxa"/>
            <w:vAlign w:val="center"/>
          </w:tcPr>
          <w:p w14:paraId="308D2C12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Tinnitus</w:t>
            </w:r>
            <w:r w:rsidRPr="009967CF">
              <w:rPr>
                <w:rFonts w:ascii="Times New Roman" w:hAnsi="Times New Roman" w:cs="Times New Roman"/>
                <w:bCs/>
              </w:rPr>
              <w:t xml:space="preserve">, </w:t>
            </w:r>
            <w:r w:rsidRPr="009967CF">
              <w:rPr>
                <w:rFonts w:ascii="Times New Roman" w:hAnsi="Times New Roman" w:cs="Times New Roman"/>
                <w:bCs/>
                <w:i/>
              </w:rPr>
              <w:t>n</w:t>
            </w:r>
            <w:r w:rsidRPr="009967CF">
              <w:rPr>
                <w:rFonts w:ascii="Times New Roman" w:hAnsi="Times New Roman" w:cs="Times New Roman"/>
                <w:bCs/>
              </w:rPr>
              <w:t xml:space="preserve"> (%)</w:t>
            </w:r>
            <w:r w:rsidRPr="009967CF">
              <w:rPr>
                <w:rFonts w:ascii="Times New Roman" w:hAnsi="Times New Roman" w:cs="Times New Roman"/>
              </w:rPr>
              <w:t xml:space="preserve"> </w:t>
            </w:r>
          </w:p>
          <w:p w14:paraId="32E0768C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  <w:bCs/>
              </w:rPr>
              <w:t xml:space="preserve">    Present (THI &gt; 16)</w:t>
            </w:r>
          </w:p>
        </w:tc>
        <w:tc>
          <w:tcPr>
            <w:tcW w:w="2268" w:type="dxa"/>
            <w:vAlign w:val="center"/>
          </w:tcPr>
          <w:p w14:paraId="6830A1B0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2CB7CC0F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184 (21)</w:t>
            </w:r>
          </w:p>
        </w:tc>
        <w:tc>
          <w:tcPr>
            <w:tcW w:w="2268" w:type="dxa"/>
            <w:vAlign w:val="center"/>
          </w:tcPr>
          <w:p w14:paraId="221C1D3D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2B9A7312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53 (16)</w:t>
            </w:r>
          </w:p>
        </w:tc>
      </w:tr>
      <w:tr w:rsidR="00870ED6" w:rsidRPr="009967CF" w14:paraId="3B0A8E29" w14:textId="77777777" w:rsidTr="00870ED6">
        <w:trPr>
          <w:trHeight w:val="714"/>
        </w:trPr>
        <w:tc>
          <w:tcPr>
            <w:tcW w:w="4957" w:type="dxa"/>
            <w:vAlign w:val="center"/>
          </w:tcPr>
          <w:p w14:paraId="4BA984F5" w14:textId="77777777" w:rsidR="00870ED6" w:rsidRPr="009967CF" w:rsidRDefault="00870ED6" w:rsidP="00870ED6">
            <w:pPr>
              <w:rPr>
                <w:rFonts w:ascii="Times New Roman" w:hAnsi="Times New Roman" w:cs="Times New Roman"/>
                <w:bCs/>
              </w:rPr>
            </w:pPr>
            <w:r w:rsidRPr="009967CF">
              <w:rPr>
                <w:rFonts w:ascii="Times New Roman" w:hAnsi="Times New Roman" w:cs="Times New Roman"/>
              </w:rPr>
              <w:t xml:space="preserve">Mean motivation </w:t>
            </w:r>
            <w:proofErr w:type="gramStart"/>
            <w:r w:rsidRPr="009967CF">
              <w:rPr>
                <w:rFonts w:ascii="Times New Roman" w:hAnsi="Times New Roman" w:cs="Times New Roman"/>
              </w:rPr>
              <w:t xml:space="preserve">score  </w:t>
            </w:r>
            <w:r w:rsidRPr="009967CF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9967CF">
              <w:rPr>
                <w:rFonts w:ascii="Times New Roman" w:hAnsi="Times New Roman" w:cs="Times New Roman"/>
              </w:rPr>
              <w:t>±</w:t>
            </w:r>
            <w:r w:rsidRPr="009967CF">
              <w:rPr>
                <w:rFonts w:ascii="Times New Roman" w:hAnsi="Times New Roman" w:cs="Times New Roman"/>
                <w:bCs/>
              </w:rPr>
              <w:t>SD)</w:t>
            </w:r>
          </w:p>
          <w:p w14:paraId="415E88AA" w14:textId="77777777" w:rsidR="00870ED6" w:rsidRPr="009967CF" w:rsidRDefault="00870ED6" w:rsidP="00870ED6">
            <w:pPr>
              <w:rPr>
                <w:rFonts w:ascii="Times New Roman" w:hAnsi="Times New Roman" w:cs="Times New Roman"/>
                <w:bCs/>
              </w:rPr>
            </w:pPr>
            <w:r w:rsidRPr="009967CF">
              <w:rPr>
                <w:rFonts w:ascii="Times New Roman" w:hAnsi="Times New Roman" w:cs="Times New Roman"/>
              </w:rPr>
              <w:t xml:space="preserve">Range (1–10)     </w:t>
            </w:r>
          </w:p>
        </w:tc>
        <w:tc>
          <w:tcPr>
            <w:tcW w:w="2268" w:type="dxa"/>
            <w:vAlign w:val="center"/>
          </w:tcPr>
          <w:p w14:paraId="62ADBD8B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8 (2)</w:t>
            </w:r>
          </w:p>
        </w:tc>
        <w:tc>
          <w:tcPr>
            <w:tcW w:w="2268" w:type="dxa"/>
            <w:vAlign w:val="center"/>
          </w:tcPr>
          <w:p w14:paraId="3E4D6AE4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9 (1)</w:t>
            </w:r>
          </w:p>
        </w:tc>
      </w:tr>
      <w:tr w:rsidR="00870ED6" w:rsidRPr="009967CF" w14:paraId="09AFF6C0" w14:textId="77777777" w:rsidTr="00870ED6">
        <w:trPr>
          <w:trHeight w:val="444"/>
        </w:trPr>
        <w:tc>
          <w:tcPr>
            <w:tcW w:w="4957" w:type="dxa"/>
            <w:vAlign w:val="center"/>
          </w:tcPr>
          <w:p w14:paraId="1EFC92DD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HA type, n (%)</w:t>
            </w:r>
          </w:p>
          <w:p w14:paraId="5A9AE533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BTE (RITE)</w:t>
            </w:r>
          </w:p>
          <w:p w14:paraId="0357C938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BTE (molded earplug) </w:t>
            </w:r>
          </w:p>
          <w:p w14:paraId="59CF2E34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BTE (power)</w:t>
            </w:r>
          </w:p>
          <w:p w14:paraId="7C2C57F4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BTE (thin tube)</w:t>
            </w:r>
          </w:p>
          <w:p w14:paraId="4C372E64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ITC</w:t>
            </w:r>
          </w:p>
          <w:p w14:paraId="7BFB8AD1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CIC</w:t>
            </w:r>
          </w:p>
        </w:tc>
        <w:tc>
          <w:tcPr>
            <w:tcW w:w="2268" w:type="dxa"/>
            <w:vAlign w:val="center"/>
          </w:tcPr>
          <w:p w14:paraId="7C09619E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0EF2E79B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767 (87)</w:t>
            </w:r>
          </w:p>
          <w:p w14:paraId="17ABECDE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104 (12)</w:t>
            </w:r>
          </w:p>
          <w:p w14:paraId="39AAC608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           5  </w:t>
            </w:r>
          </w:p>
          <w:p w14:paraId="677C0263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1B7475DF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           1</w:t>
            </w:r>
          </w:p>
          <w:p w14:paraId="5DDAA0AF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           1 </w:t>
            </w:r>
          </w:p>
        </w:tc>
        <w:tc>
          <w:tcPr>
            <w:tcW w:w="2268" w:type="dxa"/>
          </w:tcPr>
          <w:p w14:paraId="27534E04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41E4AD45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234 (71)</w:t>
            </w:r>
          </w:p>
          <w:p w14:paraId="7CD8044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7</w:t>
            </w:r>
            <w:r>
              <w:rPr>
                <w:rFonts w:ascii="Times New Roman" w:hAnsi="Times New Roman" w:cs="Times New Roman"/>
              </w:rPr>
              <w:t>0</w:t>
            </w:r>
            <w:r w:rsidRPr="009967CF">
              <w:rPr>
                <w:rFonts w:ascii="Times New Roman" w:hAnsi="Times New Roman" w:cs="Times New Roman"/>
              </w:rPr>
              <w:t xml:space="preserve"> (22)</w:t>
            </w:r>
          </w:p>
          <w:p w14:paraId="062944A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13 (4)</w:t>
            </w:r>
          </w:p>
          <w:p w14:paraId="783B964D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4 (1)</w:t>
            </w:r>
          </w:p>
          <w:p w14:paraId="21020DCC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5 (1)</w:t>
            </w:r>
          </w:p>
          <w:p w14:paraId="66D80E7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3 (1)</w:t>
            </w:r>
          </w:p>
        </w:tc>
      </w:tr>
      <w:tr w:rsidR="00870ED6" w:rsidRPr="009967CF" w14:paraId="1D6344D3" w14:textId="77777777" w:rsidTr="00870ED6">
        <w:trPr>
          <w:trHeight w:val="1848"/>
        </w:trPr>
        <w:tc>
          <w:tcPr>
            <w:tcW w:w="4957" w:type="dxa"/>
            <w:vAlign w:val="center"/>
          </w:tcPr>
          <w:p w14:paraId="3E99DF78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Acoustic Fitting type, n (%) </w:t>
            </w:r>
          </w:p>
          <w:p w14:paraId="301ECF85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Open dome</w:t>
            </w:r>
          </w:p>
          <w:p w14:paraId="290BDB63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Tulip dome (semi-open)</w:t>
            </w:r>
          </w:p>
          <w:p w14:paraId="46EC360A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Double tulip dome (power)</w:t>
            </w:r>
          </w:p>
          <w:p w14:paraId="6EE1E5A3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Custom earmold</w:t>
            </w:r>
          </w:p>
          <w:p w14:paraId="6B338D68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  Closed dome</w:t>
            </w:r>
          </w:p>
        </w:tc>
        <w:tc>
          <w:tcPr>
            <w:tcW w:w="2268" w:type="dxa"/>
            <w:vAlign w:val="center"/>
          </w:tcPr>
          <w:p w14:paraId="33C4BDE7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1DB608C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548 (62)</w:t>
            </w:r>
          </w:p>
          <w:p w14:paraId="6B7BAD8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59 (7)</w:t>
            </w:r>
          </w:p>
          <w:p w14:paraId="02BD2230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9 (1)</w:t>
            </w:r>
          </w:p>
          <w:p w14:paraId="2CD52E95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Pr="009967CF">
              <w:rPr>
                <w:rFonts w:ascii="Times New Roman" w:hAnsi="Times New Roman" w:cs="Times New Roman"/>
              </w:rPr>
              <w:t xml:space="preserve"> (20)</w:t>
            </w:r>
          </w:p>
          <w:p w14:paraId="0968C4E1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94 (10)</w:t>
            </w:r>
          </w:p>
        </w:tc>
        <w:tc>
          <w:tcPr>
            <w:tcW w:w="2268" w:type="dxa"/>
            <w:vAlign w:val="center"/>
          </w:tcPr>
          <w:p w14:paraId="13559F71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</w:p>
          <w:p w14:paraId="56D27243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115 (35)</w:t>
            </w:r>
          </w:p>
          <w:p w14:paraId="627667BA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37 (11)</w:t>
            </w:r>
          </w:p>
          <w:p w14:paraId="73764048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 4 (1)</w:t>
            </w:r>
          </w:p>
          <w:p w14:paraId="1A8CF1B6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0</w:t>
            </w:r>
            <w:r w:rsidRPr="009967CF">
              <w:rPr>
                <w:rFonts w:ascii="Times New Roman" w:hAnsi="Times New Roman" w:cs="Times New Roman"/>
              </w:rPr>
              <w:t>(43)</w:t>
            </w:r>
          </w:p>
          <w:p w14:paraId="2C2187CB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 33 (10)</w:t>
            </w:r>
          </w:p>
        </w:tc>
      </w:tr>
      <w:tr w:rsidR="00870ED6" w:rsidRPr="009967CF" w14:paraId="0DE6BA83" w14:textId="77777777" w:rsidTr="00870ED6">
        <w:trPr>
          <w:trHeight w:val="602"/>
        </w:trPr>
        <w:tc>
          <w:tcPr>
            <w:tcW w:w="4957" w:type="dxa"/>
            <w:vAlign w:val="center"/>
          </w:tcPr>
          <w:p w14:paraId="04541079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Mean HA usage time, hours per day (±SD) </w:t>
            </w:r>
          </w:p>
          <w:p w14:paraId="28089FD1" w14:textId="77777777" w:rsidR="00870ED6" w:rsidRPr="009967CF" w:rsidRDefault="00870ED6" w:rsidP="00870ED6">
            <w:pPr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(range)</w:t>
            </w:r>
          </w:p>
        </w:tc>
        <w:tc>
          <w:tcPr>
            <w:tcW w:w="2268" w:type="dxa"/>
            <w:vAlign w:val="center"/>
          </w:tcPr>
          <w:p w14:paraId="6DE7CEB1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8 (5)</w:t>
            </w:r>
          </w:p>
          <w:p w14:paraId="70F15E39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(0-24)</w:t>
            </w:r>
          </w:p>
        </w:tc>
        <w:tc>
          <w:tcPr>
            <w:tcW w:w="2268" w:type="dxa"/>
          </w:tcPr>
          <w:p w14:paraId="76B8AFB5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 xml:space="preserve"> 10 (5)</w:t>
            </w:r>
          </w:p>
          <w:p w14:paraId="2639AE76" w14:textId="77777777" w:rsidR="00870ED6" w:rsidRPr="009967CF" w:rsidRDefault="00870ED6" w:rsidP="00870ED6">
            <w:pPr>
              <w:jc w:val="center"/>
              <w:rPr>
                <w:rFonts w:ascii="Times New Roman" w:hAnsi="Times New Roman" w:cs="Times New Roman"/>
              </w:rPr>
            </w:pPr>
            <w:r w:rsidRPr="009967CF">
              <w:rPr>
                <w:rFonts w:ascii="Times New Roman" w:hAnsi="Times New Roman" w:cs="Times New Roman"/>
              </w:rPr>
              <w:t>(0-24)</w:t>
            </w:r>
          </w:p>
        </w:tc>
      </w:tr>
    </w:tbl>
    <w:p w14:paraId="7FE70790" w14:textId="77777777" w:rsidR="00870ED6" w:rsidRPr="00870ED6" w:rsidRDefault="00870ED6" w:rsidP="00870ED6"/>
    <w:p w14:paraId="52B6F364" w14:textId="77777777" w:rsidR="00C763C9" w:rsidRDefault="00C763C9" w:rsidP="00C763C9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sectPr w:rsidR="00C763C9" w:rsidSect="003014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01" w:right="1134" w:bottom="1701" w:left="1134" w:header="709" w:footer="709" w:gutter="0"/>
          <w:cols w:space="708"/>
          <w:docGrid w:linePitch="360"/>
        </w:sectPr>
      </w:pPr>
    </w:p>
    <w:p w14:paraId="58F8FC7F" w14:textId="5C0B3B80" w:rsidR="00303940" w:rsidRPr="000B1C49" w:rsidRDefault="00FB63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C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Appendix </w:t>
      </w:r>
      <w:r w:rsidR="003B1D99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</w:p>
    <w:p w14:paraId="45DF165C" w14:textId="77777777" w:rsidR="00303940" w:rsidRPr="00BA430B" w:rsidRDefault="00303940" w:rsidP="00303940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Self-reported Outcomes</w:t>
      </w:r>
    </w:p>
    <w:p w14:paraId="1A69A157" w14:textId="29855A1E" w:rsidR="00303940" w:rsidRPr="00895A92" w:rsidRDefault="00303940" w:rsidP="00554C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67CF">
        <w:rPr>
          <w:rFonts w:ascii="Times New Roman" w:hAnsi="Times New Roman" w:cs="Times New Roman"/>
          <w:sz w:val="24"/>
          <w:szCs w:val="24"/>
        </w:rPr>
        <w:t xml:space="preserve">The bar plot in </w:t>
      </w:r>
      <w:r>
        <w:rPr>
          <w:rFonts w:ascii="Times New Roman" w:hAnsi="Times New Roman" w:cs="Times New Roman"/>
          <w:sz w:val="24"/>
          <w:szCs w:val="24"/>
        </w:rPr>
        <w:t>Figure 1</w:t>
      </w:r>
      <w:r w:rsidRPr="009967CF">
        <w:rPr>
          <w:rFonts w:ascii="Times New Roman" w:hAnsi="Times New Roman" w:cs="Times New Roman"/>
          <w:sz w:val="24"/>
          <w:szCs w:val="24"/>
        </w:rPr>
        <w:t xml:space="preserve"> shows the median, min, and max values for the IOI-HA </w:t>
      </w:r>
      <w:r>
        <w:rPr>
          <w:rFonts w:ascii="Times New Roman" w:hAnsi="Times New Roman" w:cs="Times New Roman"/>
          <w:sz w:val="24"/>
          <w:szCs w:val="24"/>
        </w:rPr>
        <w:t xml:space="preserve">Factor 1 and Factor 1 scores calculated after applying the utility weights to the individual IOI-HA item scores. The experienced users report a significantly higher </w:t>
      </w:r>
      <w:r w:rsidRPr="00895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 Factor 1 score and lower mean Factor 2 score </w:t>
      </w:r>
      <w:r w:rsidR="00FB6350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Pr="00895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first-time users in a paired t-test.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7C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result in Figure 2 suggests that the first-time users reported </w:t>
      </w:r>
      <w:r w:rsidRPr="00895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significantly higher scores than experienced users in all three subscales of SSQ12. The mean scores for experienced users were 4.76, 6.3, and 6.15 for speech, spatial, and quality subscales. </w:t>
      </w:r>
      <w:r w:rsidR="000B1C49">
        <w:rPr>
          <w:rFonts w:ascii="Times New Roman" w:hAnsi="Times New Roman" w:cs="Times New Roman"/>
          <w:color w:val="000000" w:themeColor="text1"/>
          <w:sz w:val="24"/>
          <w:szCs w:val="24"/>
        </w:rPr>
        <w:t>The speech, spatial, and quality domain scores for first-time user</w:t>
      </w:r>
      <w:r w:rsidRPr="00895A92">
        <w:rPr>
          <w:rFonts w:ascii="Times New Roman" w:hAnsi="Times New Roman" w:cs="Times New Roman"/>
          <w:color w:val="000000" w:themeColor="text1"/>
          <w:sz w:val="24"/>
          <w:szCs w:val="24"/>
        </w:rPr>
        <w:t>s were 5.76, 6.9, and 6.7</w:t>
      </w:r>
      <w:r w:rsidR="001F51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5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respectively.</w:t>
      </w:r>
    </w:p>
    <w:p w14:paraId="71BA261B" w14:textId="5FB0B760" w:rsidR="0018505E" w:rsidRPr="00A2531F" w:rsidRDefault="0018505E" w:rsidP="0018505E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Figure </w:t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05019A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Whisker box plot for IOI-HA Factor 1 (Benefit) and IOI-HA Factor 2 (Residual Activity) scores. The</w:t>
      </w:r>
      <w:r w:rsidR="00FD1391"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scores were calculated after re-coding IOI-HA ordinal data to an interval scale using the numerical values</w:t>
      </w:r>
      <w:r w:rsidR="00FD1391"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suggested in </w:t>
      </w:r>
      <w:proofErr w:type="spellStart"/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Leijon</w:t>
      </w:r>
      <w:proofErr w:type="spellEnd"/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et al, </w:t>
      </w:r>
      <w:r w:rsidR="0060765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2021). The *** indicates a p-value of ≤ 0.001</w:t>
      </w:r>
      <w:r w:rsid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suggesting a significant difference</w:t>
      </w:r>
      <w:r w:rsidR="00FD1391"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FD139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between the mean scores of first-time and experienced users.</w:t>
      </w:r>
      <w:r w:rsidR="0005019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 higher score indicates a </w:t>
      </w:r>
      <w:r w:rsidR="00B834C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better </w:t>
      </w:r>
      <w:r w:rsidR="0005019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HA outcome.</w:t>
      </w:r>
      <w:r w:rsidR="00606B8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D170A6" w:rsidRPr="00D170A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The box represents the 25% and 75% quartiles,</w:t>
      </w:r>
      <w:r w:rsidR="00234C8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and</w:t>
      </w:r>
      <w:r w:rsidR="00D170A6" w:rsidRPr="00D170A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the error bar denotes </w:t>
      </w:r>
      <w:r w:rsidR="00AC218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</w:t>
      </w:r>
      <w:r w:rsidR="00D170A6" w:rsidRPr="00D170A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95% confidence interval</w:t>
      </w:r>
      <w:r w:rsidR="00AC218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AC2181" w:rsidRPr="00A2531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</w:t>
      </w:r>
      <w:r w:rsidR="005064FD" w:rsidRPr="00A2531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he data points outside the 95% confidence intervals are shown as dots</w:t>
      </w:r>
      <w:r w:rsidR="00D170A6" w:rsidRPr="00A2531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4C36D996" w14:textId="77777777" w:rsidR="00423A37" w:rsidRPr="00423A37" w:rsidRDefault="00423A37" w:rsidP="00423A37"/>
    <w:p w14:paraId="4A2D77CC" w14:textId="6A80CEAC" w:rsidR="00001135" w:rsidRDefault="00E211C7" w:rsidP="0018505E">
      <w:pPr>
        <w:jc w:val="center"/>
      </w:pPr>
      <w:r>
        <w:rPr>
          <w:noProof/>
        </w:rPr>
        <w:drawing>
          <wp:inline distT="0" distB="0" distL="0" distR="0" wp14:anchorId="118236A8" wp14:editId="34896A09">
            <wp:extent cx="4572009" cy="3200407"/>
            <wp:effectExtent l="0" t="0" r="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32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BE2A" w14:textId="635C3C99" w:rsidR="0005019A" w:rsidRDefault="00001135" w:rsidP="00D170A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br w:type="page"/>
      </w:r>
      <w:r w:rsidR="0005019A" w:rsidRPr="009E24F8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05019A" w:rsidRPr="009E24F8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05019A" w:rsidRPr="009E24F8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05019A" w:rsidRPr="009E24F8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05019A" w:rsidRPr="009E24F8">
        <w:rPr>
          <w:rFonts w:ascii="Times New Roman" w:hAnsi="Times New Roman" w:cs="Times New Roman"/>
          <w:noProof/>
          <w:sz w:val="24"/>
          <w:szCs w:val="24"/>
        </w:rPr>
        <w:t>2</w:t>
      </w:r>
      <w:r w:rsidR="0005019A" w:rsidRPr="009E24F8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E24F8">
        <w:rPr>
          <w:rFonts w:ascii="Times New Roman" w:hAnsi="Times New Roman" w:cs="Times New Roman"/>
          <w:sz w:val="24"/>
          <w:szCs w:val="24"/>
        </w:rPr>
        <w:t>:</w:t>
      </w:r>
      <w:r w:rsidR="001428E7" w:rsidRPr="001428E7">
        <w:rPr>
          <w:rFonts w:ascii="Times New Roman" w:hAnsi="Times New Roman" w:cs="Times New Roman"/>
          <w:sz w:val="24"/>
          <w:szCs w:val="24"/>
        </w:rPr>
        <w:t xml:space="preserve"> Whisker boxplot for three subscales of SSQ for the first-time and experienced user. The ***indicates a p-value of ≤ 0.001</w:t>
      </w:r>
      <w:r w:rsidR="00B12763">
        <w:rPr>
          <w:rFonts w:ascii="Times New Roman" w:hAnsi="Times New Roman" w:cs="Times New Roman"/>
          <w:sz w:val="24"/>
          <w:szCs w:val="24"/>
        </w:rPr>
        <w:t>,</w:t>
      </w:r>
      <w:r w:rsidR="001428E7" w:rsidRPr="001428E7">
        <w:rPr>
          <w:rFonts w:ascii="Times New Roman" w:hAnsi="Times New Roman" w:cs="Times New Roman"/>
          <w:sz w:val="24"/>
          <w:szCs w:val="24"/>
        </w:rPr>
        <w:t xml:space="preserve"> suggesting a significant difference between the mean scores of first-time and</w:t>
      </w:r>
      <w:r w:rsidR="00B12763">
        <w:rPr>
          <w:rFonts w:ascii="Times New Roman" w:hAnsi="Times New Roman" w:cs="Times New Roman"/>
          <w:sz w:val="24"/>
          <w:szCs w:val="24"/>
        </w:rPr>
        <w:t xml:space="preserve"> </w:t>
      </w:r>
      <w:r w:rsidR="001428E7" w:rsidRPr="001428E7">
        <w:rPr>
          <w:rFonts w:ascii="Times New Roman" w:hAnsi="Times New Roman" w:cs="Times New Roman"/>
          <w:sz w:val="24"/>
          <w:szCs w:val="24"/>
        </w:rPr>
        <w:t>experienced users.</w:t>
      </w:r>
      <w:r w:rsidR="00B12763">
        <w:rPr>
          <w:rFonts w:ascii="Times New Roman" w:hAnsi="Times New Roman" w:cs="Times New Roman"/>
          <w:sz w:val="24"/>
          <w:szCs w:val="24"/>
        </w:rPr>
        <w:t xml:space="preserve"> A higher score indicates a </w:t>
      </w:r>
      <w:r w:rsidR="00B834C4">
        <w:rPr>
          <w:rFonts w:ascii="Times New Roman" w:hAnsi="Times New Roman" w:cs="Times New Roman"/>
          <w:sz w:val="24"/>
          <w:szCs w:val="24"/>
        </w:rPr>
        <w:t xml:space="preserve">better </w:t>
      </w:r>
      <w:r w:rsidR="00B12763">
        <w:rPr>
          <w:rFonts w:ascii="Times New Roman" w:hAnsi="Times New Roman" w:cs="Times New Roman"/>
          <w:sz w:val="24"/>
          <w:szCs w:val="24"/>
        </w:rPr>
        <w:t>HA outcome.</w:t>
      </w:r>
      <w:r w:rsidR="00D17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70A6" w:rsidRPr="00D170A6">
        <w:rPr>
          <w:rFonts w:ascii="Times New Roman" w:hAnsi="Times New Roman" w:cs="Times New Roman"/>
          <w:sz w:val="24"/>
          <w:szCs w:val="24"/>
        </w:rPr>
        <w:t xml:space="preserve">The box represents the 25% and 75% </w:t>
      </w:r>
      <w:proofErr w:type="gramStart"/>
      <w:r w:rsidR="00D170A6" w:rsidRPr="00D170A6">
        <w:rPr>
          <w:rFonts w:ascii="Times New Roman" w:hAnsi="Times New Roman" w:cs="Times New Roman"/>
          <w:sz w:val="24"/>
          <w:szCs w:val="24"/>
        </w:rPr>
        <w:t xml:space="preserve">quartiles, </w:t>
      </w:r>
      <w:r w:rsidR="00554C36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554C36">
        <w:rPr>
          <w:rFonts w:ascii="Times New Roman" w:hAnsi="Times New Roman" w:cs="Times New Roman"/>
          <w:sz w:val="24"/>
          <w:szCs w:val="24"/>
        </w:rPr>
        <w:t xml:space="preserve"> </w:t>
      </w:r>
      <w:r w:rsidR="00D170A6" w:rsidRPr="00D170A6">
        <w:rPr>
          <w:rFonts w:ascii="Times New Roman" w:hAnsi="Times New Roman" w:cs="Times New Roman"/>
          <w:sz w:val="24"/>
          <w:szCs w:val="24"/>
        </w:rPr>
        <w:t xml:space="preserve">the error bar denotes </w:t>
      </w:r>
      <w:r w:rsidR="00554C36">
        <w:rPr>
          <w:rFonts w:ascii="Times New Roman" w:hAnsi="Times New Roman" w:cs="Times New Roman"/>
          <w:sz w:val="24"/>
          <w:szCs w:val="24"/>
        </w:rPr>
        <w:t xml:space="preserve">a </w:t>
      </w:r>
      <w:r w:rsidR="00D170A6" w:rsidRPr="00D170A6">
        <w:rPr>
          <w:rFonts w:ascii="Times New Roman" w:hAnsi="Times New Roman" w:cs="Times New Roman"/>
          <w:sz w:val="24"/>
          <w:szCs w:val="24"/>
        </w:rPr>
        <w:t>95% confidence interval</w:t>
      </w:r>
      <w:r w:rsidR="009323AF">
        <w:rPr>
          <w:rFonts w:ascii="Times New Roman" w:hAnsi="Times New Roman" w:cs="Times New Roman"/>
          <w:sz w:val="24"/>
          <w:szCs w:val="24"/>
        </w:rPr>
        <w:t>. T</w:t>
      </w:r>
      <w:r w:rsidR="005064FD">
        <w:rPr>
          <w:rFonts w:ascii="Times New Roman" w:hAnsi="Times New Roman" w:cs="Times New Roman"/>
          <w:sz w:val="24"/>
          <w:szCs w:val="24"/>
        </w:rPr>
        <w:t xml:space="preserve">he </w:t>
      </w:r>
      <w:r w:rsidR="004D295B" w:rsidRPr="004D295B">
        <w:rPr>
          <w:rFonts w:ascii="Times New Roman" w:hAnsi="Times New Roman" w:cs="Times New Roman"/>
          <w:sz w:val="24"/>
          <w:szCs w:val="24"/>
        </w:rPr>
        <w:t>data points outside the 95% confidence intervals are shown as dots</w:t>
      </w:r>
      <w:r w:rsidR="00D170A6" w:rsidRPr="00D170A6">
        <w:rPr>
          <w:rFonts w:ascii="Times New Roman" w:hAnsi="Times New Roman" w:cs="Times New Roman"/>
          <w:sz w:val="24"/>
          <w:szCs w:val="24"/>
        </w:rPr>
        <w:t>.</w:t>
      </w:r>
    </w:p>
    <w:p w14:paraId="37CAA80F" w14:textId="77777777" w:rsidR="000C440F" w:rsidRPr="000C440F" w:rsidRDefault="000C440F" w:rsidP="000C440F"/>
    <w:p w14:paraId="4510002D" w14:textId="5088C6CA" w:rsidR="003B1D99" w:rsidRDefault="00E211C7" w:rsidP="00B12763">
      <w:pPr>
        <w:jc w:val="center"/>
      </w:pPr>
      <w:r>
        <w:rPr>
          <w:noProof/>
        </w:rPr>
        <w:drawing>
          <wp:inline distT="0" distB="0" distL="0" distR="0" wp14:anchorId="2A3F24E7" wp14:editId="2A5F9717">
            <wp:extent cx="4572009" cy="3200407"/>
            <wp:effectExtent l="0" t="0" r="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ox and whisker ch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32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435E" w14:textId="77777777" w:rsidR="003B1D99" w:rsidRDefault="003B1D99">
      <w:r>
        <w:br w:type="page"/>
      </w:r>
    </w:p>
    <w:p w14:paraId="17FC606D" w14:textId="6B619DEF" w:rsidR="003B1D99" w:rsidRPr="00A828DE" w:rsidRDefault="003B1D99" w:rsidP="003B1D99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u w:val="single"/>
        </w:rPr>
      </w:pPr>
      <w:r w:rsidRPr="00A828D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u w:val="single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u w:val="single"/>
        </w:rPr>
        <w:t>C</w:t>
      </w:r>
    </w:p>
    <w:p w14:paraId="480C0060" w14:textId="77777777" w:rsidR="003B1D99" w:rsidRPr="001C59D4" w:rsidRDefault="003B1D99" w:rsidP="003B1D99">
      <w:pPr>
        <w:pStyle w:val="Caption"/>
        <w:keepNext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EC742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Table </w:t>
      </w:r>
      <w:r w:rsidRPr="00EC742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Pr="00EC742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EC742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Pr="00EC7423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2</w:t>
      </w:r>
      <w:r w:rsidRPr="00EC742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EC742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: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S</w:t>
      </w:r>
      <w:r w:rsidRPr="00B61A4C">
        <w:rPr>
          <w:rFonts w:ascii="Times New Roman" w:hAnsi="Times New Roman" w:cs="Times New Roman"/>
          <w:i w:val="0"/>
          <w:color w:val="000000" w:themeColor="text1"/>
          <w:sz w:val="24"/>
        </w:rPr>
        <w:t>tepwise multiple linear regression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analysis of two IOI-HA Factor 1 scores for first-time HA users without including motivation variable. The results are shown only for the model for the gain difference to NAL-NL2. </w:t>
      </w:r>
      <w:r w:rsidRPr="00B61A4C">
        <w:rPr>
          <w:rFonts w:ascii="Times New Roman" w:hAnsi="Times New Roman" w:cs="Times New Roman"/>
          <w:i w:val="0"/>
          <w:color w:val="000000" w:themeColor="text1"/>
          <w:sz w:val="24"/>
        </w:rPr>
        <w:t>***p&lt;0.001, **p&lt;0.01, *p&lt;0.05.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  <w:r w:rsidRPr="001C59D4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NA means that the variable was not included </w:t>
      </w: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in </w:t>
      </w:r>
      <w:r w:rsidRPr="001C59D4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the model suggested by stepwise elimination. </w:t>
      </w:r>
    </w:p>
    <w:p w14:paraId="0F77475B" w14:textId="77777777" w:rsidR="003B1D99" w:rsidRPr="00EC7423" w:rsidRDefault="003B1D99" w:rsidP="003B1D99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5665" w:type="dxa"/>
        <w:jc w:val="center"/>
        <w:tblLook w:val="04A0" w:firstRow="1" w:lastRow="0" w:firstColumn="1" w:lastColumn="0" w:noHBand="0" w:noVBand="1"/>
      </w:tblPr>
      <w:tblGrid>
        <w:gridCol w:w="3114"/>
        <w:gridCol w:w="2551"/>
      </w:tblGrid>
      <w:tr w:rsidR="003B1D99" w:rsidRPr="009967CF" w14:paraId="3E19E00B" w14:textId="77777777" w:rsidTr="00A828DE">
        <w:trPr>
          <w:trHeight w:val="349"/>
          <w:jc w:val="center"/>
        </w:trPr>
        <w:tc>
          <w:tcPr>
            <w:tcW w:w="3114" w:type="dxa"/>
            <w:vMerge w:val="restart"/>
          </w:tcPr>
          <w:p w14:paraId="6DF937C9" w14:textId="77777777" w:rsidR="003B1D99" w:rsidRPr="009967CF" w:rsidRDefault="003B1D99" w:rsidP="00A828D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CDE1009" w14:textId="77777777" w:rsidR="003B1D99" w:rsidRPr="009967CF" w:rsidRDefault="003B1D99" w:rsidP="00A8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First-time</w:t>
            </w:r>
            <w:r w:rsidRPr="009967CF">
              <w:rPr>
                <w:rFonts w:ascii="Times New Roman" w:hAnsi="Times New Roman" w:cs="Times New Roman"/>
              </w:rPr>
              <w:t xml:space="preserve"> Users</w:t>
            </w:r>
            <w:r>
              <w:rPr>
                <w:rFonts w:ascii="Times New Roman" w:hAnsi="Times New Roman" w:cs="Times New Roman"/>
              </w:rPr>
              <w:t xml:space="preserve"> (n = 884)</w:t>
            </w:r>
          </w:p>
        </w:tc>
      </w:tr>
      <w:tr w:rsidR="003B1D99" w:rsidRPr="009967CF" w14:paraId="37AE8C41" w14:textId="77777777" w:rsidTr="00A828DE">
        <w:trPr>
          <w:trHeight w:val="278"/>
          <w:jc w:val="center"/>
        </w:trPr>
        <w:tc>
          <w:tcPr>
            <w:tcW w:w="3114" w:type="dxa"/>
            <w:vMerge/>
          </w:tcPr>
          <w:p w14:paraId="01B4D75F" w14:textId="77777777" w:rsidR="003B1D99" w:rsidRPr="009967CF" w:rsidRDefault="003B1D99" w:rsidP="00A828D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1B71508" w14:textId="77777777" w:rsidR="003B1D99" w:rsidRPr="009967CF" w:rsidRDefault="003B1D99" w:rsidP="00A8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IOI-HA </w:t>
            </w:r>
            <w:r w:rsidRPr="009967CF">
              <w:rPr>
                <w:rFonts w:ascii="Times New Roman" w:hAnsi="Times New Roman" w:cs="Times New Roman"/>
              </w:rPr>
              <w:t>Factor1</w:t>
            </w:r>
          </w:p>
        </w:tc>
      </w:tr>
      <w:tr w:rsidR="003B1D99" w:rsidRPr="009967CF" w14:paraId="3EE420F1" w14:textId="77777777" w:rsidTr="00A828DE">
        <w:trPr>
          <w:trHeight w:val="278"/>
          <w:jc w:val="center"/>
        </w:trPr>
        <w:tc>
          <w:tcPr>
            <w:tcW w:w="3114" w:type="dxa"/>
            <w:vMerge/>
          </w:tcPr>
          <w:p w14:paraId="3E477ADF" w14:textId="77777777" w:rsidR="003B1D99" w:rsidRPr="009967CF" w:rsidRDefault="003B1D99" w:rsidP="00A828D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7418E02" w14:textId="77777777" w:rsidR="003B1D99" w:rsidRPr="00DB1B39" w:rsidRDefault="003B1D99" w:rsidP="00A82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B1B39">
              <w:rPr>
                <w:rFonts w:ascii="Times New Roman" w:hAnsi="Times New Roman" w:cs="Times New Roman"/>
                <w:sz w:val="18"/>
                <w:szCs w:val="20"/>
              </w:rPr>
              <w:t>Adj. R</w:t>
            </w:r>
            <w:r w:rsidRPr="00DB1B39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r w:rsidRPr="00DB1B39">
              <w:rPr>
                <w:rFonts w:ascii="Times New Roman" w:hAnsi="Times New Roman" w:cs="Times New Roman"/>
                <w:sz w:val="18"/>
                <w:szCs w:val="20"/>
              </w:rPr>
              <w:t xml:space="preserve"> = 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DB1B39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14:paraId="08F1CA22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B1B39">
              <w:rPr>
                <w:rFonts w:ascii="Times New Roman" w:hAnsi="Times New Roman" w:cs="Times New Roman"/>
                <w:sz w:val="18"/>
                <w:szCs w:val="20"/>
              </w:rPr>
              <w:t>Prob&gt;F = 0.00</w:t>
            </w:r>
          </w:p>
        </w:tc>
      </w:tr>
      <w:tr w:rsidR="003B1D99" w:rsidRPr="009967CF" w14:paraId="52E5DDDD" w14:textId="77777777" w:rsidTr="00A828DE">
        <w:trPr>
          <w:trHeight w:val="278"/>
          <w:jc w:val="center"/>
        </w:trPr>
        <w:tc>
          <w:tcPr>
            <w:tcW w:w="3114" w:type="dxa"/>
            <w:vMerge/>
          </w:tcPr>
          <w:p w14:paraId="50D085EE" w14:textId="77777777" w:rsidR="003B1D99" w:rsidRPr="009967CF" w:rsidRDefault="003B1D99" w:rsidP="00A828D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AAEE721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B1B39">
              <w:rPr>
                <w:rFonts w:ascii="Times New Roman" w:hAnsi="Times New Roman" w:cs="Times New Roman"/>
                <w:sz w:val="18"/>
                <w:szCs w:val="20"/>
              </w:rPr>
              <w:t>Coef. (95%CI)</w:t>
            </w:r>
          </w:p>
        </w:tc>
      </w:tr>
      <w:tr w:rsidR="003B1D99" w:rsidRPr="009967CF" w14:paraId="428AA762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577D514F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</w:rPr>
              <w:t xml:space="preserve">HA usage time </w:t>
            </w:r>
          </w:p>
        </w:tc>
        <w:tc>
          <w:tcPr>
            <w:tcW w:w="2551" w:type="dxa"/>
            <w:vAlign w:val="center"/>
          </w:tcPr>
          <w:p w14:paraId="7DA51E5C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B39">
              <w:rPr>
                <w:rFonts w:ascii="Times New Roman" w:hAnsi="Times New Roman" w:cs="Times New Roman"/>
                <w:b/>
              </w:rPr>
              <w:t>0.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DB1B39">
              <w:rPr>
                <w:rFonts w:ascii="Times New Roman" w:hAnsi="Times New Roman" w:cs="Times New Roman"/>
                <w:b/>
              </w:rPr>
              <w:t xml:space="preserve"> (0.0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B1B39">
              <w:rPr>
                <w:rFonts w:ascii="Times New Roman" w:hAnsi="Times New Roman" w:cs="Times New Roman"/>
                <w:b/>
              </w:rPr>
              <w:t>;0.1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1B39">
              <w:rPr>
                <w:rFonts w:ascii="Times New Roman" w:hAnsi="Times New Roman" w:cs="Times New Roman"/>
                <w:b/>
              </w:rPr>
              <w:t>) ***</w:t>
            </w:r>
          </w:p>
        </w:tc>
      </w:tr>
      <w:tr w:rsidR="003B1D99" w:rsidRPr="009967CF" w14:paraId="40739D50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5C442D19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</w:rPr>
              <w:t>PTA (best ear)</w:t>
            </w:r>
          </w:p>
        </w:tc>
        <w:tc>
          <w:tcPr>
            <w:tcW w:w="2551" w:type="dxa"/>
            <w:vAlign w:val="center"/>
          </w:tcPr>
          <w:p w14:paraId="3E82F166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B39">
              <w:rPr>
                <w:rFonts w:ascii="Times New Roman" w:hAnsi="Times New Roman" w:cs="Times New Roman"/>
                <w:b/>
              </w:rPr>
              <w:t>0.0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1B39">
              <w:rPr>
                <w:rFonts w:ascii="Times New Roman" w:hAnsi="Times New Roman" w:cs="Times New Roman"/>
                <w:b/>
              </w:rPr>
              <w:t xml:space="preserve"> (0.0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1B39">
              <w:rPr>
                <w:rFonts w:ascii="Times New Roman" w:hAnsi="Times New Roman" w:cs="Times New Roman"/>
                <w:b/>
              </w:rPr>
              <w:t>;0.0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1B3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B39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3B1D99" w:rsidRPr="009967CF" w14:paraId="7DABE0C9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2E66D5F0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</w:rPr>
              <w:t>WRS (best ear)</w:t>
            </w:r>
          </w:p>
        </w:tc>
        <w:tc>
          <w:tcPr>
            <w:tcW w:w="2551" w:type="dxa"/>
            <w:vAlign w:val="center"/>
          </w:tcPr>
          <w:p w14:paraId="3A2A23CA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3B1D99" w:rsidRPr="009967CF" w14:paraId="17EAFF2D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45DB6825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</w:rPr>
              <w:t>Gender (ref. Female)</w:t>
            </w:r>
          </w:p>
        </w:tc>
        <w:tc>
          <w:tcPr>
            <w:tcW w:w="2551" w:type="dxa"/>
            <w:vAlign w:val="center"/>
          </w:tcPr>
          <w:p w14:paraId="0D37274A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B39">
              <w:rPr>
                <w:rFonts w:ascii="Times New Roman" w:hAnsi="Times New Roman" w:cs="Times New Roman"/>
                <w:b/>
              </w:rPr>
              <w:t>-0.1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1B39">
              <w:rPr>
                <w:rFonts w:ascii="Times New Roman" w:hAnsi="Times New Roman" w:cs="Times New Roman"/>
                <w:b/>
              </w:rPr>
              <w:t xml:space="preserve"> (-0.2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1B39">
              <w:rPr>
                <w:rFonts w:ascii="Times New Roman" w:hAnsi="Times New Roman" w:cs="Times New Roman"/>
                <w:b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B39">
              <w:rPr>
                <w:rFonts w:ascii="Times New Roman" w:hAnsi="Times New Roman" w:cs="Times New Roman"/>
                <w:b/>
              </w:rPr>
              <w:t>-0.0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1B3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B3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B1D99" w:rsidRPr="009967CF" w14:paraId="1854F0F6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2D4C2B27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551" w:type="dxa"/>
            <w:vAlign w:val="center"/>
          </w:tcPr>
          <w:p w14:paraId="5E204DC9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B39">
              <w:rPr>
                <w:rFonts w:ascii="Times New Roman" w:hAnsi="Times New Roman" w:cs="Times New Roman"/>
                <w:b/>
              </w:rPr>
              <w:t>-0.01 (-0.0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1B39">
              <w:rPr>
                <w:rFonts w:ascii="Times New Roman" w:hAnsi="Times New Roman" w:cs="Times New Roman"/>
                <w:b/>
              </w:rPr>
              <w:t>; -0.001)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B39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B1D99" w:rsidRPr="009967CF" w14:paraId="2D8A1277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0DACD826" w14:textId="77777777" w:rsidR="003B1D99" w:rsidRDefault="003B1D99" w:rsidP="00A82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Asymmetric HL (ref. symmetric HL)</w:t>
            </w:r>
          </w:p>
        </w:tc>
        <w:tc>
          <w:tcPr>
            <w:tcW w:w="2551" w:type="dxa"/>
            <w:vAlign w:val="center"/>
          </w:tcPr>
          <w:p w14:paraId="3AECE7EC" w14:textId="77777777" w:rsidR="003B1D99" w:rsidRDefault="003B1D99" w:rsidP="00A8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3B1D99" w:rsidRPr="009967CF" w14:paraId="205A4ACD" w14:textId="77777777" w:rsidTr="00A828DE">
        <w:trPr>
          <w:trHeight w:val="276"/>
          <w:jc w:val="center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24F32EE2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  <w:color w:val="000000"/>
              </w:rPr>
              <w:t xml:space="preserve">Acoustic fitting </w:t>
            </w:r>
            <w:r w:rsidRPr="00DB1B39">
              <w:rPr>
                <w:rFonts w:ascii="Times New Roman" w:hAnsi="Times New Roman" w:cs="Times New Roman"/>
              </w:rPr>
              <w:t>(ref. Open)</w:t>
            </w:r>
          </w:p>
        </w:tc>
      </w:tr>
      <w:tr w:rsidR="003B1D99" w:rsidRPr="009967CF" w14:paraId="7CA9BA35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42F464E0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</w:rPr>
              <w:t xml:space="preserve">       </w:t>
            </w:r>
            <w:r w:rsidRPr="00DB1B39">
              <w:rPr>
                <w:rFonts w:ascii="Times New Roman" w:hAnsi="Times New Roman" w:cs="Times New Roman"/>
                <w:color w:val="000000"/>
              </w:rPr>
              <w:t xml:space="preserve">Closed dome </w:t>
            </w:r>
          </w:p>
        </w:tc>
        <w:tc>
          <w:tcPr>
            <w:tcW w:w="2551" w:type="dxa"/>
            <w:vAlign w:val="center"/>
          </w:tcPr>
          <w:p w14:paraId="34CECD60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6 (-0.23;0.12)</w:t>
            </w:r>
          </w:p>
        </w:tc>
      </w:tr>
      <w:tr w:rsidR="003B1D99" w:rsidRPr="009967CF" w14:paraId="7B324C14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16597765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</w:rPr>
              <w:t xml:space="preserve">       Custom earmold</w:t>
            </w:r>
          </w:p>
        </w:tc>
        <w:tc>
          <w:tcPr>
            <w:tcW w:w="2551" w:type="dxa"/>
            <w:vAlign w:val="center"/>
          </w:tcPr>
          <w:p w14:paraId="01462627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B39">
              <w:rPr>
                <w:rFonts w:ascii="Times New Roman" w:hAnsi="Times New Roman" w:cs="Times New Roman"/>
                <w:b/>
              </w:rPr>
              <w:t>-0.2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1B39">
              <w:rPr>
                <w:rFonts w:ascii="Times New Roman" w:hAnsi="Times New Roman" w:cs="Times New Roman"/>
                <w:b/>
              </w:rPr>
              <w:t xml:space="preserve"> (-0.3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B1B39">
              <w:rPr>
                <w:rFonts w:ascii="Times New Roman" w:hAnsi="Times New Roman" w:cs="Times New Roman"/>
                <w:b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1B39">
              <w:rPr>
                <w:rFonts w:ascii="Times New Roman" w:hAnsi="Times New Roman" w:cs="Times New Roman"/>
                <w:b/>
              </w:rPr>
              <w:t>-0.0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B1B3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**</w:t>
            </w:r>
          </w:p>
        </w:tc>
      </w:tr>
      <w:tr w:rsidR="003B1D99" w:rsidRPr="009967CF" w14:paraId="5FF9BB13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539D9806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DB1B39">
              <w:rPr>
                <w:rFonts w:ascii="Times New Roman" w:hAnsi="Times New Roman" w:cs="Times New Roman"/>
              </w:rPr>
              <w:t>Double tulip dome</w:t>
            </w:r>
            <w:r w:rsidRPr="00DB1B39">
              <w:rPr>
                <w:rFonts w:ascii="Times New Roman" w:hAnsi="Times New Roman" w:cs="Times New Roman"/>
                <w:color w:val="000000"/>
              </w:rPr>
              <w:t> (Power)</w:t>
            </w:r>
          </w:p>
        </w:tc>
        <w:tc>
          <w:tcPr>
            <w:tcW w:w="2551" w:type="dxa"/>
            <w:vAlign w:val="center"/>
          </w:tcPr>
          <w:p w14:paraId="5FDDEDD4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 (-0.17;0.85)</w:t>
            </w:r>
          </w:p>
        </w:tc>
      </w:tr>
      <w:tr w:rsidR="003B1D99" w:rsidRPr="009967CF" w14:paraId="29036399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0A8AB8AC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</w:rPr>
              <w:t xml:space="preserve">       </w:t>
            </w:r>
            <w:r w:rsidRPr="00DB1B39">
              <w:rPr>
                <w:rFonts w:ascii="Times New Roman" w:hAnsi="Times New Roman" w:cs="Times New Roman"/>
                <w:color w:val="000000"/>
              </w:rPr>
              <w:t>Tulip dome (semi-open)</w:t>
            </w:r>
          </w:p>
        </w:tc>
        <w:tc>
          <w:tcPr>
            <w:tcW w:w="2551" w:type="dxa"/>
            <w:vAlign w:val="center"/>
          </w:tcPr>
          <w:p w14:paraId="06DB6020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 (-0.39;0.03)</w:t>
            </w:r>
          </w:p>
        </w:tc>
      </w:tr>
      <w:tr w:rsidR="003B1D99" w:rsidRPr="009967CF" w14:paraId="25DB3347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0210B25D" w14:textId="77777777" w:rsidR="003B1D99" w:rsidRPr="00DB1B39" w:rsidRDefault="003B1D99" w:rsidP="00A828DE">
            <w:pPr>
              <w:rPr>
                <w:rFonts w:ascii="Times New Roman" w:hAnsi="Times New Roman" w:cs="Times New Roman"/>
              </w:rPr>
            </w:pPr>
            <w:r w:rsidRPr="00DB1B39">
              <w:rPr>
                <w:rFonts w:ascii="Times New Roman" w:hAnsi="Times New Roman" w:cs="Times New Roman"/>
              </w:rPr>
              <w:t>Tinnitus (ref: no tinnitus)</w:t>
            </w:r>
          </w:p>
        </w:tc>
        <w:tc>
          <w:tcPr>
            <w:tcW w:w="2551" w:type="dxa"/>
            <w:vAlign w:val="center"/>
          </w:tcPr>
          <w:p w14:paraId="55973BBA" w14:textId="77777777" w:rsidR="003B1D99" w:rsidRPr="00E571A3" w:rsidRDefault="003B1D99" w:rsidP="00A828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1A3">
              <w:rPr>
                <w:rFonts w:ascii="Times New Roman" w:hAnsi="Times New Roman" w:cs="Times New Roman"/>
                <w:b/>
                <w:bCs/>
              </w:rPr>
              <w:t>0.14 (0.01;0.28)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3B1D99" w:rsidRPr="00DB1B39" w14:paraId="223C777D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654AFA11" w14:textId="77777777" w:rsidR="003B1D99" w:rsidRPr="00DB1B39" w:rsidRDefault="003B1D99" w:rsidP="00A828DE">
            <w:pPr>
              <w:rPr>
                <w:rFonts w:ascii="Times New Roman" w:hAnsi="Times New Roman" w:cs="Times New Roman"/>
                <w:color w:val="000000"/>
              </w:rPr>
            </w:pPr>
            <w:r w:rsidRPr="00DB1B39">
              <w:rPr>
                <w:rFonts w:ascii="Times New Roman" w:hAnsi="Times New Roman" w:cs="Times New Roman"/>
                <w:color w:val="000000"/>
              </w:rPr>
              <w:t>Cluster</w:t>
            </w:r>
            <w:r>
              <w:rPr>
                <w:rFonts w:ascii="Times New Roman" w:hAnsi="Times New Roman" w:cs="Times New Roman"/>
                <w:color w:val="000000"/>
              </w:rPr>
              <w:t xml:space="preserve"> 2 (ref. Cluster 1)</w:t>
            </w:r>
          </w:p>
        </w:tc>
        <w:tc>
          <w:tcPr>
            <w:tcW w:w="2551" w:type="dxa"/>
            <w:vAlign w:val="center"/>
          </w:tcPr>
          <w:p w14:paraId="08683EC3" w14:textId="77777777" w:rsidR="003B1D99" w:rsidRPr="00DB1B39" w:rsidRDefault="003B1D99" w:rsidP="00A8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 (-0.21-0.06)</w:t>
            </w:r>
          </w:p>
        </w:tc>
      </w:tr>
      <w:tr w:rsidR="003B1D99" w:rsidRPr="00DB1B39" w14:paraId="22FF5D2D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04C0B62E" w14:textId="77777777" w:rsidR="003B1D99" w:rsidRDefault="003B1D99" w:rsidP="00A828DE">
            <w:pPr>
              <w:rPr>
                <w:rFonts w:ascii="Times New Roman" w:hAnsi="Times New Roman" w:cs="Times New Roman"/>
                <w:color w:val="000000"/>
              </w:rPr>
            </w:pPr>
            <w:r w:rsidRPr="00DB1B39">
              <w:rPr>
                <w:rFonts w:ascii="Times New Roman" w:hAnsi="Times New Roman" w:cs="Times New Roman"/>
                <w:color w:val="000000"/>
              </w:rPr>
              <w:t>Cluster</w:t>
            </w:r>
            <w:r>
              <w:rPr>
                <w:rFonts w:ascii="Times New Roman" w:hAnsi="Times New Roman" w:cs="Times New Roman"/>
                <w:color w:val="000000"/>
              </w:rPr>
              <w:t xml:space="preserve"> 3 (ref. Cluster 1)</w:t>
            </w:r>
          </w:p>
        </w:tc>
        <w:tc>
          <w:tcPr>
            <w:tcW w:w="2551" w:type="dxa"/>
            <w:vAlign w:val="center"/>
          </w:tcPr>
          <w:p w14:paraId="7019A5ED" w14:textId="77777777" w:rsidR="003B1D99" w:rsidRPr="00E571A3" w:rsidRDefault="003B1D99" w:rsidP="00A828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1A3">
              <w:rPr>
                <w:rFonts w:ascii="Times New Roman" w:hAnsi="Times New Roman" w:cs="Times New Roman"/>
                <w:b/>
                <w:bCs/>
              </w:rPr>
              <w:t>-0.14 (-0.26; -0.01) *</w:t>
            </w:r>
          </w:p>
        </w:tc>
      </w:tr>
      <w:tr w:rsidR="003B1D99" w:rsidRPr="009967CF" w14:paraId="2B8F36B5" w14:textId="77777777" w:rsidTr="00A828DE">
        <w:trPr>
          <w:trHeight w:val="276"/>
          <w:jc w:val="center"/>
        </w:trPr>
        <w:tc>
          <w:tcPr>
            <w:tcW w:w="3114" w:type="dxa"/>
            <w:vAlign w:val="center"/>
          </w:tcPr>
          <w:p w14:paraId="39A6465D" w14:textId="77777777" w:rsidR="003B1D99" w:rsidRPr="00DB1B39" w:rsidRDefault="003B1D99" w:rsidP="00A828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2551" w:type="dxa"/>
            <w:vAlign w:val="center"/>
          </w:tcPr>
          <w:p w14:paraId="3AE62E69" w14:textId="77777777" w:rsidR="003B1D99" w:rsidRPr="00E571A3" w:rsidRDefault="003B1D99" w:rsidP="00A828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1A3">
              <w:rPr>
                <w:rFonts w:ascii="Times New Roman" w:hAnsi="Times New Roman" w:cs="Times New Roman"/>
                <w:b/>
                <w:bCs/>
              </w:rPr>
              <w:t>-0.</w:t>
            </w:r>
            <w:r>
              <w:rPr>
                <w:rFonts w:ascii="Times New Roman" w:hAnsi="Times New Roman" w:cs="Times New Roman"/>
                <w:b/>
                <w:bCs/>
              </w:rPr>
              <w:t>68</w:t>
            </w:r>
            <w:r w:rsidRPr="00E571A3">
              <w:rPr>
                <w:rFonts w:ascii="Times New Roman" w:hAnsi="Times New Roman" w:cs="Times New Roman"/>
                <w:b/>
                <w:bCs/>
              </w:rPr>
              <w:t xml:space="preserve"> (-1.16; -0.32)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71A3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</w:tbl>
    <w:p w14:paraId="303278F3" w14:textId="77777777" w:rsidR="003B1D99" w:rsidRDefault="003B1D99" w:rsidP="003B1D99"/>
    <w:p w14:paraId="17E9D6B4" w14:textId="77777777" w:rsidR="005873B4" w:rsidRDefault="005873B4" w:rsidP="00B12763">
      <w:pPr>
        <w:jc w:val="center"/>
      </w:pPr>
    </w:p>
    <w:sectPr w:rsidR="005873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A6F" w14:textId="77777777" w:rsidR="0049796A" w:rsidRDefault="0049796A">
      <w:pPr>
        <w:spacing w:after="0" w:line="240" w:lineRule="auto"/>
      </w:pPr>
      <w:r>
        <w:separator/>
      </w:r>
    </w:p>
  </w:endnote>
  <w:endnote w:type="continuationSeparator" w:id="0">
    <w:p w14:paraId="09501D2B" w14:textId="77777777" w:rsidR="0049796A" w:rsidRDefault="0049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3D7F" w14:textId="77777777" w:rsidR="003B1D99" w:rsidRDefault="003B1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A53843" w14:paraId="03F65240" w14:textId="77777777" w:rsidTr="007A25D3">
      <w:tc>
        <w:tcPr>
          <w:tcW w:w="3320" w:type="dxa"/>
        </w:tcPr>
        <w:p w14:paraId="685E8017" w14:textId="77777777" w:rsidR="00A53843" w:rsidRDefault="00151D4E" w:rsidP="007A25D3">
          <w:pPr>
            <w:pStyle w:val="Header"/>
            <w:ind w:left="-115"/>
          </w:pPr>
        </w:p>
      </w:tc>
      <w:tc>
        <w:tcPr>
          <w:tcW w:w="3320" w:type="dxa"/>
        </w:tcPr>
        <w:p w14:paraId="0C64D5B7" w14:textId="77777777" w:rsidR="00A53843" w:rsidRDefault="00151D4E" w:rsidP="007A25D3">
          <w:pPr>
            <w:pStyle w:val="Header"/>
            <w:jc w:val="center"/>
          </w:pPr>
        </w:p>
      </w:tc>
      <w:tc>
        <w:tcPr>
          <w:tcW w:w="3320" w:type="dxa"/>
        </w:tcPr>
        <w:p w14:paraId="13677B6A" w14:textId="77777777" w:rsidR="00A53843" w:rsidRDefault="00151D4E" w:rsidP="007A25D3">
          <w:pPr>
            <w:pStyle w:val="Header"/>
            <w:ind w:right="-115"/>
            <w:jc w:val="right"/>
          </w:pPr>
        </w:p>
      </w:tc>
    </w:tr>
  </w:tbl>
  <w:p w14:paraId="1BBE1255" w14:textId="77777777" w:rsidR="00A53843" w:rsidRDefault="00151D4E" w:rsidP="007A2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EB50" w14:textId="77777777" w:rsidR="003B1D99" w:rsidRDefault="003B1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F5CD" w14:textId="77777777" w:rsidR="0049796A" w:rsidRDefault="0049796A">
      <w:pPr>
        <w:spacing w:after="0" w:line="240" w:lineRule="auto"/>
      </w:pPr>
      <w:r>
        <w:separator/>
      </w:r>
    </w:p>
  </w:footnote>
  <w:footnote w:type="continuationSeparator" w:id="0">
    <w:p w14:paraId="456DB412" w14:textId="77777777" w:rsidR="0049796A" w:rsidRDefault="0049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BD8" w14:textId="77777777" w:rsidR="003B1D99" w:rsidRDefault="003B1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A53843" w14:paraId="0DA302AE" w14:textId="77777777" w:rsidTr="007A25D3">
      <w:tc>
        <w:tcPr>
          <w:tcW w:w="3320" w:type="dxa"/>
        </w:tcPr>
        <w:p w14:paraId="4FA433CB" w14:textId="77777777" w:rsidR="00A53843" w:rsidRDefault="00151D4E" w:rsidP="007A25D3">
          <w:pPr>
            <w:pStyle w:val="Header"/>
            <w:ind w:left="-115"/>
          </w:pPr>
        </w:p>
      </w:tc>
      <w:tc>
        <w:tcPr>
          <w:tcW w:w="3320" w:type="dxa"/>
        </w:tcPr>
        <w:p w14:paraId="6963E53C" w14:textId="77777777" w:rsidR="00A53843" w:rsidRDefault="00151D4E" w:rsidP="007A25D3">
          <w:pPr>
            <w:pStyle w:val="Header"/>
            <w:jc w:val="center"/>
          </w:pPr>
        </w:p>
      </w:tc>
      <w:tc>
        <w:tcPr>
          <w:tcW w:w="3320" w:type="dxa"/>
        </w:tcPr>
        <w:p w14:paraId="385E1D9E" w14:textId="77777777" w:rsidR="00A53843" w:rsidRDefault="00151D4E" w:rsidP="007A25D3">
          <w:pPr>
            <w:pStyle w:val="Header"/>
            <w:ind w:right="-115"/>
            <w:jc w:val="right"/>
          </w:pPr>
        </w:p>
      </w:tc>
    </w:tr>
  </w:tbl>
  <w:p w14:paraId="41AA7D3D" w14:textId="77777777" w:rsidR="00A53843" w:rsidRDefault="00151D4E" w:rsidP="007A2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0AA6" w14:textId="77777777" w:rsidR="003B1D99" w:rsidRDefault="003B1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jO1sDQwMzeyMDRS0lEKTi0uzszPAykwNKgFADKX+NotAAAA"/>
  </w:docVars>
  <w:rsids>
    <w:rsidRoot w:val="00272C89"/>
    <w:rsid w:val="00001135"/>
    <w:rsid w:val="00042113"/>
    <w:rsid w:val="0005019A"/>
    <w:rsid w:val="000B1C49"/>
    <w:rsid w:val="000C440F"/>
    <w:rsid w:val="00124F44"/>
    <w:rsid w:val="001428E7"/>
    <w:rsid w:val="00151D4E"/>
    <w:rsid w:val="0018505E"/>
    <w:rsid w:val="00191E69"/>
    <w:rsid w:val="001C59D4"/>
    <w:rsid w:val="001F51D5"/>
    <w:rsid w:val="0020729D"/>
    <w:rsid w:val="00234C81"/>
    <w:rsid w:val="00272C89"/>
    <w:rsid w:val="002F1BD9"/>
    <w:rsid w:val="00301417"/>
    <w:rsid w:val="00303940"/>
    <w:rsid w:val="003608CC"/>
    <w:rsid w:val="00397F91"/>
    <w:rsid w:val="003B1D99"/>
    <w:rsid w:val="00423A37"/>
    <w:rsid w:val="0049796A"/>
    <w:rsid w:val="004D295B"/>
    <w:rsid w:val="005064FD"/>
    <w:rsid w:val="00554C36"/>
    <w:rsid w:val="005873B4"/>
    <w:rsid w:val="005A1DFB"/>
    <w:rsid w:val="005B2342"/>
    <w:rsid w:val="00606B8E"/>
    <w:rsid w:val="00607659"/>
    <w:rsid w:val="00625D92"/>
    <w:rsid w:val="00726D55"/>
    <w:rsid w:val="00731450"/>
    <w:rsid w:val="00780BA8"/>
    <w:rsid w:val="007A7EF2"/>
    <w:rsid w:val="00870ED6"/>
    <w:rsid w:val="00895A92"/>
    <w:rsid w:val="008C0A86"/>
    <w:rsid w:val="009323AF"/>
    <w:rsid w:val="00945D20"/>
    <w:rsid w:val="009A799E"/>
    <w:rsid w:val="009E24F8"/>
    <w:rsid w:val="009E61A6"/>
    <w:rsid w:val="00A2531F"/>
    <w:rsid w:val="00A33D69"/>
    <w:rsid w:val="00AC2181"/>
    <w:rsid w:val="00AE01F4"/>
    <w:rsid w:val="00B12187"/>
    <w:rsid w:val="00B12763"/>
    <w:rsid w:val="00B3558C"/>
    <w:rsid w:val="00B834C4"/>
    <w:rsid w:val="00B92005"/>
    <w:rsid w:val="00C26EE9"/>
    <w:rsid w:val="00C54FC7"/>
    <w:rsid w:val="00C763C9"/>
    <w:rsid w:val="00C9658B"/>
    <w:rsid w:val="00D170A6"/>
    <w:rsid w:val="00D50E86"/>
    <w:rsid w:val="00DB2E79"/>
    <w:rsid w:val="00E211C7"/>
    <w:rsid w:val="00EC7423"/>
    <w:rsid w:val="00ED3D20"/>
    <w:rsid w:val="00F86C0D"/>
    <w:rsid w:val="00FB6350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C221"/>
  <w15:chartTrackingRefBased/>
  <w15:docId w15:val="{784C8BF2-1978-440C-9167-168B156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763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63C9"/>
  </w:style>
  <w:style w:type="paragraph" w:styleId="Header">
    <w:name w:val="header"/>
    <w:basedOn w:val="Normal"/>
    <w:link w:val="HeaderChar"/>
    <w:uiPriority w:val="99"/>
    <w:unhideWhenUsed/>
    <w:rsid w:val="00C763C9"/>
    <w:pPr>
      <w:tabs>
        <w:tab w:val="center" w:pos="4680"/>
        <w:tab w:val="right" w:pos="9360"/>
      </w:tabs>
      <w:spacing w:after="0" w:line="240" w:lineRule="auto"/>
    </w:pPr>
    <w:rPr>
      <w:lang w:val="da-DK"/>
    </w:rPr>
  </w:style>
  <w:style w:type="character" w:customStyle="1" w:styleId="HeaderChar1">
    <w:name w:val="Header Char1"/>
    <w:basedOn w:val="DefaultParagraphFont"/>
    <w:uiPriority w:val="99"/>
    <w:semiHidden/>
    <w:rsid w:val="00C763C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63C9"/>
  </w:style>
  <w:style w:type="paragraph" w:styleId="Footer">
    <w:name w:val="footer"/>
    <w:basedOn w:val="Normal"/>
    <w:link w:val="FooterChar"/>
    <w:uiPriority w:val="99"/>
    <w:unhideWhenUsed/>
    <w:rsid w:val="00C763C9"/>
    <w:pPr>
      <w:tabs>
        <w:tab w:val="center" w:pos="4680"/>
        <w:tab w:val="right" w:pos="9360"/>
      </w:tabs>
      <w:spacing w:after="0" w:line="240" w:lineRule="auto"/>
    </w:pPr>
    <w:rPr>
      <w:lang w:val="da-DK"/>
    </w:rPr>
  </w:style>
  <w:style w:type="character" w:customStyle="1" w:styleId="FooterChar1">
    <w:name w:val="Footer Char1"/>
    <w:basedOn w:val="DefaultParagraphFont"/>
    <w:uiPriority w:val="99"/>
    <w:semiHidden/>
    <w:rsid w:val="00C763C9"/>
    <w:rPr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C763C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763C9"/>
  </w:style>
  <w:style w:type="paragraph" w:styleId="NoSpacing">
    <w:name w:val="No Spacing"/>
    <w:link w:val="NoSpacingChar"/>
    <w:uiPriority w:val="1"/>
    <w:qFormat/>
    <w:rsid w:val="00ED3D2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3D20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E211C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A603-9FA4-4E78-84F6-39DAB0FB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3697</Characters>
  <Application>Microsoft Office Word</Application>
  <DocSecurity>0</DocSecurity>
  <Lines>30</Lines>
  <Paragraphs>8</Paragraphs>
  <ScaleCrop>false</ScaleCrop>
  <Company>Aalborg Universitet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Sreeram Kaithali Narayanan</dc:creator>
  <cp:keywords/>
  <dc:description/>
  <cp:lastModifiedBy>Sreeram Kaithali Narayanan</cp:lastModifiedBy>
  <cp:revision>3</cp:revision>
  <dcterms:created xsi:type="dcterms:W3CDTF">2022-02-07T17:17:00Z</dcterms:created>
  <dcterms:modified xsi:type="dcterms:W3CDTF">2022-02-07T17:17:00Z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http://www.zotero.org/styles/apa-6th-edition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http://www.zotero.org/styles/international-journal-of-audiology</vt:lpwstr>
  </property>
  <property fmtid="{D5CDD505-2E9C-101B-9397-08002B2CF9AE}" pid="15" name="Mendeley Recent Style Name 6_1">
    <vt:lpwstr>International Journal of Audiology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