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547D3" w14:textId="77777777" w:rsidR="00BD78FE" w:rsidRPr="00FD1DB5" w:rsidRDefault="00BD78FE" w:rsidP="00BD78FE">
      <w:pPr>
        <w:pStyle w:val="Heading4"/>
      </w:pPr>
      <w:bookmarkStart w:id="0" w:name="_GoBack"/>
      <w:bookmarkEnd w:id="0"/>
      <w:r>
        <w:t>Supplements</w:t>
      </w:r>
    </w:p>
    <w:p w14:paraId="16E1431F" w14:textId="77777777" w:rsidR="00BD78FE" w:rsidRDefault="00BD78FE" w:rsidP="00BD78FE">
      <w:pPr>
        <w:pStyle w:val="NoSpacing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721"/>
        <w:gridCol w:w="2772"/>
      </w:tblGrid>
      <w:tr w:rsidR="00BD78FE" w14:paraId="3DAA6C0C" w14:textId="77777777" w:rsidTr="004F2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D8AB17" w14:textId="77777777" w:rsidR="00BD78FE" w:rsidRDefault="00BD78FE" w:rsidP="004F2FD4">
            <w:pPr>
              <w:pStyle w:val="NoSpacing"/>
            </w:pPr>
            <w:r w:rsidRPr="007F2564">
              <w:t>Characteristic</w:t>
            </w:r>
          </w:p>
        </w:tc>
        <w:tc>
          <w:tcPr>
            <w:tcW w:w="0" w:type="auto"/>
          </w:tcPr>
          <w:p w14:paraId="45287F5A" w14:textId="77777777" w:rsidR="00BD78FE" w:rsidRDefault="00BD78FE" w:rsidP="004F2F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Mean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SD (range) / n [%]</w:t>
            </w:r>
          </w:p>
        </w:tc>
      </w:tr>
      <w:tr w:rsidR="00BD78FE" w14:paraId="7FB73EC6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FFE5B8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>Age</w:t>
            </w:r>
            <w:r>
              <w:rPr>
                <w:rFonts w:cstheme="minorHAnsi"/>
              </w:rPr>
              <w:t xml:space="preserve"> [years]</w:t>
            </w:r>
          </w:p>
        </w:tc>
        <w:tc>
          <w:tcPr>
            <w:tcW w:w="0" w:type="auto"/>
          </w:tcPr>
          <w:p w14:paraId="6D1CAA1E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A4A">
              <w:rPr>
                <w:rFonts w:cstheme="minorHAnsi"/>
              </w:rPr>
              <w:t>31</w:t>
            </w:r>
            <w:r>
              <w:rPr>
                <w:rFonts w:cstheme="minorHAnsi"/>
              </w:rPr>
              <w:t xml:space="preserve">.85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Pr="00776A4A">
              <w:rPr>
                <w:rFonts w:cstheme="minorHAnsi"/>
              </w:rPr>
              <w:t>31 (20-46)</w:t>
            </w:r>
          </w:p>
        </w:tc>
      </w:tr>
      <w:tr w:rsidR="00BD78FE" w14:paraId="79D0FAB1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03821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>Gravida</w:t>
            </w:r>
          </w:p>
        </w:tc>
        <w:tc>
          <w:tcPr>
            <w:tcW w:w="0" w:type="auto"/>
          </w:tcPr>
          <w:p w14:paraId="21A609C1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A4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776A4A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1.37 </w:t>
            </w:r>
            <w:r w:rsidRPr="00776A4A">
              <w:rPr>
                <w:rFonts w:cstheme="minorHAnsi"/>
              </w:rPr>
              <w:t>(1-8)</w:t>
            </w:r>
          </w:p>
        </w:tc>
      </w:tr>
      <w:tr w:rsidR="00BD78FE" w14:paraId="333FF63D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E4060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>Para</w:t>
            </w:r>
          </w:p>
        </w:tc>
        <w:tc>
          <w:tcPr>
            <w:tcW w:w="0" w:type="auto"/>
          </w:tcPr>
          <w:p w14:paraId="46688841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1.67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  <w:r w:rsidRPr="00776A4A">
              <w:rPr>
                <w:rFonts w:cstheme="minorHAnsi"/>
              </w:rPr>
              <w:t>9</w:t>
            </w:r>
            <w:r>
              <w:rPr>
                <w:rFonts w:cstheme="minorHAnsi"/>
              </w:rPr>
              <w:t>5</w:t>
            </w:r>
            <w:r w:rsidRPr="00776A4A">
              <w:rPr>
                <w:rFonts w:cstheme="minorHAnsi"/>
              </w:rPr>
              <w:t xml:space="preserve"> (1-5)</w:t>
            </w:r>
          </w:p>
        </w:tc>
      </w:tr>
      <w:tr w:rsidR="00BD78FE" w14:paraId="3CF14FED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D646B8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 xml:space="preserve">Gestational </w:t>
            </w:r>
            <w:r>
              <w:rPr>
                <w:rFonts w:cstheme="minorHAnsi"/>
              </w:rPr>
              <w:t>age</w:t>
            </w:r>
            <w:r w:rsidRPr="007959E6">
              <w:rPr>
                <w:rFonts w:cstheme="minorHAnsi"/>
              </w:rPr>
              <w:t xml:space="preserve"> at diagnostic </w:t>
            </w:r>
          </w:p>
        </w:tc>
        <w:tc>
          <w:tcPr>
            <w:tcW w:w="0" w:type="auto"/>
          </w:tcPr>
          <w:p w14:paraId="3263E267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30.57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5.58 (11-40)</w:t>
            </w:r>
          </w:p>
        </w:tc>
      </w:tr>
      <w:tr w:rsidR="00BD78FE" w14:paraId="30ECE794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940E05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 xml:space="preserve">BMI at delivery </w:t>
            </w:r>
          </w:p>
        </w:tc>
        <w:tc>
          <w:tcPr>
            <w:tcW w:w="0" w:type="auto"/>
          </w:tcPr>
          <w:p w14:paraId="1AEA7DE8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30.15</w:t>
            </w:r>
            <w:r w:rsidRPr="00776A4A"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7.00 </w:t>
            </w:r>
            <w:r w:rsidRPr="00776A4A">
              <w:rPr>
                <w:rFonts w:cstheme="minorHAnsi"/>
              </w:rPr>
              <w:t xml:space="preserve"> (19-54)</w:t>
            </w:r>
          </w:p>
        </w:tc>
      </w:tr>
      <w:tr w:rsidR="00BD78FE" w14:paraId="5E6BB1D7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7CD862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 xml:space="preserve">BMI </w:t>
            </w:r>
            <w:r>
              <w:rPr>
                <w:rFonts w:cstheme="minorHAnsi"/>
              </w:rPr>
              <w:t xml:space="preserve">before </w:t>
            </w:r>
            <w:r w:rsidRPr="007959E6">
              <w:rPr>
                <w:rFonts w:cstheme="minorHAnsi"/>
              </w:rPr>
              <w:t xml:space="preserve">pregnancy </w:t>
            </w:r>
          </w:p>
        </w:tc>
        <w:tc>
          <w:tcPr>
            <w:tcW w:w="0" w:type="auto"/>
          </w:tcPr>
          <w:p w14:paraId="4F85E33E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26.35</w:t>
            </w:r>
            <w:r w:rsidRPr="00776A4A"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.60</w:t>
            </w:r>
            <w:r w:rsidRPr="00776A4A">
              <w:rPr>
                <w:rFonts w:cstheme="minorHAnsi"/>
              </w:rPr>
              <w:t xml:space="preserve"> (15-49)</w:t>
            </w:r>
          </w:p>
        </w:tc>
      </w:tr>
      <w:tr w:rsidR="00BD78FE" w14:paraId="06BCE940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9269A8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 xml:space="preserve">PI A. uterina right </w:t>
            </w:r>
          </w:p>
        </w:tc>
        <w:tc>
          <w:tcPr>
            <w:tcW w:w="0" w:type="auto"/>
          </w:tcPr>
          <w:p w14:paraId="5FEC4917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1.19</w:t>
            </w:r>
            <w:r w:rsidRPr="00776A4A"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0.65 (0.29-3.51)</w:t>
            </w:r>
          </w:p>
        </w:tc>
      </w:tr>
      <w:tr w:rsidR="00BD78FE" w14:paraId="6232F2AA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4CF353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 xml:space="preserve">PI A. uterina left </w:t>
            </w:r>
          </w:p>
        </w:tc>
        <w:tc>
          <w:tcPr>
            <w:tcW w:w="0" w:type="auto"/>
          </w:tcPr>
          <w:p w14:paraId="5B1F7E08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1.28</w:t>
            </w:r>
            <w:r w:rsidRPr="00776A4A"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0.</w:t>
            </w:r>
            <w:r w:rsidRPr="00776A4A">
              <w:rPr>
                <w:rFonts w:cstheme="minorHAnsi"/>
              </w:rPr>
              <w:t>63</w:t>
            </w:r>
            <w:r>
              <w:rPr>
                <w:rFonts w:cstheme="minorHAnsi"/>
              </w:rPr>
              <w:t xml:space="preserve"> (0.29-3.49)</w:t>
            </w:r>
          </w:p>
        </w:tc>
      </w:tr>
      <w:tr w:rsidR="00BD78FE" w14:paraId="1A3B07B6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9443F7" w14:textId="77777777" w:rsidR="00BD78FE" w:rsidRPr="007959E6" w:rsidRDefault="00BD78FE" w:rsidP="004F2FD4">
            <w:pPr>
              <w:pStyle w:val="NoSpacing"/>
            </w:pPr>
            <w:r w:rsidRPr="007959E6">
              <w:rPr>
                <w:rFonts w:cstheme="minorHAnsi"/>
              </w:rPr>
              <w:t xml:space="preserve">CPR </w:t>
            </w:r>
          </w:p>
        </w:tc>
        <w:tc>
          <w:tcPr>
            <w:tcW w:w="0" w:type="auto"/>
          </w:tcPr>
          <w:p w14:paraId="6E003D42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A4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.57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t>0,57</w:t>
            </w:r>
            <w:r>
              <w:rPr>
                <w:rFonts w:cstheme="minorHAnsi"/>
              </w:rPr>
              <w:t xml:space="preserve"> (0.28-3.20)</w:t>
            </w:r>
          </w:p>
        </w:tc>
      </w:tr>
      <w:tr w:rsidR="00BD78FE" w14:paraId="6C54627A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A398F9" w14:textId="77777777" w:rsidR="00BD78FE" w:rsidRPr="007959E6" w:rsidRDefault="00BD78FE" w:rsidP="004F2FD4">
            <w:pPr>
              <w:pStyle w:val="NoSpacing"/>
            </w:pPr>
            <w:r>
              <w:rPr>
                <w:rFonts w:cstheme="minorHAnsi"/>
              </w:rPr>
              <w:t xml:space="preserve">systolic blood pressure </w:t>
            </w:r>
            <w:r w:rsidRPr="007959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[mmHg]</w:t>
            </w:r>
          </w:p>
        </w:tc>
        <w:tc>
          <w:tcPr>
            <w:tcW w:w="0" w:type="auto"/>
          </w:tcPr>
          <w:p w14:paraId="503069B7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A4A">
              <w:rPr>
                <w:rFonts w:cstheme="minorHAnsi"/>
              </w:rPr>
              <w:t>138</w:t>
            </w:r>
            <w:r>
              <w:rPr>
                <w:rFonts w:cstheme="minorHAnsi"/>
              </w:rPr>
              <w:t xml:space="preserve">.92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23.68 (85-210)</w:t>
            </w:r>
          </w:p>
        </w:tc>
      </w:tr>
      <w:tr w:rsidR="00BD78FE" w14:paraId="2F146C5A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52C9B8" w14:textId="77777777" w:rsidR="00BD78FE" w:rsidRPr="007959E6" w:rsidRDefault="00BD78FE" w:rsidP="004F2FD4">
            <w:pPr>
              <w:pStyle w:val="NoSpacing"/>
            </w:pPr>
            <w:r>
              <w:rPr>
                <w:rFonts w:cstheme="minorHAnsi"/>
              </w:rPr>
              <w:t>Mean arterial pressure (</w:t>
            </w:r>
            <w:r w:rsidRPr="007959E6">
              <w:rPr>
                <w:rFonts w:cstheme="minorHAnsi"/>
              </w:rPr>
              <w:t>MAP</w:t>
            </w:r>
            <w:r>
              <w:rPr>
                <w:rFonts w:cstheme="minorHAnsi"/>
              </w:rPr>
              <w:t>) [mmHg]</w:t>
            </w:r>
          </w:p>
        </w:tc>
        <w:tc>
          <w:tcPr>
            <w:tcW w:w="0" w:type="auto"/>
          </w:tcPr>
          <w:p w14:paraId="0F118B29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101.78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17.50 (62-160)</w:t>
            </w:r>
          </w:p>
        </w:tc>
      </w:tr>
      <w:tr w:rsidR="00BD78FE" w14:paraId="3899E13B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8D84F9" w14:textId="77777777" w:rsidR="00BD78FE" w:rsidRPr="007959E6" w:rsidRDefault="00BD78FE" w:rsidP="004F2FD4">
            <w:pPr>
              <w:pStyle w:val="NoSpacing"/>
            </w:pPr>
            <w:r>
              <w:rPr>
                <w:rFonts w:cstheme="minorHAnsi"/>
              </w:rPr>
              <w:t>p</w:t>
            </w:r>
            <w:r w:rsidRPr="007959E6">
              <w:rPr>
                <w:rFonts w:cstheme="minorHAnsi"/>
              </w:rPr>
              <w:t xml:space="preserve">rophylactic Aspirin </w:t>
            </w:r>
            <w:r>
              <w:rPr>
                <w:rFonts w:cstheme="minorHAnsi"/>
              </w:rPr>
              <w:t>intake</w:t>
            </w:r>
          </w:p>
        </w:tc>
        <w:tc>
          <w:tcPr>
            <w:tcW w:w="0" w:type="auto"/>
          </w:tcPr>
          <w:p w14:paraId="79331AD9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46 (22.3 </w:t>
            </w:r>
            <w:r w:rsidRPr="00776A4A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  <w:r w:rsidRPr="00776A4A">
              <w:rPr>
                <w:rFonts w:cstheme="minorHAnsi"/>
              </w:rPr>
              <w:t xml:space="preserve"> </w:t>
            </w:r>
          </w:p>
        </w:tc>
      </w:tr>
      <w:tr w:rsidR="00BD78FE" w14:paraId="02D9EBC7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626B94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Smoker</w:t>
            </w:r>
            <w:r w:rsidRPr="007959E6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14C5C9C3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14 (6.8 </w:t>
            </w:r>
            <w:r w:rsidRPr="00776A4A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</w:p>
        </w:tc>
      </w:tr>
      <w:tr w:rsidR="00BD78FE" w14:paraId="251B1EB1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36E2AB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German</w:t>
            </w:r>
            <w:r w:rsidRPr="007959E6">
              <w:rPr>
                <w:rFonts w:cstheme="minorHAnsi"/>
              </w:rPr>
              <w:t xml:space="preserve"> ethnicity</w:t>
            </w:r>
          </w:p>
        </w:tc>
        <w:tc>
          <w:tcPr>
            <w:tcW w:w="0" w:type="auto"/>
          </w:tcPr>
          <w:p w14:paraId="3DA2AEDD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183 (88.8 </w:t>
            </w:r>
            <w:r w:rsidRPr="00776A4A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  <w:r w:rsidRPr="00776A4A">
              <w:rPr>
                <w:rFonts w:cstheme="minorHAnsi"/>
              </w:rPr>
              <w:t xml:space="preserve"> </w:t>
            </w:r>
          </w:p>
        </w:tc>
      </w:tr>
      <w:tr w:rsidR="00BD78FE" w14:paraId="28B59875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752DF1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>Vaginal delivery (most Labor induction)</w:t>
            </w:r>
          </w:p>
        </w:tc>
        <w:tc>
          <w:tcPr>
            <w:tcW w:w="0" w:type="auto"/>
          </w:tcPr>
          <w:p w14:paraId="56702E85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58 (14.1 %)</w:t>
            </w:r>
          </w:p>
        </w:tc>
      </w:tr>
      <w:tr w:rsidR="00BD78FE" w14:paraId="4CE1E98D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A688CF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>Caesarean sections CS</w:t>
            </w:r>
          </w:p>
        </w:tc>
        <w:tc>
          <w:tcPr>
            <w:tcW w:w="0" w:type="auto"/>
          </w:tcPr>
          <w:p w14:paraId="64DB51E7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129 (62.6 </w:t>
            </w:r>
            <w:r w:rsidRPr="00776A4A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</w:p>
        </w:tc>
      </w:tr>
      <w:tr w:rsidR="00BD78FE" w14:paraId="4848505E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C9AFE0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GDM</w:t>
            </w:r>
          </w:p>
        </w:tc>
        <w:tc>
          <w:tcPr>
            <w:tcW w:w="0" w:type="auto"/>
          </w:tcPr>
          <w:p w14:paraId="016CDC33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 (</w:t>
            </w:r>
            <w:r w:rsidRPr="00776A4A">
              <w:rPr>
                <w:rFonts w:cstheme="minorHAnsi"/>
              </w:rPr>
              <w:t>14</w:t>
            </w:r>
            <w:r>
              <w:rPr>
                <w:rFonts w:cstheme="minorHAnsi"/>
              </w:rPr>
              <w:t>.1 %)</w:t>
            </w:r>
          </w:p>
        </w:tc>
      </w:tr>
      <w:tr w:rsidR="00BD78FE" w14:paraId="6F71D549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FF6B3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>birthweight under the 10</w:t>
            </w:r>
            <w:r w:rsidRPr="007959E6">
              <w:rPr>
                <w:rFonts w:cstheme="minorHAnsi"/>
                <w:vertAlign w:val="superscript"/>
              </w:rPr>
              <w:t>th</w:t>
            </w:r>
            <w:r w:rsidRPr="007959E6">
              <w:rPr>
                <w:rFonts w:cstheme="minorHAnsi"/>
              </w:rPr>
              <w:t xml:space="preserve"> centile</w:t>
            </w:r>
          </w:p>
        </w:tc>
        <w:tc>
          <w:tcPr>
            <w:tcW w:w="0" w:type="auto"/>
          </w:tcPr>
          <w:p w14:paraId="45E7FA15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72.6 </w:t>
            </w:r>
            <w:r w:rsidRPr="00776A4A">
              <w:rPr>
                <w:rFonts w:cstheme="minorHAnsi"/>
              </w:rPr>
              <w:t>%</w:t>
            </w:r>
          </w:p>
        </w:tc>
      </w:tr>
      <w:tr w:rsidR="00BD78FE" w14:paraId="5D2AED3B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1053AB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7959E6">
              <w:rPr>
                <w:rFonts w:cstheme="minorHAnsi"/>
              </w:rPr>
              <w:t>irthweight</w:t>
            </w:r>
            <w:r>
              <w:rPr>
                <w:rFonts w:cstheme="minorHAnsi"/>
              </w:rPr>
              <w:t xml:space="preserve"> [g]</w:t>
            </w:r>
          </w:p>
        </w:tc>
        <w:tc>
          <w:tcPr>
            <w:tcW w:w="0" w:type="auto"/>
          </w:tcPr>
          <w:p w14:paraId="7666B497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6A4A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80.34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985.73 (185-4670)</w:t>
            </w:r>
          </w:p>
        </w:tc>
      </w:tr>
      <w:tr w:rsidR="00BD78FE" w14:paraId="78CFD64D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DBCB52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 xml:space="preserve">gestational </w:t>
            </w:r>
            <w:r>
              <w:rPr>
                <w:rFonts w:cstheme="minorHAnsi"/>
              </w:rPr>
              <w:t>age</w:t>
            </w:r>
            <w:r w:rsidRPr="007959E6">
              <w:rPr>
                <w:rFonts w:cstheme="minorHAnsi"/>
              </w:rPr>
              <w:t xml:space="preserve"> at delivery</w:t>
            </w:r>
          </w:p>
        </w:tc>
        <w:tc>
          <w:tcPr>
            <w:tcW w:w="0" w:type="auto"/>
          </w:tcPr>
          <w:p w14:paraId="5513EF4A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33.50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4.49 (20-41)</w:t>
            </w:r>
          </w:p>
        </w:tc>
      </w:tr>
      <w:tr w:rsidR="00BD78FE" w14:paraId="3293083E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D41CE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>Deliveries before the 37</w:t>
            </w:r>
            <w:r w:rsidRPr="007959E6">
              <w:rPr>
                <w:rFonts w:cstheme="minorHAnsi"/>
                <w:vertAlign w:val="superscript"/>
              </w:rPr>
              <w:t>th</w:t>
            </w:r>
            <w:r w:rsidRPr="007959E6">
              <w:rPr>
                <w:rFonts w:cstheme="minorHAnsi"/>
              </w:rPr>
              <w:t xml:space="preserve"> pregnancy week</w:t>
            </w:r>
          </w:p>
        </w:tc>
        <w:tc>
          <w:tcPr>
            <w:tcW w:w="0" w:type="auto"/>
          </w:tcPr>
          <w:p w14:paraId="0CB2632A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137 (66.5 </w:t>
            </w:r>
            <w:r w:rsidRPr="00776A4A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  <w:r w:rsidRPr="00776A4A">
              <w:rPr>
                <w:rFonts w:cstheme="minorHAnsi"/>
              </w:rPr>
              <w:t xml:space="preserve"> </w:t>
            </w:r>
          </w:p>
        </w:tc>
      </w:tr>
      <w:tr w:rsidR="00BD78FE" w14:paraId="2B9C4A5B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AFFF06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Umbilical arterial pH</w:t>
            </w:r>
          </w:p>
        </w:tc>
        <w:tc>
          <w:tcPr>
            <w:tcW w:w="0" w:type="auto"/>
          </w:tcPr>
          <w:p w14:paraId="73D77479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6A4A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Pr="00776A4A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9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.08 (6.96-7.43)</w:t>
            </w:r>
          </w:p>
        </w:tc>
      </w:tr>
      <w:tr w:rsidR="00BD78FE" w14:paraId="2DCD97A6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DD5D67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Umbilical venous pH</w:t>
            </w:r>
          </w:p>
        </w:tc>
        <w:tc>
          <w:tcPr>
            <w:tcW w:w="0" w:type="auto"/>
          </w:tcPr>
          <w:p w14:paraId="3854F1D0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6A4A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.35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t>0</w:t>
            </w:r>
            <w:r>
              <w:rPr>
                <w:rFonts w:cstheme="minorHAnsi"/>
              </w:rPr>
              <w:t>.15 (6.97-9.00)</w:t>
            </w:r>
          </w:p>
        </w:tc>
      </w:tr>
      <w:tr w:rsidR="00BD78FE" w14:paraId="3B547DCE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3F820A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>Fetal sex femal</w:t>
            </w:r>
            <w:r>
              <w:rPr>
                <w:rFonts w:cstheme="minorHAnsi"/>
              </w:rPr>
              <w:t>e</w:t>
            </w:r>
          </w:p>
        </w:tc>
        <w:tc>
          <w:tcPr>
            <w:tcW w:w="0" w:type="auto"/>
          </w:tcPr>
          <w:p w14:paraId="766C7F17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89 (43.2</w:t>
            </w:r>
            <w:r w:rsidRPr="00776A4A">
              <w:rPr>
                <w:rFonts w:cstheme="minorHAnsi"/>
              </w:rPr>
              <w:t xml:space="preserve"> %</w:t>
            </w:r>
            <w:r>
              <w:rPr>
                <w:rFonts w:cstheme="minorHAnsi"/>
              </w:rPr>
              <w:t>)</w:t>
            </w:r>
          </w:p>
        </w:tc>
      </w:tr>
      <w:tr w:rsidR="00BD78FE" w14:paraId="539662E6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6B29C5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 xml:space="preserve">NICU </w:t>
            </w:r>
            <w:r>
              <w:rPr>
                <w:rFonts w:cstheme="minorHAnsi"/>
              </w:rPr>
              <w:t>a</w:t>
            </w:r>
            <w:r w:rsidRPr="007959E6">
              <w:rPr>
                <w:rFonts w:cstheme="minorHAnsi"/>
              </w:rPr>
              <w:t>dmission</w:t>
            </w:r>
          </w:p>
        </w:tc>
        <w:tc>
          <w:tcPr>
            <w:tcW w:w="0" w:type="auto"/>
          </w:tcPr>
          <w:p w14:paraId="312E2D8E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147 (71.</w:t>
            </w:r>
            <w:r w:rsidRPr="00776A4A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76A4A">
              <w:rPr>
                <w:rFonts w:cstheme="minorHAnsi"/>
              </w:rPr>
              <w:t>%</w:t>
            </w:r>
            <w:r>
              <w:rPr>
                <w:rFonts w:cstheme="minorHAnsi"/>
              </w:rPr>
              <w:t>)</w:t>
            </w:r>
            <w:r w:rsidRPr="00776A4A">
              <w:rPr>
                <w:rFonts w:cstheme="minorHAnsi"/>
              </w:rPr>
              <w:t xml:space="preserve"> </w:t>
            </w:r>
          </w:p>
        </w:tc>
      </w:tr>
      <w:tr w:rsidR="00BD78FE" w14:paraId="7FFF680F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5CE1E1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 xml:space="preserve">Dead in the perinatal period </w:t>
            </w:r>
          </w:p>
        </w:tc>
        <w:tc>
          <w:tcPr>
            <w:tcW w:w="0" w:type="auto"/>
          </w:tcPr>
          <w:p w14:paraId="455243CA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 (3.9 %)</w:t>
            </w:r>
          </w:p>
        </w:tc>
      </w:tr>
      <w:tr w:rsidR="00BD78FE" w14:paraId="182DBC44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47F2D3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>Intrauterine demise</w:t>
            </w:r>
          </w:p>
        </w:tc>
        <w:tc>
          <w:tcPr>
            <w:tcW w:w="0" w:type="auto"/>
          </w:tcPr>
          <w:p w14:paraId="573B475E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6A4A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(3.4 %)</w:t>
            </w:r>
          </w:p>
        </w:tc>
      </w:tr>
      <w:tr w:rsidR="00BD78FE" w14:paraId="3BBFDDFD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9C2B63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959E6">
              <w:rPr>
                <w:rFonts w:cstheme="minorHAnsi"/>
              </w:rPr>
              <w:t xml:space="preserve">Flt/PLGF Ratio </w:t>
            </w:r>
          </w:p>
        </w:tc>
        <w:tc>
          <w:tcPr>
            <w:tcW w:w="0" w:type="auto"/>
          </w:tcPr>
          <w:p w14:paraId="5B392EA9" w14:textId="77777777" w:rsidR="00BD78FE" w:rsidRPr="00776A4A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537.14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713.16</w:t>
            </w:r>
            <w:r w:rsidRPr="00776A4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0.</w:t>
            </w:r>
            <w:r w:rsidRPr="00776A4A">
              <w:rPr>
                <w:rFonts w:cstheme="minorHAnsi"/>
              </w:rPr>
              <w:t>09-</w:t>
            </w:r>
            <w:r>
              <w:rPr>
                <w:rFonts w:cstheme="minorHAnsi"/>
              </w:rPr>
              <w:t>4177.14</w:t>
            </w:r>
            <w:r w:rsidRPr="00776A4A">
              <w:rPr>
                <w:rFonts w:cstheme="minorHAnsi"/>
              </w:rPr>
              <w:t>)</w:t>
            </w:r>
          </w:p>
        </w:tc>
      </w:tr>
      <w:tr w:rsidR="00BD78FE" w14:paraId="1E099D95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B40F85" w14:textId="77777777" w:rsidR="00BD78FE" w:rsidRPr="007959E6" w:rsidRDefault="00BD78FE" w:rsidP="004F2FD4">
            <w:pPr>
              <w:pStyle w:val="NoSpacing"/>
              <w:rPr>
                <w:rFonts w:cstheme="minorHAnsi"/>
              </w:rPr>
            </w:pPr>
            <w:r w:rsidRPr="007959E6">
              <w:rPr>
                <w:rFonts w:cstheme="minorHAnsi"/>
              </w:rPr>
              <w:t xml:space="preserve">soluble Endoglin </w:t>
            </w:r>
            <w:r>
              <w:rPr>
                <w:rFonts w:cstheme="minorHAnsi"/>
              </w:rPr>
              <w:t>[ng/ml]</w:t>
            </w:r>
          </w:p>
        </w:tc>
        <w:tc>
          <w:tcPr>
            <w:tcW w:w="0" w:type="auto"/>
          </w:tcPr>
          <w:p w14:paraId="78C44EA2" w14:textId="77777777" w:rsidR="00BD78FE" w:rsidRPr="00776A4A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62.74 </w:t>
            </w:r>
            <w:r w:rsidRPr="00776A4A">
              <w:rPr>
                <w:rFonts w:cstheme="minorHAnsi"/>
              </w:rPr>
              <w:sym w:font="Symbol" w:char="F0B1"/>
            </w:r>
            <w:r>
              <w:rPr>
                <w:rFonts w:cstheme="minorHAnsi"/>
              </w:rPr>
              <w:t xml:space="preserve"> 61.23 </w:t>
            </w:r>
            <w:r w:rsidRPr="00776A4A">
              <w:rPr>
                <w:rFonts w:cstheme="minorHAnsi"/>
              </w:rPr>
              <w:t>(</w:t>
            </w:r>
            <w:r>
              <w:rPr>
                <w:rFonts w:cstheme="minorHAnsi"/>
              </w:rPr>
              <w:t>4.</w:t>
            </w:r>
            <w:r w:rsidRPr="00776A4A">
              <w:rPr>
                <w:rFonts w:cstheme="minorHAnsi"/>
              </w:rPr>
              <w:t>08-</w:t>
            </w:r>
            <w:r>
              <w:rPr>
                <w:rFonts w:cstheme="minorHAnsi"/>
              </w:rPr>
              <w:t>337.12)</w:t>
            </w:r>
          </w:p>
        </w:tc>
      </w:tr>
    </w:tbl>
    <w:p w14:paraId="71EF1300" w14:textId="77777777" w:rsidR="00BD78FE" w:rsidRPr="00B92656" w:rsidRDefault="00BD78FE" w:rsidP="00BD78FE">
      <w:pPr>
        <w:pStyle w:val="Heading6"/>
        <w:rPr>
          <w:color w:val="auto"/>
        </w:rPr>
      </w:pPr>
      <w:r w:rsidRPr="00B92656">
        <w:rPr>
          <w:color w:val="auto"/>
        </w:rPr>
        <w:t>Tab. A1 Clinical characteristics and outcome of the whole study population</w:t>
      </w:r>
    </w:p>
    <w:p w14:paraId="7BB8D7D7" w14:textId="77777777" w:rsidR="00BD78FE" w:rsidRDefault="00BD78FE" w:rsidP="00BD78FE">
      <w:pPr>
        <w:rPr>
          <w:lang w:eastAsia="en-US"/>
        </w:rPr>
      </w:pPr>
    </w:p>
    <w:tbl>
      <w:tblPr>
        <w:tblStyle w:val="PlainTable2"/>
        <w:tblW w:w="8320" w:type="dxa"/>
        <w:tblLook w:val="0600" w:firstRow="0" w:lastRow="0" w:firstColumn="0" w:lastColumn="0" w:noHBand="1" w:noVBand="1"/>
      </w:tblPr>
      <w:tblGrid>
        <w:gridCol w:w="3318"/>
        <w:gridCol w:w="1453"/>
        <w:gridCol w:w="3549"/>
      </w:tblGrid>
      <w:tr w:rsidR="00BD78FE" w:rsidRPr="00937A02" w14:paraId="0DE46FAD" w14:textId="77777777" w:rsidTr="004F2FD4">
        <w:trPr>
          <w:trHeight w:val="786"/>
        </w:trPr>
        <w:tc>
          <w:tcPr>
            <w:tcW w:w="0" w:type="dxa"/>
            <w:hideMark/>
          </w:tcPr>
          <w:p w14:paraId="7D3D4239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Outcome</w:t>
            </w:r>
          </w:p>
        </w:tc>
        <w:tc>
          <w:tcPr>
            <w:tcW w:w="0" w:type="dxa"/>
            <w:hideMark/>
          </w:tcPr>
          <w:p w14:paraId="32226CEF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n</w:t>
            </w:r>
          </w:p>
        </w:tc>
        <w:tc>
          <w:tcPr>
            <w:tcW w:w="0" w:type="dxa"/>
            <w:hideMark/>
          </w:tcPr>
          <w:p w14:paraId="6DB9D9C6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rel. frequency [%]</w:t>
            </w:r>
          </w:p>
        </w:tc>
      </w:tr>
      <w:tr w:rsidR="00BD78FE" w:rsidRPr="00937A02" w14:paraId="4B4B04E3" w14:textId="77777777" w:rsidTr="004F2FD4">
        <w:trPr>
          <w:trHeight w:val="387"/>
        </w:trPr>
        <w:tc>
          <w:tcPr>
            <w:tcW w:w="0" w:type="dxa"/>
            <w:hideMark/>
          </w:tcPr>
          <w:p w14:paraId="0F9D054F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</w:rPr>
              <w:t>PE, no IUGR or HELLP</w:t>
            </w:r>
          </w:p>
        </w:tc>
        <w:tc>
          <w:tcPr>
            <w:tcW w:w="0" w:type="dxa"/>
            <w:hideMark/>
          </w:tcPr>
          <w:p w14:paraId="15E169CA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37</w:t>
            </w:r>
          </w:p>
        </w:tc>
        <w:tc>
          <w:tcPr>
            <w:tcW w:w="0" w:type="dxa"/>
            <w:hideMark/>
          </w:tcPr>
          <w:p w14:paraId="03A425CE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18.1</w:t>
            </w:r>
          </w:p>
        </w:tc>
      </w:tr>
      <w:tr w:rsidR="00BD78FE" w:rsidRPr="00937A02" w14:paraId="6418DDC2" w14:textId="77777777" w:rsidTr="004F2FD4">
        <w:trPr>
          <w:trHeight w:val="387"/>
        </w:trPr>
        <w:tc>
          <w:tcPr>
            <w:tcW w:w="0" w:type="dxa"/>
            <w:hideMark/>
          </w:tcPr>
          <w:p w14:paraId="18074305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</w:rPr>
              <w:t>PE and IUGR, no HELLP</w:t>
            </w:r>
          </w:p>
        </w:tc>
        <w:tc>
          <w:tcPr>
            <w:tcW w:w="0" w:type="dxa"/>
            <w:hideMark/>
          </w:tcPr>
          <w:p w14:paraId="69A2E663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32</w:t>
            </w:r>
          </w:p>
        </w:tc>
        <w:tc>
          <w:tcPr>
            <w:tcW w:w="0" w:type="dxa"/>
            <w:hideMark/>
          </w:tcPr>
          <w:p w14:paraId="296D606C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15.7</w:t>
            </w:r>
          </w:p>
        </w:tc>
      </w:tr>
      <w:tr w:rsidR="00BD78FE" w:rsidRPr="00937A02" w14:paraId="6972337D" w14:textId="77777777" w:rsidTr="004F2FD4">
        <w:trPr>
          <w:trHeight w:val="387"/>
        </w:trPr>
        <w:tc>
          <w:tcPr>
            <w:tcW w:w="0" w:type="dxa"/>
            <w:hideMark/>
          </w:tcPr>
          <w:p w14:paraId="2900431B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</w:rPr>
              <w:t>HELLP, no PE or IUGR</w:t>
            </w:r>
          </w:p>
        </w:tc>
        <w:tc>
          <w:tcPr>
            <w:tcW w:w="0" w:type="dxa"/>
            <w:hideMark/>
          </w:tcPr>
          <w:p w14:paraId="0A1B1E4E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0" w:type="dxa"/>
            <w:hideMark/>
          </w:tcPr>
          <w:p w14:paraId="4D66525A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2.9</w:t>
            </w:r>
          </w:p>
        </w:tc>
      </w:tr>
      <w:tr w:rsidR="00BD78FE" w:rsidRPr="00937A02" w14:paraId="5C2CD5E6" w14:textId="77777777" w:rsidTr="004F2FD4">
        <w:trPr>
          <w:trHeight w:val="387"/>
        </w:trPr>
        <w:tc>
          <w:tcPr>
            <w:tcW w:w="0" w:type="dxa"/>
            <w:hideMark/>
          </w:tcPr>
          <w:p w14:paraId="5D2E38B8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</w:rPr>
              <w:t>IUGR, no PE or HELLP</w:t>
            </w:r>
          </w:p>
        </w:tc>
        <w:tc>
          <w:tcPr>
            <w:tcW w:w="0" w:type="dxa"/>
            <w:hideMark/>
          </w:tcPr>
          <w:p w14:paraId="5142E3C7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40</w:t>
            </w:r>
          </w:p>
        </w:tc>
        <w:tc>
          <w:tcPr>
            <w:tcW w:w="0" w:type="dxa"/>
            <w:hideMark/>
          </w:tcPr>
          <w:p w14:paraId="0E292994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19.6</w:t>
            </w:r>
          </w:p>
        </w:tc>
      </w:tr>
      <w:tr w:rsidR="00BD78FE" w:rsidRPr="00937A02" w14:paraId="04B4ED70" w14:textId="77777777" w:rsidTr="004F2FD4">
        <w:trPr>
          <w:trHeight w:val="387"/>
        </w:trPr>
        <w:tc>
          <w:tcPr>
            <w:tcW w:w="0" w:type="dxa"/>
            <w:hideMark/>
          </w:tcPr>
          <w:p w14:paraId="3F16CF2B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</w:rPr>
              <w:t>no PE, IUGR, or HELLP</w:t>
            </w:r>
          </w:p>
        </w:tc>
        <w:tc>
          <w:tcPr>
            <w:tcW w:w="0" w:type="dxa"/>
            <w:hideMark/>
          </w:tcPr>
          <w:p w14:paraId="69166CB3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60</w:t>
            </w:r>
          </w:p>
        </w:tc>
        <w:tc>
          <w:tcPr>
            <w:tcW w:w="0" w:type="dxa"/>
            <w:hideMark/>
          </w:tcPr>
          <w:p w14:paraId="1C550531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29.4</w:t>
            </w:r>
          </w:p>
        </w:tc>
      </w:tr>
      <w:tr w:rsidR="00BD78FE" w:rsidRPr="00937A02" w14:paraId="7EDD5D3C" w14:textId="77777777" w:rsidTr="004F2FD4">
        <w:trPr>
          <w:trHeight w:val="387"/>
        </w:trPr>
        <w:tc>
          <w:tcPr>
            <w:tcW w:w="0" w:type="dxa"/>
            <w:hideMark/>
          </w:tcPr>
          <w:p w14:paraId="2C05A3DA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</w:rPr>
              <w:t>PE and HELLP, no IUGR</w:t>
            </w:r>
          </w:p>
        </w:tc>
        <w:tc>
          <w:tcPr>
            <w:tcW w:w="0" w:type="dxa"/>
            <w:hideMark/>
          </w:tcPr>
          <w:p w14:paraId="6F6BA494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0" w:type="dxa"/>
            <w:hideMark/>
          </w:tcPr>
          <w:p w14:paraId="0F95BF6C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5.4</w:t>
            </w:r>
          </w:p>
        </w:tc>
      </w:tr>
      <w:tr w:rsidR="00BD78FE" w:rsidRPr="00937A02" w14:paraId="7D0E9C25" w14:textId="77777777" w:rsidTr="004F2FD4">
        <w:trPr>
          <w:trHeight w:val="387"/>
        </w:trPr>
        <w:tc>
          <w:tcPr>
            <w:tcW w:w="0" w:type="dxa"/>
            <w:hideMark/>
          </w:tcPr>
          <w:p w14:paraId="0D4EC02F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</w:rPr>
              <w:t>IUGR and HELLP, no PE</w:t>
            </w:r>
          </w:p>
        </w:tc>
        <w:tc>
          <w:tcPr>
            <w:tcW w:w="0" w:type="dxa"/>
            <w:hideMark/>
          </w:tcPr>
          <w:p w14:paraId="212F8871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0" w:type="dxa"/>
            <w:hideMark/>
          </w:tcPr>
          <w:p w14:paraId="379227D3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2.0</w:t>
            </w:r>
          </w:p>
        </w:tc>
      </w:tr>
      <w:tr w:rsidR="00BD78FE" w:rsidRPr="00937A02" w14:paraId="123D0868" w14:textId="77777777" w:rsidTr="004F2FD4">
        <w:trPr>
          <w:trHeight w:val="387"/>
        </w:trPr>
        <w:tc>
          <w:tcPr>
            <w:tcW w:w="0" w:type="dxa"/>
            <w:hideMark/>
          </w:tcPr>
          <w:p w14:paraId="3489371F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PE, IUGR, and HELLP</w:t>
            </w:r>
          </w:p>
        </w:tc>
        <w:tc>
          <w:tcPr>
            <w:tcW w:w="0" w:type="dxa"/>
            <w:hideMark/>
          </w:tcPr>
          <w:p w14:paraId="0F146786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0" w:type="dxa"/>
            <w:hideMark/>
          </w:tcPr>
          <w:p w14:paraId="1CD42931" w14:textId="77777777" w:rsidR="00BD78FE" w:rsidRPr="00862696" w:rsidRDefault="00BD78FE" w:rsidP="004F2FD4">
            <w:pPr>
              <w:pStyle w:val="NoSpacing"/>
            </w:pPr>
            <w:r w:rsidRPr="002811AE">
              <w:rPr>
                <w:rFonts w:ascii="Times New Roman" w:hAnsi="Times New Roman" w:cs="Times New Roman"/>
                <w:lang w:val="de-DE"/>
              </w:rPr>
              <w:t>6.9</w:t>
            </w:r>
          </w:p>
        </w:tc>
      </w:tr>
    </w:tbl>
    <w:p w14:paraId="4A783BD2" w14:textId="77777777" w:rsidR="00BD78FE" w:rsidRDefault="00BD78FE" w:rsidP="00BD78FE">
      <w:pPr>
        <w:rPr>
          <w:lang w:eastAsia="en-US"/>
        </w:rPr>
      </w:pPr>
      <w:r>
        <w:rPr>
          <w:lang w:eastAsia="en-US"/>
        </w:rPr>
        <w:t xml:space="preserve"> </w:t>
      </w:r>
    </w:p>
    <w:p w14:paraId="019BD06B" w14:textId="77777777" w:rsidR="00BD78FE" w:rsidRDefault="00BD78FE" w:rsidP="00BD78FE">
      <w:pPr>
        <w:pStyle w:val="Heading6"/>
      </w:pPr>
      <w:r>
        <w:lastRenderedPageBreak/>
        <w:t>Table A2: Overlap between outcome groups.</w:t>
      </w:r>
    </w:p>
    <w:p w14:paraId="51974647" w14:textId="77777777" w:rsidR="00BD78FE" w:rsidRDefault="00BD78FE" w:rsidP="00BD78FE">
      <w:pPr>
        <w:rPr>
          <w:lang w:eastAsia="en-US"/>
        </w:rPr>
      </w:pPr>
    </w:p>
    <w:p w14:paraId="336FEE7B" w14:textId="77777777" w:rsidR="00BD78FE" w:rsidRDefault="00BD78FE" w:rsidP="00BD78FE">
      <w:pPr>
        <w:rPr>
          <w:lang w:eastAsia="en-US"/>
        </w:rPr>
      </w:pPr>
    </w:p>
    <w:p w14:paraId="681CBE12" w14:textId="77777777" w:rsidR="00BD78FE" w:rsidRDefault="00BD78FE" w:rsidP="00BD78FE">
      <w:pPr>
        <w:rPr>
          <w:lang w:eastAsia="en-US"/>
        </w:rPr>
      </w:pPr>
    </w:p>
    <w:p w14:paraId="31B4AD21" w14:textId="77777777" w:rsidR="00BD78FE" w:rsidRPr="00F37DE1" w:rsidRDefault="00BD78FE" w:rsidP="00BD78FE">
      <w:pPr>
        <w:rPr>
          <w:lang w:eastAsia="en-US"/>
        </w:rPr>
      </w:pPr>
    </w:p>
    <w:p w14:paraId="7B6296BD" w14:textId="77777777" w:rsidR="00BD78FE" w:rsidRPr="000037E4" w:rsidRDefault="00BD78FE" w:rsidP="00BD78FE">
      <w:pPr>
        <w:rPr>
          <w:lang w:eastAsia="en-US"/>
        </w:rPr>
      </w:pPr>
    </w:p>
    <w:tbl>
      <w:tblPr>
        <w:tblStyle w:val="Tabellasemplice-21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</w:tblGrid>
      <w:tr w:rsidR="00BD78FE" w:rsidRPr="00FD1DB5" w14:paraId="4051BB44" w14:textId="77777777" w:rsidTr="004F2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03DC301" w14:textId="77777777" w:rsidR="00BD78FE" w:rsidRPr="00FD1DB5" w:rsidRDefault="00BD78FE" w:rsidP="004F2FD4">
            <w:pPr>
              <w:pStyle w:val="NoSpacing"/>
            </w:pPr>
          </w:p>
        </w:tc>
        <w:tc>
          <w:tcPr>
            <w:tcW w:w="1924" w:type="dxa"/>
          </w:tcPr>
          <w:p w14:paraId="2C6EB809" w14:textId="77777777" w:rsidR="00BD78FE" w:rsidRPr="00FD1DB5" w:rsidRDefault="00BD78FE" w:rsidP="004F2F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D1DB5">
              <w:t>OR</w:t>
            </w:r>
          </w:p>
        </w:tc>
        <w:tc>
          <w:tcPr>
            <w:tcW w:w="1924" w:type="dxa"/>
          </w:tcPr>
          <w:p w14:paraId="2E96ED5D" w14:textId="77777777" w:rsidR="00BD78FE" w:rsidRPr="00FD1DB5" w:rsidRDefault="00BD78FE" w:rsidP="004F2F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Lower CL 95%</w:t>
            </w:r>
          </w:p>
        </w:tc>
        <w:tc>
          <w:tcPr>
            <w:tcW w:w="1925" w:type="dxa"/>
          </w:tcPr>
          <w:p w14:paraId="6F1CD62F" w14:textId="77777777" w:rsidR="00BD78FE" w:rsidRPr="00FD1DB5" w:rsidRDefault="00BD78FE" w:rsidP="004F2F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Upper CL 95%</w:t>
            </w:r>
          </w:p>
        </w:tc>
      </w:tr>
      <w:tr w:rsidR="00BD78FE" w:rsidRPr="00FD1DB5" w14:paraId="6B72903A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A89F2A7" w14:textId="77777777" w:rsidR="00BD78FE" w:rsidRPr="00FD1DB5" w:rsidRDefault="00BD78FE" w:rsidP="004F2FD4">
            <w:pPr>
              <w:pStyle w:val="NoSpacing"/>
              <w:rPr>
                <w:i/>
                <w:iCs/>
              </w:rPr>
            </w:pPr>
            <w:r w:rsidRPr="00FD1DB5">
              <w:rPr>
                <w:i/>
                <w:iCs/>
              </w:rPr>
              <w:t>sflt 1/PlGF</w:t>
            </w:r>
          </w:p>
        </w:tc>
        <w:tc>
          <w:tcPr>
            <w:tcW w:w="1924" w:type="dxa"/>
          </w:tcPr>
          <w:p w14:paraId="392EA711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4DCC0C12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27F7E0AA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8FE" w:rsidRPr="00FD1DB5" w14:paraId="077BDA38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514034C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PE</w:t>
            </w:r>
          </w:p>
        </w:tc>
        <w:tc>
          <w:tcPr>
            <w:tcW w:w="1924" w:type="dxa"/>
          </w:tcPr>
          <w:p w14:paraId="0BCF48C3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2,692</w:t>
            </w:r>
          </w:p>
        </w:tc>
        <w:tc>
          <w:tcPr>
            <w:tcW w:w="1924" w:type="dxa"/>
          </w:tcPr>
          <w:p w14:paraId="2A2725A0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1,859</w:t>
            </w:r>
          </w:p>
        </w:tc>
        <w:tc>
          <w:tcPr>
            <w:tcW w:w="1925" w:type="dxa"/>
          </w:tcPr>
          <w:p w14:paraId="3ADB3B39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3,895</w:t>
            </w:r>
          </w:p>
        </w:tc>
      </w:tr>
      <w:tr w:rsidR="00BD78FE" w:rsidRPr="00FD1DB5" w14:paraId="3B0EE04A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56F4806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IUGR</w:t>
            </w:r>
          </w:p>
        </w:tc>
        <w:tc>
          <w:tcPr>
            <w:tcW w:w="1924" w:type="dxa"/>
          </w:tcPr>
          <w:p w14:paraId="092AD212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2,389</w:t>
            </w:r>
          </w:p>
        </w:tc>
        <w:tc>
          <w:tcPr>
            <w:tcW w:w="1924" w:type="dxa"/>
          </w:tcPr>
          <w:p w14:paraId="4AC99F61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1,642</w:t>
            </w:r>
          </w:p>
        </w:tc>
        <w:tc>
          <w:tcPr>
            <w:tcW w:w="1925" w:type="dxa"/>
          </w:tcPr>
          <w:p w14:paraId="33F437D6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3,444</w:t>
            </w:r>
          </w:p>
        </w:tc>
      </w:tr>
      <w:tr w:rsidR="00BD78FE" w:rsidRPr="00FD1DB5" w14:paraId="4834E4CE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44BF3EAA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HELLP</w:t>
            </w:r>
          </w:p>
        </w:tc>
        <w:tc>
          <w:tcPr>
            <w:tcW w:w="1924" w:type="dxa"/>
          </w:tcPr>
          <w:p w14:paraId="77D3DA0B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2,103</w:t>
            </w:r>
          </w:p>
        </w:tc>
        <w:tc>
          <w:tcPr>
            <w:tcW w:w="1924" w:type="dxa"/>
          </w:tcPr>
          <w:p w14:paraId="1560D37B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1,451</w:t>
            </w:r>
          </w:p>
        </w:tc>
        <w:tc>
          <w:tcPr>
            <w:tcW w:w="1925" w:type="dxa"/>
          </w:tcPr>
          <w:p w14:paraId="3E9DD659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3,045</w:t>
            </w:r>
          </w:p>
        </w:tc>
      </w:tr>
      <w:tr w:rsidR="00BD78FE" w:rsidRPr="00FD1DB5" w14:paraId="493E186F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03A8FD3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Placental dysfunction</w:t>
            </w:r>
          </w:p>
        </w:tc>
        <w:tc>
          <w:tcPr>
            <w:tcW w:w="1924" w:type="dxa"/>
          </w:tcPr>
          <w:p w14:paraId="51AC5516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2,380</w:t>
            </w:r>
          </w:p>
        </w:tc>
        <w:tc>
          <w:tcPr>
            <w:tcW w:w="1924" w:type="dxa"/>
          </w:tcPr>
          <w:p w14:paraId="5B49191D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1,</w:t>
            </w:r>
            <w:r>
              <w:t>859</w:t>
            </w:r>
          </w:p>
        </w:tc>
        <w:tc>
          <w:tcPr>
            <w:tcW w:w="1925" w:type="dxa"/>
          </w:tcPr>
          <w:p w14:paraId="1E554B7F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3,</w:t>
            </w:r>
            <w:r>
              <w:t>444</w:t>
            </w:r>
          </w:p>
        </w:tc>
      </w:tr>
      <w:tr w:rsidR="00BD78FE" w:rsidRPr="00FD1DB5" w14:paraId="60C0B301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6E3C373C" w14:textId="77777777" w:rsidR="00BD78FE" w:rsidRPr="00FD1DB5" w:rsidRDefault="00BD78FE" w:rsidP="004F2FD4">
            <w:pPr>
              <w:pStyle w:val="NoSpacing"/>
              <w:rPr>
                <w:i/>
                <w:iCs/>
              </w:rPr>
            </w:pPr>
            <w:r w:rsidRPr="00FD1DB5">
              <w:rPr>
                <w:i/>
                <w:iCs/>
              </w:rPr>
              <w:t>sEndoglin</w:t>
            </w:r>
          </w:p>
        </w:tc>
        <w:tc>
          <w:tcPr>
            <w:tcW w:w="1924" w:type="dxa"/>
          </w:tcPr>
          <w:p w14:paraId="171FDBA1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3C397971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03F4C89C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8FE" w:rsidRPr="00FD1DB5" w14:paraId="010E299A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BA01F41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PE</w:t>
            </w:r>
          </w:p>
        </w:tc>
        <w:tc>
          <w:tcPr>
            <w:tcW w:w="1924" w:type="dxa"/>
          </w:tcPr>
          <w:p w14:paraId="28DBDE0D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2,330</w:t>
            </w:r>
          </w:p>
        </w:tc>
        <w:tc>
          <w:tcPr>
            <w:tcW w:w="1924" w:type="dxa"/>
          </w:tcPr>
          <w:p w14:paraId="15E25F9C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1,589</w:t>
            </w:r>
          </w:p>
        </w:tc>
        <w:tc>
          <w:tcPr>
            <w:tcW w:w="1925" w:type="dxa"/>
          </w:tcPr>
          <w:p w14:paraId="287A90B5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3,478</w:t>
            </w:r>
          </w:p>
        </w:tc>
      </w:tr>
      <w:tr w:rsidR="00BD78FE" w:rsidRPr="00FD1DB5" w14:paraId="4F989BDA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75EB51E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IUGR</w:t>
            </w:r>
          </w:p>
        </w:tc>
        <w:tc>
          <w:tcPr>
            <w:tcW w:w="1924" w:type="dxa"/>
          </w:tcPr>
          <w:p w14:paraId="2756EDE8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2,275</w:t>
            </w:r>
          </w:p>
        </w:tc>
        <w:tc>
          <w:tcPr>
            <w:tcW w:w="1924" w:type="dxa"/>
          </w:tcPr>
          <w:p w14:paraId="4CF1B07D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1,551</w:t>
            </w:r>
          </w:p>
        </w:tc>
        <w:tc>
          <w:tcPr>
            <w:tcW w:w="1925" w:type="dxa"/>
          </w:tcPr>
          <w:p w14:paraId="6F0C8D60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3,398</w:t>
            </w:r>
          </w:p>
        </w:tc>
      </w:tr>
      <w:tr w:rsidR="00BD78FE" w:rsidRPr="00FD1DB5" w14:paraId="70A85ACC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C9FDD54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HELLP</w:t>
            </w:r>
          </w:p>
        </w:tc>
        <w:tc>
          <w:tcPr>
            <w:tcW w:w="1924" w:type="dxa"/>
          </w:tcPr>
          <w:p w14:paraId="0BFA9EE9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1,880</w:t>
            </w:r>
          </w:p>
        </w:tc>
        <w:tc>
          <w:tcPr>
            <w:tcW w:w="1924" w:type="dxa"/>
          </w:tcPr>
          <w:p w14:paraId="28AEF762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1,451</w:t>
            </w:r>
          </w:p>
        </w:tc>
        <w:tc>
          <w:tcPr>
            <w:tcW w:w="1925" w:type="dxa"/>
          </w:tcPr>
          <w:p w14:paraId="5B5540EB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3,045</w:t>
            </w:r>
          </w:p>
        </w:tc>
      </w:tr>
      <w:tr w:rsidR="00BD78FE" w:rsidRPr="00FD1DB5" w14:paraId="6740E06D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5B045BD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Placental dysfunction</w:t>
            </w:r>
          </w:p>
        </w:tc>
        <w:tc>
          <w:tcPr>
            <w:tcW w:w="1924" w:type="dxa"/>
          </w:tcPr>
          <w:p w14:paraId="5670206D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2,</w:t>
            </w:r>
            <w:r>
              <w:t>502</w:t>
            </w:r>
          </w:p>
        </w:tc>
        <w:tc>
          <w:tcPr>
            <w:tcW w:w="1924" w:type="dxa"/>
          </w:tcPr>
          <w:p w14:paraId="2698DB5A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1,</w:t>
            </w:r>
            <w:r>
              <w:t>749</w:t>
            </w:r>
          </w:p>
        </w:tc>
        <w:tc>
          <w:tcPr>
            <w:tcW w:w="1925" w:type="dxa"/>
          </w:tcPr>
          <w:p w14:paraId="5123D8CC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3,819</w:t>
            </w:r>
          </w:p>
        </w:tc>
      </w:tr>
      <w:tr w:rsidR="00BD78FE" w:rsidRPr="00FD1DB5" w14:paraId="7339285D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EEE9907" w14:textId="77777777" w:rsidR="00BD78FE" w:rsidRPr="00FD1DB5" w:rsidRDefault="00BD78FE" w:rsidP="004F2FD4">
            <w:pPr>
              <w:pStyle w:val="NoSpacing"/>
              <w:rPr>
                <w:i/>
                <w:iCs/>
              </w:rPr>
            </w:pPr>
            <w:r w:rsidRPr="00FD1DB5">
              <w:rPr>
                <w:i/>
                <w:iCs/>
              </w:rPr>
              <w:t>sFlt</w:t>
            </w:r>
          </w:p>
        </w:tc>
        <w:tc>
          <w:tcPr>
            <w:tcW w:w="1924" w:type="dxa"/>
          </w:tcPr>
          <w:p w14:paraId="62717CCE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36CDCDD1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105DA2BF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8FE" w:rsidRPr="00FD1DB5" w14:paraId="1E5D0563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2CE73B7" w14:textId="77777777" w:rsidR="00BD78FE" w:rsidRPr="00FD1DB5" w:rsidRDefault="00BD78FE" w:rsidP="004F2FD4">
            <w:pPr>
              <w:pStyle w:val="NoSpacing"/>
            </w:pPr>
          </w:p>
        </w:tc>
        <w:tc>
          <w:tcPr>
            <w:tcW w:w="1924" w:type="dxa"/>
          </w:tcPr>
          <w:p w14:paraId="753A1E1A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51A1B791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440C13B6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8FE" w:rsidRPr="00FD1DB5" w14:paraId="49B9D4C9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1A45964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PE</w:t>
            </w:r>
          </w:p>
        </w:tc>
        <w:tc>
          <w:tcPr>
            <w:tcW w:w="1924" w:type="dxa"/>
          </w:tcPr>
          <w:p w14:paraId="49063488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7,242</w:t>
            </w:r>
          </w:p>
        </w:tc>
        <w:tc>
          <w:tcPr>
            <w:tcW w:w="1924" w:type="dxa"/>
          </w:tcPr>
          <w:p w14:paraId="0E1A3221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3,677</w:t>
            </w:r>
          </w:p>
        </w:tc>
        <w:tc>
          <w:tcPr>
            <w:tcW w:w="1925" w:type="dxa"/>
          </w:tcPr>
          <w:p w14:paraId="1E01E4F9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14,263</w:t>
            </w:r>
          </w:p>
        </w:tc>
      </w:tr>
      <w:tr w:rsidR="00BD78FE" w:rsidRPr="00FD1DB5" w14:paraId="19EDD117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92502ED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IUGR</w:t>
            </w:r>
          </w:p>
        </w:tc>
        <w:tc>
          <w:tcPr>
            <w:tcW w:w="1924" w:type="dxa"/>
          </w:tcPr>
          <w:p w14:paraId="1BEE2B1F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6,928</w:t>
            </w:r>
          </w:p>
        </w:tc>
        <w:tc>
          <w:tcPr>
            <w:tcW w:w="1924" w:type="dxa"/>
          </w:tcPr>
          <w:p w14:paraId="1AF902D4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3,514</w:t>
            </w:r>
          </w:p>
        </w:tc>
        <w:tc>
          <w:tcPr>
            <w:tcW w:w="1925" w:type="dxa"/>
          </w:tcPr>
          <w:p w14:paraId="5DEE4C31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13,658</w:t>
            </w:r>
          </w:p>
        </w:tc>
      </w:tr>
      <w:tr w:rsidR="00BD78FE" w:rsidRPr="00FD1DB5" w14:paraId="6D5FCB87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37B184D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HELLP</w:t>
            </w:r>
          </w:p>
        </w:tc>
        <w:tc>
          <w:tcPr>
            <w:tcW w:w="1924" w:type="dxa"/>
          </w:tcPr>
          <w:p w14:paraId="34601D9C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6,021</w:t>
            </w:r>
          </w:p>
        </w:tc>
        <w:tc>
          <w:tcPr>
            <w:tcW w:w="1924" w:type="dxa"/>
          </w:tcPr>
          <w:p w14:paraId="665CC921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2,798</w:t>
            </w:r>
          </w:p>
        </w:tc>
        <w:tc>
          <w:tcPr>
            <w:tcW w:w="1925" w:type="dxa"/>
          </w:tcPr>
          <w:p w14:paraId="109CE091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12,956</w:t>
            </w:r>
          </w:p>
        </w:tc>
      </w:tr>
      <w:tr w:rsidR="00BD78FE" w:rsidRPr="00FD1DB5" w14:paraId="1D4B5D55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F0FE45F" w14:textId="77777777" w:rsidR="00BD78FE" w:rsidRPr="00FD1DB5" w:rsidRDefault="00BD78FE" w:rsidP="004F2FD4">
            <w:pPr>
              <w:pStyle w:val="NoSpacing"/>
              <w:rPr>
                <w:i/>
                <w:iCs/>
              </w:rPr>
            </w:pPr>
            <w:r w:rsidRPr="00FD1DB5">
              <w:rPr>
                <w:i/>
                <w:iCs/>
              </w:rPr>
              <w:t>PLGF</w:t>
            </w:r>
          </w:p>
        </w:tc>
        <w:tc>
          <w:tcPr>
            <w:tcW w:w="1924" w:type="dxa"/>
          </w:tcPr>
          <w:p w14:paraId="6FB8BA65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14:paraId="1CD3A323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7E2645A9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8FE" w:rsidRPr="00FD1DB5" w14:paraId="0E159B40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6F483FF2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PE</w:t>
            </w:r>
          </w:p>
        </w:tc>
        <w:tc>
          <w:tcPr>
            <w:tcW w:w="1924" w:type="dxa"/>
          </w:tcPr>
          <w:p w14:paraId="41CA1E5A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0,99</w:t>
            </w:r>
            <w:r>
              <w:t>3</w:t>
            </w:r>
          </w:p>
        </w:tc>
        <w:tc>
          <w:tcPr>
            <w:tcW w:w="1924" w:type="dxa"/>
          </w:tcPr>
          <w:p w14:paraId="01FB2ADB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0,988</w:t>
            </w:r>
          </w:p>
        </w:tc>
        <w:tc>
          <w:tcPr>
            <w:tcW w:w="1925" w:type="dxa"/>
          </w:tcPr>
          <w:p w14:paraId="1BA7C3F7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0,996</w:t>
            </w:r>
          </w:p>
        </w:tc>
      </w:tr>
      <w:tr w:rsidR="00BD78FE" w:rsidRPr="00FD1DB5" w14:paraId="5DB61BDA" w14:textId="77777777" w:rsidTr="004F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6DF1996C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IUGR</w:t>
            </w:r>
          </w:p>
        </w:tc>
        <w:tc>
          <w:tcPr>
            <w:tcW w:w="1924" w:type="dxa"/>
          </w:tcPr>
          <w:p w14:paraId="6897C6C2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0.994</w:t>
            </w:r>
          </w:p>
        </w:tc>
        <w:tc>
          <w:tcPr>
            <w:tcW w:w="1924" w:type="dxa"/>
          </w:tcPr>
          <w:p w14:paraId="21B0EA81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0,991</w:t>
            </w:r>
          </w:p>
        </w:tc>
        <w:tc>
          <w:tcPr>
            <w:tcW w:w="1925" w:type="dxa"/>
          </w:tcPr>
          <w:p w14:paraId="1B210B2A" w14:textId="77777777" w:rsidR="00BD78FE" w:rsidRPr="00FD1DB5" w:rsidRDefault="00BD78FE" w:rsidP="004F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5">
              <w:t>0,996</w:t>
            </w:r>
          </w:p>
        </w:tc>
      </w:tr>
      <w:tr w:rsidR="00BD78FE" w:rsidRPr="00FD1DB5" w14:paraId="2790BC42" w14:textId="77777777" w:rsidTr="004F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E5772FB" w14:textId="77777777" w:rsidR="00BD78FE" w:rsidRPr="00FD1DB5" w:rsidRDefault="00BD78FE" w:rsidP="004F2FD4">
            <w:pPr>
              <w:pStyle w:val="NoSpacing"/>
              <w:rPr>
                <w:b w:val="0"/>
                <w:bCs w:val="0"/>
              </w:rPr>
            </w:pPr>
            <w:r w:rsidRPr="00FD1DB5">
              <w:rPr>
                <w:b w:val="0"/>
                <w:bCs w:val="0"/>
              </w:rPr>
              <w:t>HELLP</w:t>
            </w:r>
          </w:p>
        </w:tc>
        <w:tc>
          <w:tcPr>
            <w:tcW w:w="1924" w:type="dxa"/>
          </w:tcPr>
          <w:p w14:paraId="6BE2D987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0,9</w:t>
            </w:r>
            <w:r>
              <w:t>89</w:t>
            </w:r>
          </w:p>
        </w:tc>
        <w:tc>
          <w:tcPr>
            <w:tcW w:w="1924" w:type="dxa"/>
          </w:tcPr>
          <w:p w14:paraId="78C001C8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0,9</w:t>
            </w:r>
            <w:r>
              <w:t>77</w:t>
            </w:r>
          </w:p>
        </w:tc>
        <w:tc>
          <w:tcPr>
            <w:tcW w:w="1925" w:type="dxa"/>
          </w:tcPr>
          <w:p w14:paraId="79114BAA" w14:textId="77777777" w:rsidR="00BD78FE" w:rsidRPr="00FD1DB5" w:rsidRDefault="00BD78FE" w:rsidP="004F2F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5">
              <w:t>0,99</w:t>
            </w:r>
            <w:r>
              <w:t>5</w:t>
            </w:r>
          </w:p>
        </w:tc>
      </w:tr>
    </w:tbl>
    <w:p w14:paraId="7693016C" w14:textId="77777777" w:rsidR="00BD78FE" w:rsidRDefault="00BD78FE" w:rsidP="00BD78FE">
      <w:pPr>
        <w:pStyle w:val="Heading6"/>
      </w:pPr>
    </w:p>
    <w:p w14:paraId="00AA7716" w14:textId="77777777" w:rsidR="00BD78FE" w:rsidRDefault="00BD78FE" w:rsidP="00BD78FE">
      <w:pPr>
        <w:pStyle w:val="Heading6"/>
      </w:pPr>
    </w:p>
    <w:p w14:paraId="26A73B5E" w14:textId="77777777" w:rsidR="00BD78FE" w:rsidRPr="00D749DE" w:rsidRDefault="00BD78FE" w:rsidP="00BD78FE">
      <w:pPr>
        <w:pStyle w:val="Heading6"/>
        <w:rPr>
          <w:color w:val="auto"/>
        </w:rPr>
      </w:pPr>
      <w:r w:rsidRPr="00B92656">
        <w:rPr>
          <w:color w:val="auto"/>
        </w:rPr>
        <w:t>Table A: Odd Ratios and corresponding 95% confidence intervals (95% CI) between pregnancy outcomes (</w:t>
      </w:r>
      <w:r>
        <w:rPr>
          <w:color w:val="auto"/>
        </w:rPr>
        <w:t>PE</w:t>
      </w:r>
      <w:r w:rsidRPr="00B92656">
        <w:rPr>
          <w:color w:val="auto"/>
        </w:rPr>
        <w:t xml:space="preserve">, IUGR, HELLP) and </w:t>
      </w:r>
      <w:r>
        <w:rPr>
          <w:color w:val="auto"/>
        </w:rPr>
        <w:t>angiogenic factors</w:t>
      </w:r>
      <w:r w:rsidRPr="00B92656">
        <w:rPr>
          <w:color w:val="auto"/>
        </w:rPr>
        <w:t xml:space="preserve"> (sFlt-1, PIGF, sFlt1/PlGF Ratio</w:t>
      </w:r>
      <w:r>
        <w:rPr>
          <w:color w:val="auto"/>
        </w:rPr>
        <w:t>,</w:t>
      </w:r>
      <w:r w:rsidRPr="00B92656">
        <w:rPr>
          <w:color w:val="auto"/>
        </w:rPr>
        <w:t xml:space="preserve"> and sEng), adjusted by </w:t>
      </w:r>
      <w:r>
        <w:rPr>
          <w:color w:val="auto"/>
        </w:rPr>
        <w:t>the maternal age</w:t>
      </w:r>
      <w:r w:rsidRPr="00B92656">
        <w:rPr>
          <w:color w:val="auto"/>
        </w:rPr>
        <w:t xml:space="preserve">, </w:t>
      </w:r>
      <w:r>
        <w:rPr>
          <w:color w:val="auto"/>
        </w:rPr>
        <w:t xml:space="preserve">the </w:t>
      </w:r>
      <w:r w:rsidRPr="00B92656">
        <w:rPr>
          <w:color w:val="auto"/>
        </w:rPr>
        <w:t xml:space="preserve">gestational week at </w:t>
      </w:r>
      <w:r>
        <w:rPr>
          <w:color w:val="auto"/>
        </w:rPr>
        <w:t xml:space="preserve">the </w:t>
      </w:r>
      <w:r w:rsidRPr="00B92656">
        <w:rPr>
          <w:color w:val="auto"/>
        </w:rPr>
        <w:t xml:space="preserve">blood sampling and </w:t>
      </w:r>
      <w:r>
        <w:rPr>
          <w:color w:val="auto"/>
        </w:rPr>
        <w:t xml:space="preserve">the </w:t>
      </w:r>
      <w:r w:rsidRPr="00B92656">
        <w:rPr>
          <w:color w:val="auto"/>
        </w:rPr>
        <w:t>maternal BMI.</w:t>
      </w:r>
      <w:r>
        <w:rPr>
          <w:color w:val="auto"/>
        </w:rPr>
        <w:t xml:space="preserve"> All associations were statistically significant at a p-value of &lt; 0.0001.</w:t>
      </w:r>
    </w:p>
    <w:p w14:paraId="789D5DB6" w14:textId="77777777" w:rsidR="00BD78FE" w:rsidRPr="00FD1DB5" w:rsidRDefault="00BD78FE" w:rsidP="00BD78FE">
      <w:pPr>
        <w:rPr>
          <w:lang w:eastAsia="en-US"/>
        </w:rPr>
      </w:pPr>
    </w:p>
    <w:p w14:paraId="48210F48" w14:textId="77777777" w:rsidR="00BD78FE" w:rsidRPr="0005455F" w:rsidRDefault="00BD78FE" w:rsidP="00BD78FE">
      <w:pPr>
        <w:pStyle w:val="EndNoteBibliography"/>
      </w:pPr>
    </w:p>
    <w:p w14:paraId="37541EA4" w14:textId="77777777" w:rsidR="00BD78FE" w:rsidRPr="001A1EF3" w:rsidRDefault="00BD78FE" w:rsidP="00BD78FE">
      <w:pPr>
        <w:rPr>
          <w:lang w:eastAsia="en-US"/>
        </w:rPr>
      </w:pPr>
    </w:p>
    <w:p w14:paraId="3128391E" w14:textId="77777777" w:rsidR="00BD78FE" w:rsidRPr="00F8754F" w:rsidRDefault="00BD78FE" w:rsidP="00BD78FE">
      <w:pPr>
        <w:rPr>
          <w:lang w:eastAsia="en-US"/>
        </w:rPr>
      </w:pPr>
      <w:r w:rsidRPr="00F8754F">
        <w:rPr>
          <w:noProof/>
        </w:rPr>
        <w:t xml:space="preserve"> </w:t>
      </w:r>
    </w:p>
    <w:p w14:paraId="6F240EEF" w14:textId="77777777" w:rsidR="00BD78FE" w:rsidRPr="00D749DE" w:rsidRDefault="00BD78FE" w:rsidP="00BD78FE">
      <w:pPr>
        <w:rPr>
          <w:lang w:eastAsia="en-US"/>
        </w:rPr>
      </w:pPr>
    </w:p>
    <w:p w14:paraId="555DDB43" w14:textId="77777777" w:rsidR="00BD78FE" w:rsidRPr="000D2957" w:rsidRDefault="00BD78FE" w:rsidP="00BD78FE"/>
    <w:p w14:paraId="012D891C" w14:textId="77777777" w:rsidR="00FF6534" w:rsidRDefault="00FF6534"/>
    <w:sectPr w:rsidR="00FF6534" w:rsidSect="004F2FD4"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E"/>
    <w:rsid w:val="000137EA"/>
    <w:rsid w:val="0002258A"/>
    <w:rsid w:val="000E28D5"/>
    <w:rsid w:val="00134C22"/>
    <w:rsid w:val="00146A6F"/>
    <w:rsid w:val="001B7BE0"/>
    <w:rsid w:val="001D2936"/>
    <w:rsid w:val="001E0C85"/>
    <w:rsid w:val="00283AC1"/>
    <w:rsid w:val="002852A5"/>
    <w:rsid w:val="002928E6"/>
    <w:rsid w:val="0037525E"/>
    <w:rsid w:val="003F387D"/>
    <w:rsid w:val="004233D4"/>
    <w:rsid w:val="004B1933"/>
    <w:rsid w:val="004E52AF"/>
    <w:rsid w:val="005412E6"/>
    <w:rsid w:val="00564D2E"/>
    <w:rsid w:val="005926C4"/>
    <w:rsid w:val="00593437"/>
    <w:rsid w:val="005A2D12"/>
    <w:rsid w:val="00663C5A"/>
    <w:rsid w:val="006A58C3"/>
    <w:rsid w:val="006F5FAD"/>
    <w:rsid w:val="0074214C"/>
    <w:rsid w:val="007707AD"/>
    <w:rsid w:val="007B5F2A"/>
    <w:rsid w:val="007F045C"/>
    <w:rsid w:val="00831CD5"/>
    <w:rsid w:val="008368AA"/>
    <w:rsid w:val="008934EA"/>
    <w:rsid w:val="009064BE"/>
    <w:rsid w:val="00912E7F"/>
    <w:rsid w:val="00913AB3"/>
    <w:rsid w:val="00952B3F"/>
    <w:rsid w:val="00993704"/>
    <w:rsid w:val="009A6F8A"/>
    <w:rsid w:val="00AA08DD"/>
    <w:rsid w:val="00AC5F24"/>
    <w:rsid w:val="00AC6F47"/>
    <w:rsid w:val="00AE617B"/>
    <w:rsid w:val="00AF2086"/>
    <w:rsid w:val="00B41347"/>
    <w:rsid w:val="00BD78FE"/>
    <w:rsid w:val="00BE46AF"/>
    <w:rsid w:val="00BF35ED"/>
    <w:rsid w:val="00C026CE"/>
    <w:rsid w:val="00C33507"/>
    <w:rsid w:val="00C65A64"/>
    <w:rsid w:val="00CC42A0"/>
    <w:rsid w:val="00CC4909"/>
    <w:rsid w:val="00D43662"/>
    <w:rsid w:val="00DA09FC"/>
    <w:rsid w:val="00DB56F5"/>
    <w:rsid w:val="00DE0884"/>
    <w:rsid w:val="00E96765"/>
    <w:rsid w:val="00FC6D33"/>
    <w:rsid w:val="00FD4BCA"/>
    <w:rsid w:val="00FF1E9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FE"/>
    <w:p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lang w:val="en-US"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8FE"/>
    <w:pPr>
      <w:keepNext/>
      <w:keepLines/>
      <w:spacing w:before="40" w:after="120"/>
      <w:outlineLvl w:val="3"/>
    </w:pPr>
    <w:rPr>
      <w:rFonts w:eastAsiaTheme="majorEastAsia"/>
      <w:i/>
      <w:iCs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8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78FE"/>
    <w:rPr>
      <w:rFonts w:ascii="Times New Roman" w:eastAsiaTheme="majorEastAsia" w:hAnsi="Times New Roman" w:cs="Times New Roman"/>
      <w:i/>
      <w:iCs/>
      <w:color w:val="000000" w:themeColor="text1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D78FE"/>
    <w:rPr>
      <w:rFonts w:asciiTheme="majorHAnsi" w:eastAsiaTheme="majorEastAsia" w:hAnsiTheme="majorHAnsi" w:cstheme="majorBidi"/>
      <w:color w:val="1F3763" w:themeColor="accent1" w:themeShade="7F"/>
      <w:sz w:val="22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BD78FE"/>
    <w:pPr>
      <w:spacing w:before="120" w:after="120" w:line="240" w:lineRule="auto"/>
    </w:pPr>
    <w:rPr>
      <w:rFonts w:ascii="Calibri" w:eastAsiaTheme="minorEastAsia" w:hAnsi="Calibri" w:cs="Calibri"/>
    </w:rPr>
  </w:style>
  <w:style w:type="paragraph" w:styleId="NoSpacing">
    <w:name w:val="No Spacing"/>
    <w:uiPriority w:val="1"/>
    <w:qFormat/>
    <w:rsid w:val="00BD78FE"/>
    <w:pPr>
      <w:jc w:val="both"/>
    </w:pPr>
    <w:rPr>
      <w:sz w:val="20"/>
      <w:szCs w:val="20"/>
      <w:lang w:val="en-US"/>
    </w:rPr>
  </w:style>
  <w:style w:type="table" w:customStyle="1" w:styleId="Tabellasemplice-21">
    <w:name w:val="Tabella semplice - 21"/>
    <w:basedOn w:val="TableNormal"/>
    <w:uiPriority w:val="42"/>
    <w:rsid w:val="00BD78FE"/>
    <w:rPr>
      <w:lang w:val="it-I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Zchn">
    <w:name w:val="EndNote Bibliography Zchn"/>
    <w:basedOn w:val="DefaultParagraphFont"/>
    <w:link w:val="EndNoteBibliography"/>
    <w:rsid w:val="00BD78FE"/>
    <w:rPr>
      <w:rFonts w:ascii="Calibri" w:eastAsiaTheme="minorEastAsia" w:hAnsi="Calibri" w:cs="Calibri"/>
      <w:color w:val="000000" w:themeColor="text1"/>
      <w:lang w:val="en-US" w:eastAsia="it-IT"/>
    </w:rPr>
  </w:style>
  <w:style w:type="table" w:customStyle="1" w:styleId="PlainTable2">
    <w:name w:val="Plain Table 2"/>
    <w:basedOn w:val="TableNormal"/>
    <w:uiPriority w:val="99"/>
    <w:rsid w:val="00BD78FE"/>
    <w:rPr>
      <w:lang w:val="it-I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FE"/>
    <w:p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lang w:val="en-US"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8FE"/>
    <w:pPr>
      <w:keepNext/>
      <w:keepLines/>
      <w:spacing w:before="40" w:after="120"/>
      <w:outlineLvl w:val="3"/>
    </w:pPr>
    <w:rPr>
      <w:rFonts w:eastAsiaTheme="majorEastAsia"/>
      <w:i/>
      <w:iCs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8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78FE"/>
    <w:rPr>
      <w:rFonts w:ascii="Times New Roman" w:eastAsiaTheme="majorEastAsia" w:hAnsi="Times New Roman" w:cs="Times New Roman"/>
      <w:i/>
      <w:iCs/>
      <w:color w:val="000000" w:themeColor="text1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D78FE"/>
    <w:rPr>
      <w:rFonts w:asciiTheme="majorHAnsi" w:eastAsiaTheme="majorEastAsia" w:hAnsiTheme="majorHAnsi" w:cstheme="majorBidi"/>
      <w:color w:val="1F3763" w:themeColor="accent1" w:themeShade="7F"/>
      <w:sz w:val="22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BD78FE"/>
    <w:pPr>
      <w:spacing w:before="120" w:after="120" w:line="240" w:lineRule="auto"/>
    </w:pPr>
    <w:rPr>
      <w:rFonts w:ascii="Calibri" w:eastAsiaTheme="minorEastAsia" w:hAnsi="Calibri" w:cs="Calibri"/>
    </w:rPr>
  </w:style>
  <w:style w:type="paragraph" w:styleId="NoSpacing">
    <w:name w:val="No Spacing"/>
    <w:uiPriority w:val="1"/>
    <w:qFormat/>
    <w:rsid w:val="00BD78FE"/>
    <w:pPr>
      <w:jc w:val="both"/>
    </w:pPr>
    <w:rPr>
      <w:sz w:val="20"/>
      <w:szCs w:val="20"/>
      <w:lang w:val="en-US"/>
    </w:rPr>
  </w:style>
  <w:style w:type="table" w:customStyle="1" w:styleId="Tabellasemplice-21">
    <w:name w:val="Tabella semplice - 21"/>
    <w:basedOn w:val="TableNormal"/>
    <w:uiPriority w:val="42"/>
    <w:rsid w:val="00BD78FE"/>
    <w:rPr>
      <w:lang w:val="it-I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Zchn">
    <w:name w:val="EndNote Bibliography Zchn"/>
    <w:basedOn w:val="DefaultParagraphFont"/>
    <w:link w:val="EndNoteBibliography"/>
    <w:rsid w:val="00BD78FE"/>
    <w:rPr>
      <w:rFonts w:ascii="Calibri" w:eastAsiaTheme="minorEastAsia" w:hAnsi="Calibri" w:cs="Calibri"/>
      <w:color w:val="000000" w:themeColor="text1"/>
      <w:lang w:val="en-US" w:eastAsia="it-IT"/>
    </w:rPr>
  </w:style>
  <w:style w:type="table" w:customStyle="1" w:styleId="PlainTable2">
    <w:name w:val="Plain Table 2"/>
    <w:basedOn w:val="TableNormal"/>
    <w:uiPriority w:val="99"/>
    <w:rsid w:val="00BD78FE"/>
    <w:rPr>
      <w:lang w:val="it-I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Iannaccone</dc:creator>
  <cp:lastModifiedBy>SUBASHINI PRADABANE, Integra-PDY, IN</cp:lastModifiedBy>
  <cp:revision>2</cp:revision>
  <dcterms:created xsi:type="dcterms:W3CDTF">2022-04-26T05:06:00Z</dcterms:created>
  <dcterms:modified xsi:type="dcterms:W3CDTF">2022-04-26T05:06:00Z</dcterms:modified>
</cp:coreProperties>
</file>