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CD5C" w14:textId="77777777" w:rsidR="00EF466C" w:rsidRPr="00D31E5C" w:rsidRDefault="00EF466C" w:rsidP="00EF466C">
      <w:pPr>
        <w:tabs>
          <w:tab w:val="left" w:pos="1500"/>
        </w:tabs>
        <w:spacing w:line="480" w:lineRule="auto"/>
        <w:ind w:firstLine="0"/>
        <w:rPr>
          <w:i/>
          <w:iCs/>
          <w:szCs w:val="24"/>
        </w:rPr>
      </w:pPr>
      <w:r w:rsidRPr="00565D4E">
        <w:rPr>
          <w:i/>
          <w:iCs/>
          <w:szCs w:val="24"/>
        </w:rPr>
        <w:t>Figure A1. Different</w:t>
      </w:r>
      <w:r w:rsidRPr="00D31E5C">
        <w:rPr>
          <w:i/>
          <w:iCs/>
          <w:szCs w:val="24"/>
        </w:rPr>
        <w:t xml:space="preserve"> centrality measures calculated for actors within the EU migration policy system.</w:t>
      </w:r>
    </w:p>
    <w:p w14:paraId="06863B83" w14:textId="77777777" w:rsidR="00EF466C" w:rsidRPr="00D31E5C" w:rsidRDefault="00EF466C" w:rsidP="00EF466C">
      <w:pPr>
        <w:tabs>
          <w:tab w:val="left" w:pos="1500"/>
        </w:tabs>
        <w:spacing w:line="480" w:lineRule="auto"/>
        <w:rPr>
          <w:b/>
          <w:bCs/>
          <w:szCs w:val="24"/>
          <w:u w:val="single"/>
        </w:rPr>
      </w:pPr>
      <w:r w:rsidRPr="00D31E5C">
        <w:rPr>
          <w:noProof/>
          <w:szCs w:val="24"/>
          <w:lang w:val="de-DE" w:eastAsia="de-DE" w:bidi="ar-SA"/>
        </w:rPr>
        <w:drawing>
          <wp:anchor distT="0" distB="0" distL="114300" distR="114300" simplePos="0" relativeHeight="251659264" behindDoc="0" locked="0" layoutInCell="1" allowOverlap="1" wp14:anchorId="7DADB0E2" wp14:editId="0B67C577">
            <wp:simplePos x="0" y="0"/>
            <wp:positionH relativeFrom="margin">
              <wp:align>left</wp:align>
            </wp:positionH>
            <wp:positionV relativeFrom="paragraph">
              <wp:posOffset>17781</wp:posOffset>
            </wp:positionV>
            <wp:extent cx="9725025" cy="6076950"/>
            <wp:effectExtent l="0" t="0" r="9525" b="0"/>
            <wp:wrapNone/>
            <wp:docPr id="15" name="Grafico 3">
              <a:extLst xmlns:a="http://schemas.openxmlformats.org/drawingml/2006/main">
                <a:ext uri="{FF2B5EF4-FFF2-40B4-BE49-F238E27FC236}">
                  <a16:creationId xmlns:a16="http://schemas.microsoft.com/office/drawing/2014/main" id="{F95D6AF7-34C1-4C42-A4E4-375A6511B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p>
    <w:p w14:paraId="66A5B215" w14:textId="77777777" w:rsidR="00EF466C" w:rsidRPr="00D31E5C" w:rsidRDefault="00EF466C" w:rsidP="00EF466C">
      <w:pPr>
        <w:tabs>
          <w:tab w:val="left" w:pos="1500"/>
        </w:tabs>
        <w:spacing w:line="480" w:lineRule="auto"/>
        <w:rPr>
          <w:b/>
          <w:bCs/>
          <w:szCs w:val="24"/>
          <w:u w:val="single"/>
        </w:rPr>
      </w:pPr>
    </w:p>
    <w:p w14:paraId="20BBDECC" w14:textId="77777777" w:rsidR="00EF466C" w:rsidRDefault="00EF466C">
      <w:pPr>
        <w:rPr>
          <w:lang w:val="it-IT"/>
        </w:rPr>
      </w:pPr>
    </w:p>
    <w:p w14:paraId="568C46BD" w14:textId="625EEA4F" w:rsidR="00EF466C" w:rsidRPr="00EF466C" w:rsidRDefault="00EF466C" w:rsidP="00EF466C">
      <w:pPr>
        <w:tabs>
          <w:tab w:val="left" w:pos="1155"/>
        </w:tabs>
        <w:rPr>
          <w:lang w:val="it-IT"/>
        </w:rPr>
        <w:sectPr w:rsidR="00EF466C" w:rsidRPr="00EF466C" w:rsidSect="00EF466C">
          <w:pgSz w:w="16838" w:h="11906" w:orient="landscape"/>
          <w:pgMar w:top="1134" w:right="1417" w:bottom="1134" w:left="1134" w:header="708" w:footer="708" w:gutter="0"/>
          <w:cols w:space="708"/>
          <w:docGrid w:linePitch="360"/>
        </w:sectPr>
      </w:pPr>
      <w:r>
        <w:rPr>
          <w:lang w:val="it-IT"/>
        </w:rPr>
        <w:tab/>
      </w:r>
    </w:p>
    <w:p w14:paraId="49512534" w14:textId="1139E3B3" w:rsidR="00660A74" w:rsidRPr="00D31E5C" w:rsidRDefault="00660A74" w:rsidP="00660A74">
      <w:pPr>
        <w:tabs>
          <w:tab w:val="left" w:pos="765"/>
        </w:tabs>
        <w:spacing w:line="480" w:lineRule="auto"/>
        <w:ind w:firstLine="0"/>
        <w:rPr>
          <w:i/>
          <w:iCs/>
          <w:szCs w:val="24"/>
        </w:rPr>
      </w:pPr>
      <w:r w:rsidRPr="00D31E5C">
        <w:rPr>
          <w:noProof/>
          <w:szCs w:val="24"/>
          <w:lang w:val="de-DE" w:eastAsia="de-DE" w:bidi="ar-SA"/>
        </w:rPr>
        <w:lastRenderedPageBreak/>
        <w:drawing>
          <wp:anchor distT="0" distB="0" distL="114300" distR="114300" simplePos="0" relativeHeight="251661312" behindDoc="0" locked="0" layoutInCell="1" allowOverlap="1" wp14:anchorId="183DBF22" wp14:editId="7EA9B53D">
            <wp:simplePos x="0" y="0"/>
            <wp:positionH relativeFrom="margin">
              <wp:align>center</wp:align>
            </wp:positionH>
            <wp:positionV relativeFrom="paragraph">
              <wp:posOffset>1311910</wp:posOffset>
            </wp:positionV>
            <wp:extent cx="6257925" cy="5992264"/>
            <wp:effectExtent l="0" t="0" r="0" b="8890"/>
            <wp:wrapSquare wrapText="bothSides"/>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57925" cy="5992264"/>
                    </a:xfrm>
                    <a:prstGeom prst="rect">
                      <a:avLst/>
                    </a:prstGeom>
                  </pic:spPr>
                </pic:pic>
              </a:graphicData>
            </a:graphic>
          </wp:anchor>
        </w:drawing>
      </w:r>
      <w:r w:rsidRPr="00D31E5C">
        <w:rPr>
          <w:i/>
          <w:iCs/>
          <w:szCs w:val="24"/>
        </w:rPr>
        <w:t xml:space="preserve">Figure </w:t>
      </w:r>
      <w:r>
        <w:rPr>
          <w:i/>
          <w:iCs/>
          <w:szCs w:val="24"/>
        </w:rPr>
        <w:t>A2</w:t>
      </w:r>
      <w:r w:rsidRPr="00D31E5C">
        <w:rPr>
          <w:i/>
          <w:iCs/>
          <w:szCs w:val="24"/>
        </w:rPr>
        <w:t>. Network representing the degree of framing consonance among actors within the EU migration policy system. Edges represent discussions among actors. The weight of edges is proportional to their degree of framing consonance. Colours identify clusters of actors sharing more similar perspectives/views.</w:t>
      </w:r>
    </w:p>
    <w:p w14:paraId="490D247E" w14:textId="77777777" w:rsidR="00660A74" w:rsidRPr="00D31E5C" w:rsidRDefault="00660A74" w:rsidP="00660A74">
      <w:pPr>
        <w:tabs>
          <w:tab w:val="left" w:pos="1500"/>
        </w:tabs>
        <w:spacing w:line="480" w:lineRule="auto"/>
        <w:ind w:firstLine="0"/>
        <w:rPr>
          <w:szCs w:val="24"/>
        </w:rPr>
      </w:pPr>
    </w:p>
    <w:p w14:paraId="650484C2" w14:textId="014A55F9" w:rsidR="00EF466C" w:rsidRPr="00D31E5C" w:rsidRDefault="00EF466C" w:rsidP="00660A74">
      <w:pPr>
        <w:tabs>
          <w:tab w:val="left" w:pos="765"/>
        </w:tabs>
        <w:spacing w:line="480" w:lineRule="auto"/>
        <w:ind w:firstLine="0"/>
        <w:rPr>
          <w:szCs w:val="24"/>
        </w:rPr>
      </w:pPr>
    </w:p>
    <w:p w14:paraId="109451BE" w14:textId="77777777" w:rsidR="00653684" w:rsidRDefault="00653684">
      <w:pPr>
        <w:rPr>
          <w:lang w:val="it-IT"/>
        </w:rPr>
        <w:sectPr w:rsidR="00653684">
          <w:pgSz w:w="11906" w:h="16838"/>
          <w:pgMar w:top="1417" w:right="1134" w:bottom="1134" w:left="1134" w:header="708" w:footer="708" w:gutter="0"/>
          <w:cols w:space="708"/>
          <w:docGrid w:linePitch="360"/>
        </w:sectPr>
      </w:pPr>
    </w:p>
    <w:p w14:paraId="087339F6" w14:textId="1E34D1F3" w:rsidR="00653684" w:rsidRPr="00053684" w:rsidRDefault="00653684" w:rsidP="00653684">
      <w:pPr>
        <w:ind w:firstLine="0"/>
        <w:rPr>
          <w:i/>
          <w:iCs/>
          <w:szCs w:val="28"/>
        </w:rPr>
      </w:pPr>
      <w:r w:rsidRPr="00053684">
        <w:rPr>
          <w:i/>
          <w:iCs/>
          <w:szCs w:val="28"/>
        </w:rPr>
        <w:lastRenderedPageBreak/>
        <w:t>T</w:t>
      </w:r>
      <w:r w:rsidR="00053684" w:rsidRPr="00053684">
        <w:rPr>
          <w:i/>
          <w:iCs/>
          <w:szCs w:val="28"/>
        </w:rPr>
        <w:t>able</w:t>
      </w:r>
      <w:r w:rsidRPr="00053684">
        <w:rPr>
          <w:i/>
          <w:iCs/>
          <w:szCs w:val="28"/>
        </w:rPr>
        <w:t xml:space="preserve"> A1 –List of Interviewees.</w:t>
      </w:r>
    </w:p>
    <w:p w14:paraId="4783446B" w14:textId="77777777" w:rsidR="00653684" w:rsidRPr="00D31E5C" w:rsidRDefault="00653684" w:rsidP="00653684">
      <w:pPr>
        <w:ind w:firstLine="0"/>
        <w:rPr>
          <w:szCs w:val="24"/>
        </w:rPr>
      </w:pPr>
    </w:p>
    <w:tbl>
      <w:tblPr>
        <w:tblStyle w:val="TableGrid"/>
        <w:tblW w:w="0" w:type="auto"/>
        <w:tblLook w:val="04A0" w:firstRow="1" w:lastRow="0" w:firstColumn="1" w:lastColumn="0" w:noHBand="0" w:noVBand="1"/>
      </w:tblPr>
      <w:tblGrid>
        <w:gridCol w:w="3709"/>
        <w:gridCol w:w="2380"/>
        <w:gridCol w:w="1844"/>
        <w:gridCol w:w="1695"/>
      </w:tblGrid>
      <w:tr w:rsidR="00653684" w:rsidRPr="00B512EF" w14:paraId="4B752495" w14:textId="77777777" w:rsidTr="00E344BA">
        <w:tc>
          <w:tcPr>
            <w:tcW w:w="3709" w:type="dxa"/>
            <w:shd w:val="clear" w:color="auto" w:fill="BFBFBF"/>
            <w:vAlign w:val="center"/>
          </w:tcPr>
          <w:p w14:paraId="6DB9B6F8" w14:textId="77777777" w:rsidR="00653684" w:rsidRPr="00B512EF" w:rsidRDefault="00653684" w:rsidP="00E344BA">
            <w:pPr>
              <w:spacing w:line="240" w:lineRule="exact"/>
              <w:ind w:firstLine="0"/>
              <w:jc w:val="left"/>
              <w:rPr>
                <w:sz w:val="22"/>
                <w:szCs w:val="24"/>
              </w:rPr>
            </w:pPr>
            <w:r>
              <w:rPr>
                <w:sz w:val="22"/>
                <w:szCs w:val="24"/>
              </w:rPr>
              <w:t>TYPE OF ACTOR</w:t>
            </w:r>
          </w:p>
        </w:tc>
        <w:tc>
          <w:tcPr>
            <w:tcW w:w="2380" w:type="dxa"/>
            <w:shd w:val="clear" w:color="auto" w:fill="BFBFBF"/>
            <w:vAlign w:val="center"/>
          </w:tcPr>
          <w:p w14:paraId="08AD4467" w14:textId="77777777" w:rsidR="00653684" w:rsidRPr="00B512EF" w:rsidRDefault="00653684" w:rsidP="00E344BA">
            <w:pPr>
              <w:spacing w:line="240" w:lineRule="exact"/>
              <w:ind w:firstLine="0"/>
              <w:jc w:val="left"/>
              <w:rPr>
                <w:sz w:val="22"/>
                <w:szCs w:val="24"/>
              </w:rPr>
            </w:pPr>
            <w:r w:rsidRPr="00B512EF">
              <w:rPr>
                <w:sz w:val="22"/>
                <w:szCs w:val="24"/>
              </w:rPr>
              <w:t>M</w:t>
            </w:r>
            <w:r>
              <w:rPr>
                <w:sz w:val="22"/>
                <w:szCs w:val="24"/>
              </w:rPr>
              <w:t>I</w:t>
            </w:r>
            <w:r w:rsidRPr="00B512EF">
              <w:rPr>
                <w:sz w:val="22"/>
                <w:szCs w:val="24"/>
              </w:rPr>
              <w:t>GRATION-RELATED COMPONENTS/ PORTFOLIOS (if &gt;1)</w:t>
            </w:r>
          </w:p>
        </w:tc>
        <w:tc>
          <w:tcPr>
            <w:tcW w:w="1844" w:type="dxa"/>
            <w:shd w:val="clear" w:color="auto" w:fill="BFBFBF"/>
            <w:vAlign w:val="center"/>
          </w:tcPr>
          <w:p w14:paraId="7A25E414" w14:textId="77777777" w:rsidR="00653684" w:rsidRPr="00B512EF" w:rsidRDefault="00653684" w:rsidP="00E344BA">
            <w:pPr>
              <w:spacing w:line="240" w:lineRule="exact"/>
              <w:ind w:firstLine="0"/>
              <w:jc w:val="left"/>
              <w:rPr>
                <w:sz w:val="22"/>
                <w:szCs w:val="24"/>
              </w:rPr>
            </w:pPr>
            <w:r w:rsidRPr="00B512EF">
              <w:rPr>
                <w:sz w:val="22"/>
                <w:szCs w:val="24"/>
              </w:rPr>
              <w:t>NUMBER OF INTERVIEWEES</w:t>
            </w:r>
          </w:p>
        </w:tc>
        <w:tc>
          <w:tcPr>
            <w:tcW w:w="1695" w:type="dxa"/>
            <w:shd w:val="clear" w:color="auto" w:fill="BFBFBF"/>
            <w:vAlign w:val="center"/>
          </w:tcPr>
          <w:p w14:paraId="1AABCA1B" w14:textId="77777777" w:rsidR="00653684" w:rsidRPr="00B512EF" w:rsidRDefault="00653684" w:rsidP="00E344BA">
            <w:pPr>
              <w:spacing w:line="240" w:lineRule="exact"/>
              <w:ind w:firstLine="0"/>
              <w:jc w:val="left"/>
              <w:rPr>
                <w:sz w:val="22"/>
                <w:szCs w:val="24"/>
              </w:rPr>
            </w:pPr>
            <w:r w:rsidRPr="00B512EF">
              <w:rPr>
                <w:sz w:val="22"/>
                <w:szCs w:val="24"/>
              </w:rPr>
              <w:t>EU COUNTRIES</w:t>
            </w:r>
          </w:p>
        </w:tc>
      </w:tr>
      <w:tr w:rsidR="00653684" w:rsidRPr="00B512EF" w14:paraId="576EE178" w14:textId="77777777" w:rsidTr="00E344BA">
        <w:tc>
          <w:tcPr>
            <w:tcW w:w="3709" w:type="dxa"/>
            <w:shd w:val="clear" w:color="auto" w:fill="auto"/>
            <w:vAlign w:val="center"/>
          </w:tcPr>
          <w:p w14:paraId="68093980"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Advisory Committees</w:t>
            </w:r>
          </w:p>
        </w:tc>
        <w:tc>
          <w:tcPr>
            <w:tcW w:w="2380" w:type="dxa"/>
            <w:vAlign w:val="center"/>
          </w:tcPr>
          <w:p w14:paraId="44EFC761"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3DC0B2F3"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vAlign w:val="center"/>
          </w:tcPr>
          <w:p w14:paraId="249DDE89"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UK, NED</w:t>
            </w:r>
          </w:p>
        </w:tc>
      </w:tr>
      <w:tr w:rsidR="00653684" w:rsidRPr="00B512EF" w14:paraId="2D7468EC" w14:textId="77777777" w:rsidTr="00E344BA">
        <w:tc>
          <w:tcPr>
            <w:tcW w:w="3709" w:type="dxa"/>
            <w:shd w:val="clear" w:color="auto" w:fill="auto"/>
            <w:vAlign w:val="center"/>
          </w:tcPr>
          <w:p w14:paraId="53CC9F2B"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Advocacy NGOs (national level)</w:t>
            </w:r>
          </w:p>
        </w:tc>
        <w:tc>
          <w:tcPr>
            <w:tcW w:w="2380" w:type="dxa"/>
            <w:vAlign w:val="center"/>
          </w:tcPr>
          <w:p w14:paraId="6C032802"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5022CA70"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2</w:t>
            </w:r>
          </w:p>
        </w:tc>
        <w:tc>
          <w:tcPr>
            <w:tcW w:w="1695" w:type="dxa"/>
            <w:vAlign w:val="center"/>
          </w:tcPr>
          <w:p w14:paraId="61BD1250" w14:textId="77777777" w:rsidR="00653684" w:rsidRPr="00B512EF" w:rsidRDefault="00653684" w:rsidP="00E344BA">
            <w:pPr>
              <w:spacing w:line="240" w:lineRule="exact"/>
              <w:ind w:firstLine="0"/>
              <w:jc w:val="left"/>
              <w:rPr>
                <w:color w:val="000000"/>
                <w:sz w:val="22"/>
                <w:szCs w:val="24"/>
                <w:lang w:eastAsia="it-IT" w:bidi="ar-SA"/>
              </w:rPr>
            </w:pPr>
            <w:r w:rsidRPr="00B512EF">
              <w:rPr>
                <w:sz w:val="22"/>
                <w:szCs w:val="24"/>
              </w:rPr>
              <w:t>NED, SPA</w:t>
            </w:r>
          </w:p>
        </w:tc>
      </w:tr>
      <w:tr w:rsidR="00653684" w:rsidRPr="00B512EF" w14:paraId="300345DA" w14:textId="77777777" w:rsidTr="00E344BA">
        <w:tc>
          <w:tcPr>
            <w:tcW w:w="3709" w:type="dxa"/>
            <w:shd w:val="clear" w:color="auto" w:fill="auto"/>
            <w:vAlign w:val="center"/>
          </w:tcPr>
          <w:p w14:paraId="65E9E1C0"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Council of Europe</w:t>
            </w:r>
          </w:p>
        </w:tc>
        <w:tc>
          <w:tcPr>
            <w:tcW w:w="2380" w:type="dxa"/>
            <w:tcBorders>
              <w:bottom w:val="single" w:sz="4" w:space="0" w:color="auto"/>
            </w:tcBorders>
            <w:vAlign w:val="center"/>
          </w:tcPr>
          <w:p w14:paraId="58866F8B" w14:textId="77777777" w:rsidR="00653684" w:rsidRPr="00B512EF" w:rsidRDefault="00653684" w:rsidP="00E344BA">
            <w:pPr>
              <w:spacing w:line="240" w:lineRule="exact"/>
              <w:ind w:firstLine="0"/>
              <w:jc w:val="left"/>
              <w:rPr>
                <w:sz w:val="22"/>
                <w:szCs w:val="24"/>
              </w:rPr>
            </w:pPr>
          </w:p>
        </w:tc>
        <w:tc>
          <w:tcPr>
            <w:tcW w:w="1844" w:type="dxa"/>
            <w:tcBorders>
              <w:bottom w:val="single" w:sz="4" w:space="0" w:color="auto"/>
            </w:tcBorders>
            <w:shd w:val="clear" w:color="auto" w:fill="auto"/>
            <w:vAlign w:val="center"/>
          </w:tcPr>
          <w:p w14:paraId="38721DCF"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tcBorders>
              <w:bottom w:val="single" w:sz="4" w:space="0" w:color="auto"/>
            </w:tcBorders>
            <w:vAlign w:val="center"/>
          </w:tcPr>
          <w:p w14:paraId="0CEE60C6" w14:textId="77777777" w:rsidR="00653684" w:rsidRPr="00B512EF" w:rsidRDefault="00653684" w:rsidP="00E344BA">
            <w:pPr>
              <w:spacing w:line="240" w:lineRule="exact"/>
              <w:ind w:firstLine="0"/>
              <w:jc w:val="left"/>
              <w:rPr>
                <w:sz w:val="22"/>
                <w:szCs w:val="24"/>
              </w:rPr>
            </w:pPr>
          </w:p>
        </w:tc>
      </w:tr>
      <w:tr w:rsidR="00653684" w:rsidRPr="00B512EF" w14:paraId="05F8823E" w14:textId="77777777" w:rsidTr="00E344BA">
        <w:tc>
          <w:tcPr>
            <w:tcW w:w="3709" w:type="dxa"/>
            <w:vMerge w:val="restart"/>
            <w:shd w:val="clear" w:color="auto" w:fill="auto"/>
            <w:vAlign w:val="center"/>
          </w:tcPr>
          <w:p w14:paraId="089B7F56"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EC - DG Home</w:t>
            </w:r>
          </w:p>
        </w:tc>
        <w:tc>
          <w:tcPr>
            <w:tcW w:w="2380" w:type="dxa"/>
            <w:tcBorders>
              <w:bottom w:val="dotted" w:sz="4" w:space="0" w:color="auto"/>
              <w:right w:val="dotted" w:sz="4" w:space="0" w:color="auto"/>
            </w:tcBorders>
            <w:vAlign w:val="center"/>
          </w:tcPr>
          <w:p w14:paraId="5070B020" w14:textId="77777777" w:rsidR="00653684" w:rsidRPr="00B512EF" w:rsidRDefault="00653684" w:rsidP="00E344BA">
            <w:pPr>
              <w:spacing w:line="240" w:lineRule="exact"/>
              <w:ind w:firstLine="0"/>
              <w:jc w:val="left"/>
              <w:rPr>
                <w:sz w:val="22"/>
                <w:szCs w:val="24"/>
              </w:rPr>
            </w:pPr>
            <w:r w:rsidRPr="00B512EF">
              <w:rPr>
                <w:sz w:val="22"/>
                <w:szCs w:val="24"/>
              </w:rPr>
              <w:t>High-Skilled</w:t>
            </w:r>
          </w:p>
        </w:tc>
        <w:tc>
          <w:tcPr>
            <w:tcW w:w="1844" w:type="dxa"/>
            <w:tcBorders>
              <w:left w:val="dotted" w:sz="4" w:space="0" w:color="auto"/>
              <w:bottom w:val="dotted" w:sz="4" w:space="0" w:color="auto"/>
              <w:right w:val="dotted" w:sz="4" w:space="0" w:color="auto"/>
            </w:tcBorders>
            <w:shd w:val="clear" w:color="auto" w:fill="auto"/>
            <w:vAlign w:val="center"/>
          </w:tcPr>
          <w:p w14:paraId="0E21AA13" w14:textId="77777777" w:rsidR="00653684" w:rsidRPr="00B512EF" w:rsidRDefault="00653684" w:rsidP="00E344BA">
            <w:pPr>
              <w:spacing w:line="240" w:lineRule="exact"/>
              <w:ind w:firstLine="0"/>
              <w:jc w:val="center"/>
              <w:rPr>
                <w:sz w:val="22"/>
                <w:szCs w:val="24"/>
              </w:rPr>
            </w:pPr>
            <w:r w:rsidRPr="00B512EF">
              <w:rPr>
                <w:sz w:val="22"/>
                <w:szCs w:val="24"/>
              </w:rPr>
              <w:t>1</w:t>
            </w:r>
          </w:p>
        </w:tc>
        <w:tc>
          <w:tcPr>
            <w:tcW w:w="1695" w:type="dxa"/>
            <w:tcBorders>
              <w:left w:val="dotted" w:sz="4" w:space="0" w:color="auto"/>
              <w:bottom w:val="dotted" w:sz="4" w:space="0" w:color="auto"/>
            </w:tcBorders>
            <w:vAlign w:val="center"/>
          </w:tcPr>
          <w:p w14:paraId="3C864457" w14:textId="77777777" w:rsidR="00653684" w:rsidRPr="00B512EF" w:rsidRDefault="00653684" w:rsidP="00E344BA">
            <w:pPr>
              <w:spacing w:line="240" w:lineRule="exact"/>
              <w:ind w:firstLine="0"/>
              <w:jc w:val="left"/>
              <w:rPr>
                <w:sz w:val="22"/>
                <w:szCs w:val="24"/>
              </w:rPr>
            </w:pPr>
          </w:p>
        </w:tc>
      </w:tr>
      <w:tr w:rsidR="00653684" w:rsidRPr="00B512EF" w14:paraId="4C27EB05" w14:textId="77777777" w:rsidTr="00E344BA">
        <w:tc>
          <w:tcPr>
            <w:tcW w:w="3709" w:type="dxa"/>
            <w:vMerge/>
            <w:shd w:val="clear" w:color="auto" w:fill="auto"/>
            <w:vAlign w:val="center"/>
          </w:tcPr>
          <w:p w14:paraId="29A946B0" w14:textId="77777777" w:rsidR="00653684" w:rsidRPr="00B512EF" w:rsidRDefault="00653684" w:rsidP="00E344BA">
            <w:pPr>
              <w:spacing w:line="240" w:lineRule="exact"/>
              <w:ind w:firstLine="0"/>
              <w:jc w:val="left"/>
              <w:rPr>
                <w:color w:val="000000"/>
                <w:sz w:val="22"/>
                <w:szCs w:val="24"/>
                <w:lang w:eastAsia="it-IT" w:bidi="ar-SA"/>
              </w:rPr>
            </w:pPr>
          </w:p>
        </w:tc>
        <w:tc>
          <w:tcPr>
            <w:tcW w:w="2380" w:type="dxa"/>
            <w:tcBorders>
              <w:top w:val="dotted" w:sz="4" w:space="0" w:color="auto"/>
              <w:bottom w:val="dotted" w:sz="4" w:space="0" w:color="auto"/>
              <w:right w:val="dotted" w:sz="4" w:space="0" w:color="auto"/>
            </w:tcBorders>
            <w:vAlign w:val="center"/>
          </w:tcPr>
          <w:p w14:paraId="5E099053" w14:textId="77777777" w:rsidR="00653684" w:rsidRPr="00B512EF" w:rsidRDefault="00653684" w:rsidP="00E344BA">
            <w:pPr>
              <w:spacing w:line="240" w:lineRule="exact"/>
              <w:ind w:firstLine="0"/>
              <w:jc w:val="left"/>
              <w:rPr>
                <w:sz w:val="22"/>
                <w:szCs w:val="24"/>
              </w:rPr>
            </w:pPr>
            <w:r w:rsidRPr="00B512EF">
              <w:rPr>
                <w:sz w:val="22"/>
                <w:szCs w:val="24"/>
              </w:rPr>
              <w:t>Externalisation</w:t>
            </w:r>
          </w:p>
        </w:tc>
        <w:tc>
          <w:tcPr>
            <w:tcW w:w="1844" w:type="dxa"/>
            <w:tcBorders>
              <w:top w:val="dotted" w:sz="4" w:space="0" w:color="auto"/>
              <w:left w:val="dotted" w:sz="4" w:space="0" w:color="auto"/>
              <w:bottom w:val="dotted" w:sz="4" w:space="0" w:color="auto"/>
              <w:right w:val="dotted" w:sz="4" w:space="0" w:color="auto"/>
            </w:tcBorders>
            <w:shd w:val="clear" w:color="auto" w:fill="auto"/>
            <w:vAlign w:val="center"/>
          </w:tcPr>
          <w:p w14:paraId="2FF29772"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tcBorders>
              <w:top w:val="dotted" w:sz="4" w:space="0" w:color="auto"/>
              <w:left w:val="dotted" w:sz="4" w:space="0" w:color="auto"/>
              <w:bottom w:val="dotted" w:sz="4" w:space="0" w:color="auto"/>
            </w:tcBorders>
            <w:vAlign w:val="center"/>
          </w:tcPr>
          <w:p w14:paraId="08A8BB59" w14:textId="77777777" w:rsidR="00653684" w:rsidRPr="00B512EF" w:rsidRDefault="00653684" w:rsidP="00E344BA">
            <w:pPr>
              <w:spacing w:line="240" w:lineRule="exact"/>
              <w:ind w:firstLine="0"/>
              <w:jc w:val="left"/>
              <w:rPr>
                <w:sz w:val="22"/>
                <w:szCs w:val="24"/>
              </w:rPr>
            </w:pPr>
          </w:p>
        </w:tc>
      </w:tr>
      <w:tr w:rsidR="00653684" w:rsidRPr="00B512EF" w14:paraId="5B4739EE" w14:textId="77777777" w:rsidTr="00E344BA">
        <w:tc>
          <w:tcPr>
            <w:tcW w:w="3709" w:type="dxa"/>
            <w:vMerge/>
            <w:shd w:val="clear" w:color="auto" w:fill="auto"/>
            <w:vAlign w:val="center"/>
          </w:tcPr>
          <w:p w14:paraId="327006AB" w14:textId="77777777" w:rsidR="00653684" w:rsidRPr="00B512EF" w:rsidRDefault="00653684" w:rsidP="00E344BA">
            <w:pPr>
              <w:spacing w:line="240" w:lineRule="exact"/>
              <w:ind w:firstLine="0"/>
              <w:jc w:val="left"/>
              <w:rPr>
                <w:color w:val="000000"/>
                <w:sz w:val="22"/>
                <w:szCs w:val="24"/>
                <w:lang w:eastAsia="it-IT" w:bidi="ar-SA"/>
              </w:rPr>
            </w:pPr>
          </w:p>
        </w:tc>
        <w:tc>
          <w:tcPr>
            <w:tcW w:w="2380" w:type="dxa"/>
            <w:tcBorders>
              <w:top w:val="dotted" w:sz="4" w:space="0" w:color="auto"/>
              <w:bottom w:val="dotted" w:sz="4" w:space="0" w:color="auto"/>
              <w:right w:val="dotted" w:sz="4" w:space="0" w:color="auto"/>
            </w:tcBorders>
            <w:vAlign w:val="center"/>
          </w:tcPr>
          <w:p w14:paraId="0EBC9E86" w14:textId="77777777" w:rsidR="00653684" w:rsidRPr="00B512EF" w:rsidRDefault="00653684" w:rsidP="00E344BA">
            <w:pPr>
              <w:spacing w:line="240" w:lineRule="exact"/>
              <w:ind w:firstLine="0"/>
              <w:jc w:val="left"/>
              <w:rPr>
                <w:sz w:val="22"/>
                <w:szCs w:val="24"/>
              </w:rPr>
            </w:pPr>
            <w:r w:rsidRPr="00B512EF">
              <w:rPr>
                <w:sz w:val="22"/>
                <w:szCs w:val="24"/>
              </w:rPr>
              <w:t>Integration</w:t>
            </w:r>
          </w:p>
        </w:tc>
        <w:tc>
          <w:tcPr>
            <w:tcW w:w="1844" w:type="dxa"/>
            <w:tcBorders>
              <w:top w:val="dotted" w:sz="4" w:space="0" w:color="auto"/>
              <w:left w:val="dotted" w:sz="4" w:space="0" w:color="auto"/>
              <w:bottom w:val="dotted" w:sz="4" w:space="0" w:color="auto"/>
              <w:right w:val="dotted" w:sz="4" w:space="0" w:color="auto"/>
            </w:tcBorders>
            <w:shd w:val="clear" w:color="auto" w:fill="auto"/>
            <w:vAlign w:val="center"/>
          </w:tcPr>
          <w:p w14:paraId="751A2A55"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tcBorders>
              <w:top w:val="dotted" w:sz="4" w:space="0" w:color="auto"/>
              <w:left w:val="dotted" w:sz="4" w:space="0" w:color="auto"/>
              <w:bottom w:val="dotted" w:sz="4" w:space="0" w:color="auto"/>
            </w:tcBorders>
            <w:vAlign w:val="center"/>
          </w:tcPr>
          <w:p w14:paraId="07D6ECCD" w14:textId="77777777" w:rsidR="00653684" w:rsidRPr="00B512EF" w:rsidRDefault="00653684" w:rsidP="00E344BA">
            <w:pPr>
              <w:spacing w:line="240" w:lineRule="exact"/>
              <w:ind w:firstLine="0"/>
              <w:jc w:val="left"/>
              <w:rPr>
                <w:sz w:val="22"/>
                <w:szCs w:val="24"/>
              </w:rPr>
            </w:pPr>
          </w:p>
        </w:tc>
      </w:tr>
      <w:tr w:rsidR="00653684" w:rsidRPr="00B512EF" w14:paraId="599B1E84" w14:textId="77777777" w:rsidTr="00E344BA">
        <w:tc>
          <w:tcPr>
            <w:tcW w:w="3709" w:type="dxa"/>
            <w:vMerge/>
            <w:shd w:val="clear" w:color="auto" w:fill="auto"/>
            <w:vAlign w:val="center"/>
          </w:tcPr>
          <w:p w14:paraId="568647E9" w14:textId="77777777" w:rsidR="00653684" w:rsidRPr="00B512EF" w:rsidRDefault="00653684" w:rsidP="00E344BA">
            <w:pPr>
              <w:spacing w:line="240" w:lineRule="exact"/>
              <w:ind w:firstLine="0"/>
              <w:jc w:val="left"/>
              <w:rPr>
                <w:color w:val="000000"/>
                <w:sz w:val="22"/>
                <w:szCs w:val="24"/>
                <w:lang w:eastAsia="it-IT" w:bidi="ar-SA"/>
              </w:rPr>
            </w:pPr>
          </w:p>
        </w:tc>
        <w:tc>
          <w:tcPr>
            <w:tcW w:w="2380" w:type="dxa"/>
            <w:tcBorders>
              <w:top w:val="dotted" w:sz="4" w:space="0" w:color="auto"/>
              <w:right w:val="dotted" w:sz="4" w:space="0" w:color="auto"/>
            </w:tcBorders>
            <w:shd w:val="clear" w:color="auto" w:fill="auto"/>
            <w:vAlign w:val="center"/>
          </w:tcPr>
          <w:p w14:paraId="7881976C" w14:textId="77777777" w:rsidR="00653684" w:rsidRPr="00B512EF" w:rsidRDefault="00653684" w:rsidP="00E344BA">
            <w:pPr>
              <w:spacing w:line="240" w:lineRule="exact"/>
              <w:ind w:firstLine="0"/>
              <w:jc w:val="left"/>
              <w:rPr>
                <w:sz w:val="22"/>
                <w:szCs w:val="24"/>
              </w:rPr>
            </w:pPr>
            <w:r w:rsidRPr="00B512EF">
              <w:rPr>
                <w:sz w:val="22"/>
                <w:szCs w:val="24"/>
              </w:rPr>
              <w:t>Border Management</w:t>
            </w:r>
          </w:p>
        </w:tc>
        <w:tc>
          <w:tcPr>
            <w:tcW w:w="1844" w:type="dxa"/>
            <w:tcBorders>
              <w:top w:val="dotted" w:sz="4" w:space="0" w:color="auto"/>
              <w:left w:val="dotted" w:sz="4" w:space="0" w:color="auto"/>
              <w:right w:val="dotted" w:sz="4" w:space="0" w:color="auto"/>
            </w:tcBorders>
            <w:shd w:val="clear" w:color="auto" w:fill="auto"/>
            <w:vAlign w:val="center"/>
          </w:tcPr>
          <w:p w14:paraId="1E9B0C03"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tcBorders>
              <w:top w:val="dotted" w:sz="4" w:space="0" w:color="auto"/>
              <w:left w:val="dotted" w:sz="4" w:space="0" w:color="auto"/>
            </w:tcBorders>
            <w:vAlign w:val="center"/>
          </w:tcPr>
          <w:p w14:paraId="3D2899A5" w14:textId="77777777" w:rsidR="00653684" w:rsidRPr="00B512EF" w:rsidRDefault="00653684" w:rsidP="00E344BA">
            <w:pPr>
              <w:spacing w:line="240" w:lineRule="exact"/>
              <w:ind w:firstLine="0"/>
              <w:jc w:val="left"/>
              <w:rPr>
                <w:sz w:val="22"/>
                <w:szCs w:val="24"/>
              </w:rPr>
            </w:pPr>
          </w:p>
        </w:tc>
      </w:tr>
      <w:tr w:rsidR="00653684" w:rsidRPr="00B512EF" w14:paraId="0529C7FB" w14:textId="77777777" w:rsidTr="00E344BA">
        <w:tc>
          <w:tcPr>
            <w:tcW w:w="3709" w:type="dxa"/>
            <w:shd w:val="clear" w:color="auto" w:fill="auto"/>
            <w:vAlign w:val="center"/>
          </w:tcPr>
          <w:p w14:paraId="2EEE840C"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EEAS</w:t>
            </w:r>
          </w:p>
        </w:tc>
        <w:tc>
          <w:tcPr>
            <w:tcW w:w="2380" w:type="dxa"/>
            <w:vAlign w:val="center"/>
          </w:tcPr>
          <w:p w14:paraId="0F4C8EE3"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07125BBB"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6655D06D" w14:textId="77777777" w:rsidR="00653684" w:rsidRPr="00B512EF" w:rsidRDefault="00653684" w:rsidP="00E344BA">
            <w:pPr>
              <w:spacing w:line="240" w:lineRule="exact"/>
              <w:ind w:firstLine="0"/>
              <w:jc w:val="left"/>
              <w:rPr>
                <w:sz w:val="22"/>
                <w:szCs w:val="24"/>
              </w:rPr>
            </w:pPr>
          </w:p>
        </w:tc>
      </w:tr>
      <w:tr w:rsidR="00653684" w:rsidRPr="00B512EF" w14:paraId="19423B07" w14:textId="77777777" w:rsidTr="00E344BA">
        <w:tc>
          <w:tcPr>
            <w:tcW w:w="3709" w:type="dxa"/>
            <w:shd w:val="clear" w:color="auto" w:fill="auto"/>
            <w:vAlign w:val="center"/>
          </w:tcPr>
          <w:p w14:paraId="2EE9AE9E"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Employers' Organizations</w:t>
            </w:r>
          </w:p>
        </w:tc>
        <w:tc>
          <w:tcPr>
            <w:tcW w:w="2380" w:type="dxa"/>
            <w:vAlign w:val="center"/>
          </w:tcPr>
          <w:p w14:paraId="55DCB359"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0ED92FE8"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vAlign w:val="center"/>
          </w:tcPr>
          <w:p w14:paraId="3D0F9134"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AUT, GER</w:t>
            </w:r>
          </w:p>
        </w:tc>
      </w:tr>
      <w:tr w:rsidR="00653684" w:rsidRPr="00B512EF" w14:paraId="4AD7C279" w14:textId="77777777" w:rsidTr="00E344BA">
        <w:tc>
          <w:tcPr>
            <w:tcW w:w="3709" w:type="dxa"/>
            <w:shd w:val="clear" w:color="auto" w:fill="auto"/>
            <w:vAlign w:val="center"/>
          </w:tcPr>
          <w:p w14:paraId="1CDF4BCB"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European Council / Council of the EU</w:t>
            </w:r>
          </w:p>
        </w:tc>
        <w:tc>
          <w:tcPr>
            <w:tcW w:w="2380" w:type="dxa"/>
            <w:vAlign w:val="center"/>
          </w:tcPr>
          <w:p w14:paraId="3D6B72D4"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5E20FED0"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32DC5C90" w14:textId="77777777" w:rsidR="00653684" w:rsidRPr="00B512EF" w:rsidRDefault="00653684" w:rsidP="00E344BA">
            <w:pPr>
              <w:spacing w:line="240" w:lineRule="exact"/>
              <w:ind w:firstLine="0"/>
              <w:jc w:val="left"/>
              <w:rPr>
                <w:sz w:val="22"/>
                <w:szCs w:val="24"/>
              </w:rPr>
            </w:pPr>
          </w:p>
        </w:tc>
      </w:tr>
      <w:tr w:rsidR="00653684" w:rsidRPr="00B512EF" w14:paraId="7AACF8BF" w14:textId="77777777" w:rsidTr="00E344BA">
        <w:tc>
          <w:tcPr>
            <w:tcW w:w="3709" w:type="dxa"/>
            <w:shd w:val="clear" w:color="auto" w:fill="auto"/>
            <w:vAlign w:val="center"/>
          </w:tcPr>
          <w:p w14:paraId="524C84B5"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FRA</w:t>
            </w:r>
          </w:p>
        </w:tc>
        <w:tc>
          <w:tcPr>
            <w:tcW w:w="2380" w:type="dxa"/>
            <w:vAlign w:val="center"/>
          </w:tcPr>
          <w:p w14:paraId="5C8BEB0B"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7EC4F649"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652940EF" w14:textId="77777777" w:rsidR="00653684" w:rsidRPr="00B512EF" w:rsidRDefault="00653684" w:rsidP="00E344BA">
            <w:pPr>
              <w:spacing w:line="240" w:lineRule="exact"/>
              <w:ind w:firstLine="0"/>
              <w:jc w:val="left"/>
              <w:rPr>
                <w:sz w:val="22"/>
                <w:szCs w:val="24"/>
              </w:rPr>
            </w:pPr>
          </w:p>
        </w:tc>
      </w:tr>
      <w:tr w:rsidR="00653684" w:rsidRPr="00B512EF" w14:paraId="4703CF34" w14:textId="77777777" w:rsidTr="00E344BA">
        <w:tc>
          <w:tcPr>
            <w:tcW w:w="3709" w:type="dxa"/>
            <w:shd w:val="clear" w:color="auto" w:fill="auto"/>
            <w:vAlign w:val="center"/>
          </w:tcPr>
          <w:p w14:paraId="58CFB51D"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Humanitarian NGOs (national level)</w:t>
            </w:r>
          </w:p>
        </w:tc>
        <w:tc>
          <w:tcPr>
            <w:tcW w:w="2380" w:type="dxa"/>
            <w:vAlign w:val="center"/>
          </w:tcPr>
          <w:p w14:paraId="336411F2"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211146C9"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3</w:t>
            </w:r>
          </w:p>
        </w:tc>
        <w:tc>
          <w:tcPr>
            <w:tcW w:w="1695" w:type="dxa"/>
            <w:shd w:val="clear" w:color="auto" w:fill="auto"/>
            <w:vAlign w:val="center"/>
          </w:tcPr>
          <w:p w14:paraId="2ED546A4" w14:textId="77777777" w:rsidR="00653684" w:rsidRPr="00B512EF" w:rsidRDefault="00653684" w:rsidP="00E344BA">
            <w:pPr>
              <w:spacing w:line="240" w:lineRule="exact"/>
              <w:ind w:firstLine="0"/>
              <w:jc w:val="left"/>
              <w:rPr>
                <w:sz w:val="22"/>
                <w:szCs w:val="24"/>
              </w:rPr>
            </w:pPr>
            <w:r w:rsidRPr="00B512EF">
              <w:rPr>
                <w:sz w:val="22"/>
                <w:szCs w:val="24"/>
              </w:rPr>
              <w:t>SP, NED, AUT</w:t>
            </w:r>
          </w:p>
        </w:tc>
      </w:tr>
      <w:tr w:rsidR="00653684" w:rsidRPr="00B512EF" w14:paraId="023AE51A" w14:textId="77777777" w:rsidTr="00E344BA">
        <w:tc>
          <w:tcPr>
            <w:tcW w:w="3709" w:type="dxa"/>
            <w:shd w:val="clear" w:color="auto" w:fill="auto"/>
            <w:vAlign w:val="center"/>
          </w:tcPr>
          <w:p w14:paraId="7830DE9F"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IOM</w:t>
            </w:r>
          </w:p>
        </w:tc>
        <w:tc>
          <w:tcPr>
            <w:tcW w:w="2380" w:type="dxa"/>
            <w:vAlign w:val="center"/>
          </w:tcPr>
          <w:p w14:paraId="05D966B6"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00460BCB"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1A3F1CA7" w14:textId="77777777" w:rsidR="00653684" w:rsidRPr="00B512EF" w:rsidRDefault="00653684" w:rsidP="00E344BA">
            <w:pPr>
              <w:spacing w:line="240" w:lineRule="exact"/>
              <w:ind w:firstLine="0"/>
              <w:jc w:val="left"/>
              <w:rPr>
                <w:sz w:val="22"/>
                <w:szCs w:val="24"/>
              </w:rPr>
            </w:pPr>
          </w:p>
        </w:tc>
      </w:tr>
      <w:tr w:rsidR="00653684" w:rsidRPr="00B512EF" w14:paraId="65518B57" w14:textId="77777777" w:rsidTr="00E344BA">
        <w:tc>
          <w:tcPr>
            <w:tcW w:w="3709" w:type="dxa"/>
            <w:shd w:val="clear" w:color="auto" w:fill="auto"/>
            <w:vAlign w:val="center"/>
          </w:tcPr>
          <w:p w14:paraId="2873BB4B" w14:textId="77777777" w:rsidR="00653684" w:rsidRPr="00B512EF" w:rsidRDefault="00653684" w:rsidP="00E344BA">
            <w:pPr>
              <w:spacing w:line="240" w:lineRule="exact"/>
              <w:ind w:firstLine="0"/>
              <w:jc w:val="left"/>
              <w:rPr>
                <w:color w:val="FF0000"/>
                <w:sz w:val="22"/>
                <w:szCs w:val="24"/>
              </w:rPr>
            </w:pPr>
            <w:r w:rsidRPr="00B512EF">
              <w:rPr>
                <w:color w:val="000000"/>
                <w:sz w:val="22"/>
                <w:szCs w:val="24"/>
                <w:lang w:eastAsia="it-IT" w:bidi="ar-SA"/>
              </w:rPr>
              <w:t>Ministry/Department of International Cooperation and/or Development</w:t>
            </w:r>
          </w:p>
        </w:tc>
        <w:tc>
          <w:tcPr>
            <w:tcW w:w="2380" w:type="dxa"/>
            <w:vAlign w:val="center"/>
          </w:tcPr>
          <w:p w14:paraId="7AE4F5A8"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3CB12701"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7332220F" w14:textId="77777777" w:rsidR="00653684" w:rsidRPr="00B512EF" w:rsidRDefault="00653684" w:rsidP="00E344BA">
            <w:pPr>
              <w:spacing w:line="240" w:lineRule="exact"/>
              <w:ind w:firstLine="0"/>
              <w:jc w:val="left"/>
              <w:rPr>
                <w:sz w:val="22"/>
                <w:szCs w:val="24"/>
              </w:rPr>
            </w:pPr>
          </w:p>
        </w:tc>
      </w:tr>
      <w:tr w:rsidR="00653684" w:rsidRPr="00B512EF" w14:paraId="68F3ED7A" w14:textId="77777777" w:rsidTr="00E344BA">
        <w:tc>
          <w:tcPr>
            <w:tcW w:w="3709" w:type="dxa"/>
            <w:shd w:val="clear" w:color="auto" w:fill="auto"/>
            <w:vAlign w:val="center"/>
          </w:tcPr>
          <w:p w14:paraId="045B660C"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Ministry of Foreign Affairs</w:t>
            </w:r>
          </w:p>
        </w:tc>
        <w:tc>
          <w:tcPr>
            <w:tcW w:w="2380" w:type="dxa"/>
            <w:tcBorders>
              <w:bottom w:val="single" w:sz="4" w:space="0" w:color="auto"/>
            </w:tcBorders>
            <w:vAlign w:val="center"/>
          </w:tcPr>
          <w:p w14:paraId="41667AE1" w14:textId="77777777" w:rsidR="00653684" w:rsidRPr="00B512EF" w:rsidRDefault="00653684" w:rsidP="00E344BA">
            <w:pPr>
              <w:spacing w:line="240" w:lineRule="exact"/>
              <w:ind w:firstLine="0"/>
              <w:jc w:val="left"/>
              <w:rPr>
                <w:sz w:val="22"/>
                <w:szCs w:val="24"/>
              </w:rPr>
            </w:pPr>
          </w:p>
        </w:tc>
        <w:tc>
          <w:tcPr>
            <w:tcW w:w="1844" w:type="dxa"/>
            <w:tcBorders>
              <w:bottom w:val="single" w:sz="4" w:space="0" w:color="auto"/>
            </w:tcBorders>
            <w:shd w:val="clear" w:color="auto" w:fill="auto"/>
            <w:vAlign w:val="center"/>
          </w:tcPr>
          <w:p w14:paraId="1384DD23"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tcBorders>
              <w:bottom w:val="single" w:sz="4" w:space="0" w:color="auto"/>
            </w:tcBorders>
            <w:vAlign w:val="center"/>
          </w:tcPr>
          <w:p w14:paraId="6B24418F" w14:textId="77777777" w:rsidR="00653684" w:rsidRPr="00B512EF" w:rsidRDefault="00653684" w:rsidP="00E344BA">
            <w:pPr>
              <w:spacing w:line="240" w:lineRule="exact"/>
              <w:ind w:firstLine="0"/>
              <w:jc w:val="left"/>
              <w:rPr>
                <w:sz w:val="22"/>
                <w:szCs w:val="24"/>
              </w:rPr>
            </w:pPr>
            <w:r w:rsidRPr="00B512EF">
              <w:rPr>
                <w:sz w:val="22"/>
                <w:szCs w:val="24"/>
              </w:rPr>
              <w:t>GER, ITA</w:t>
            </w:r>
          </w:p>
        </w:tc>
      </w:tr>
      <w:tr w:rsidR="00653684" w:rsidRPr="00B512EF" w14:paraId="1FFB1850" w14:textId="77777777" w:rsidTr="00E344BA">
        <w:tc>
          <w:tcPr>
            <w:tcW w:w="3709" w:type="dxa"/>
            <w:vMerge w:val="restart"/>
            <w:shd w:val="clear" w:color="auto" w:fill="auto"/>
            <w:vAlign w:val="center"/>
          </w:tcPr>
          <w:p w14:paraId="70EA5C20"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Ministry of Interior</w:t>
            </w:r>
          </w:p>
        </w:tc>
        <w:tc>
          <w:tcPr>
            <w:tcW w:w="2380" w:type="dxa"/>
            <w:tcBorders>
              <w:bottom w:val="dotted" w:sz="4" w:space="0" w:color="auto"/>
              <w:right w:val="dotted" w:sz="4" w:space="0" w:color="auto"/>
            </w:tcBorders>
            <w:shd w:val="clear" w:color="auto" w:fill="auto"/>
            <w:vAlign w:val="center"/>
          </w:tcPr>
          <w:p w14:paraId="69DD2CA9" w14:textId="77777777" w:rsidR="00653684" w:rsidRPr="00B512EF" w:rsidRDefault="00653684" w:rsidP="00E344BA">
            <w:pPr>
              <w:spacing w:line="240" w:lineRule="exact"/>
              <w:ind w:firstLine="0"/>
              <w:jc w:val="left"/>
              <w:rPr>
                <w:sz w:val="22"/>
                <w:szCs w:val="24"/>
              </w:rPr>
            </w:pPr>
            <w:r w:rsidRPr="00B512EF">
              <w:rPr>
                <w:sz w:val="22"/>
                <w:szCs w:val="24"/>
              </w:rPr>
              <w:t>Migration/Asylum</w:t>
            </w:r>
          </w:p>
        </w:tc>
        <w:tc>
          <w:tcPr>
            <w:tcW w:w="1844" w:type="dxa"/>
            <w:tcBorders>
              <w:left w:val="dotted" w:sz="4" w:space="0" w:color="auto"/>
              <w:bottom w:val="dotted" w:sz="4" w:space="0" w:color="auto"/>
              <w:right w:val="dotted" w:sz="4" w:space="0" w:color="auto"/>
            </w:tcBorders>
            <w:shd w:val="clear" w:color="auto" w:fill="auto"/>
            <w:vAlign w:val="center"/>
          </w:tcPr>
          <w:p w14:paraId="6507451B"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tcBorders>
              <w:left w:val="dotted" w:sz="4" w:space="0" w:color="auto"/>
              <w:bottom w:val="dotted" w:sz="4" w:space="0" w:color="auto"/>
            </w:tcBorders>
            <w:shd w:val="clear" w:color="auto" w:fill="auto"/>
            <w:vAlign w:val="center"/>
          </w:tcPr>
          <w:p w14:paraId="62F3045C" w14:textId="77777777" w:rsidR="00653684" w:rsidRPr="00B512EF" w:rsidRDefault="00653684" w:rsidP="00E344BA">
            <w:pPr>
              <w:spacing w:line="240" w:lineRule="exact"/>
              <w:ind w:firstLine="0"/>
              <w:jc w:val="left"/>
              <w:rPr>
                <w:sz w:val="22"/>
                <w:szCs w:val="24"/>
              </w:rPr>
            </w:pPr>
            <w:r w:rsidRPr="00B512EF">
              <w:rPr>
                <w:sz w:val="22"/>
                <w:szCs w:val="24"/>
              </w:rPr>
              <w:t>GER, AUT</w:t>
            </w:r>
          </w:p>
        </w:tc>
      </w:tr>
      <w:tr w:rsidR="00653684" w:rsidRPr="00B512EF" w14:paraId="144DC49E" w14:textId="77777777" w:rsidTr="00E344BA">
        <w:trPr>
          <w:trHeight w:val="204"/>
        </w:trPr>
        <w:tc>
          <w:tcPr>
            <w:tcW w:w="3709" w:type="dxa"/>
            <w:vMerge/>
            <w:shd w:val="clear" w:color="auto" w:fill="auto"/>
            <w:vAlign w:val="center"/>
          </w:tcPr>
          <w:p w14:paraId="7EE07533" w14:textId="77777777" w:rsidR="00653684" w:rsidRPr="00B512EF" w:rsidRDefault="00653684" w:rsidP="00E344BA">
            <w:pPr>
              <w:spacing w:line="240" w:lineRule="exact"/>
              <w:ind w:firstLine="0"/>
              <w:jc w:val="left"/>
              <w:rPr>
                <w:color w:val="000000"/>
                <w:sz w:val="22"/>
                <w:szCs w:val="24"/>
                <w:lang w:eastAsia="it-IT" w:bidi="ar-SA"/>
              </w:rPr>
            </w:pPr>
          </w:p>
        </w:tc>
        <w:tc>
          <w:tcPr>
            <w:tcW w:w="2380" w:type="dxa"/>
            <w:tcBorders>
              <w:top w:val="dotted" w:sz="4" w:space="0" w:color="auto"/>
              <w:right w:val="dotted" w:sz="4" w:space="0" w:color="auto"/>
            </w:tcBorders>
            <w:shd w:val="clear" w:color="auto" w:fill="auto"/>
            <w:vAlign w:val="center"/>
          </w:tcPr>
          <w:p w14:paraId="03FD11F4" w14:textId="77777777" w:rsidR="00653684" w:rsidRPr="00B512EF" w:rsidRDefault="00653684" w:rsidP="00E344BA">
            <w:pPr>
              <w:spacing w:line="240" w:lineRule="exact"/>
              <w:ind w:firstLine="0"/>
              <w:jc w:val="left"/>
              <w:rPr>
                <w:sz w:val="22"/>
                <w:szCs w:val="24"/>
              </w:rPr>
            </w:pPr>
            <w:r w:rsidRPr="00B512EF">
              <w:rPr>
                <w:sz w:val="22"/>
                <w:szCs w:val="24"/>
              </w:rPr>
              <w:t>Border Control</w:t>
            </w:r>
          </w:p>
        </w:tc>
        <w:tc>
          <w:tcPr>
            <w:tcW w:w="1844" w:type="dxa"/>
            <w:tcBorders>
              <w:top w:val="dotted" w:sz="4" w:space="0" w:color="auto"/>
              <w:left w:val="dotted" w:sz="4" w:space="0" w:color="auto"/>
              <w:right w:val="dotted" w:sz="4" w:space="0" w:color="auto"/>
            </w:tcBorders>
            <w:shd w:val="clear" w:color="auto" w:fill="auto"/>
            <w:vAlign w:val="center"/>
          </w:tcPr>
          <w:p w14:paraId="1EA66AD3"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2</w:t>
            </w:r>
          </w:p>
        </w:tc>
        <w:tc>
          <w:tcPr>
            <w:tcW w:w="1695" w:type="dxa"/>
            <w:tcBorders>
              <w:top w:val="dotted" w:sz="4" w:space="0" w:color="auto"/>
              <w:left w:val="dotted" w:sz="4" w:space="0" w:color="auto"/>
            </w:tcBorders>
            <w:shd w:val="clear" w:color="auto" w:fill="auto"/>
            <w:vAlign w:val="center"/>
          </w:tcPr>
          <w:p w14:paraId="715CE86E" w14:textId="77777777" w:rsidR="00653684" w:rsidRPr="00B512EF" w:rsidRDefault="00653684" w:rsidP="00E344BA">
            <w:pPr>
              <w:spacing w:line="240" w:lineRule="exact"/>
              <w:ind w:firstLine="0"/>
              <w:jc w:val="left"/>
              <w:rPr>
                <w:sz w:val="22"/>
                <w:szCs w:val="24"/>
              </w:rPr>
            </w:pPr>
            <w:r w:rsidRPr="00B512EF">
              <w:rPr>
                <w:sz w:val="22"/>
                <w:szCs w:val="24"/>
              </w:rPr>
              <w:t>NED, UK</w:t>
            </w:r>
          </w:p>
        </w:tc>
      </w:tr>
      <w:tr w:rsidR="00653684" w:rsidRPr="00B512EF" w14:paraId="7CFEB090" w14:textId="77777777" w:rsidTr="00E344BA">
        <w:tc>
          <w:tcPr>
            <w:tcW w:w="3709" w:type="dxa"/>
            <w:shd w:val="clear" w:color="auto" w:fill="auto"/>
            <w:vAlign w:val="center"/>
          </w:tcPr>
          <w:p w14:paraId="067C903C"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Ministry of Labour</w:t>
            </w:r>
          </w:p>
        </w:tc>
        <w:tc>
          <w:tcPr>
            <w:tcW w:w="2380" w:type="dxa"/>
            <w:shd w:val="clear" w:color="auto" w:fill="auto"/>
            <w:vAlign w:val="center"/>
          </w:tcPr>
          <w:p w14:paraId="73B5EF10"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25A12B88"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4</w:t>
            </w:r>
          </w:p>
        </w:tc>
        <w:tc>
          <w:tcPr>
            <w:tcW w:w="1695" w:type="dxa"/>
            <w:shd w:val="clear" w:color="auto" w:fill="auto"/>
            <w:vAlign w:val="center"/>
          </w:tcPr>
          <w:p w14:paraId="330FB77B"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AUT; GER; SP; ITA</w:t>
            </w:r>
          </w:p>
        </w:tc>
      </w:tr>
      <w:tr w:rsidR="00653684" w:rsidRPr="00B512EF" w14:paraId="0E1D9103" w14:textId="77777777" w:rsidTr="00E344BA">
        <w:tc>
          <w:tcPr>
            <w:tcW w:w="3709" w:type="dxa"/>
            <w:shd w:val="clear" w:color="auto" w:fill="auto"/>
            <w:vAlign w:val="center"/>
          </w:tcPr>
          <w:p w14:paraId="51C87E12"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Ministry/Department of Integration/ Naturalisation</w:t>
            </w:r>
          </w:p>
        </w:tc>
        <w:tc>
          <w:tcPr>
            <w:tcW w:w="2380" w:type="dxa"/>
            <w:shd w:val="clear" w:color="auto" w:fill="auto"/>
            <w:vAlign w:val="center"/>
          </w:tcPr>
          <w:p w14:paraId="139958D3"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7CF159C9"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shd w:val="clear" w:color="auto" w:fill="auto"/>
            <w:vAlign w:val="center"/>
          </w:tcPr>
          <w:p w14:paraId="520E6AA1"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GER; NED</w:t>
            </w:r>
          </w:p>
        </w:tc>
      </w:tr>
      <w:tr w:rsidR="00653684" w:rsidRPr="00B512EF" w14:paraId="794DE0F2" w14:textId="77777777" w:rsidTr="00E344BA">
        <w:tc>
          <w:tcPr>
            <w:tcW w:w="3709" w:type="dxa"/>
            <w:shd w:val="clear" w:color="auto" w:fill="auto"/>
            <w:vAlign w:val="center"/>
          </w:tcPr>
          <w:p w14:paraId="1F50D07F" w14:textId="77777777" w:rsidR="00653684" w:rsidRPr="00B512EF" w:rsidRDefault="00653684" w:rsidP="00E344BA">
            <w:pPr>
              <w:spacing w:line="240" w:lineRule="exact"/>
              <w:ind w:firstLine="0"/>
              <w:jc w:val="left"/>
              <w:rPr>
                <w:color w:val="000000"/>
                <w:sz w:val="22"/>
                <w:szCs w:val="24"/>
                <w:lang w:eastAsia="it-IT" w:bidi="ar-SA"/>
              </w:rPr>
            </w:pPr>
            <w:r w:rsidRPr="00B512EF">
              <w:rPr>
                <w:sz w:val="22"/>
                <w:szCs w:val="24"/>
                <w:lang w:eastAsia="it-IT" w:bidi="ar-SA"/>
              </w:rPr>
              <w:t>National Border Police</w:t>
            </w:r>
          </w:p>
        </w:tc>
        <w:tc>
          <w:tcPr>
            <w:tcW w:w="2380" w:type="dxa"/>
            <w:vAlign w:val="center"/>
          </w:tcPr>
          <w:p w14:paraId="7A5B58A6"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1D64C135"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vAlign w:val="center"/>
          </w:tcPr>
          <w:p w14:paraId="3D54CD1F" w14:textId="77777777" w:rsidR="00653684" w:rsidRPr="00B512EF" w:rsidRDefault="00653684" w:rsidP="00E344BA">
            <w:pPr>
              <w:spacing w:line="240" w:lineRule="exact"/>
              <w:ind w:firstLine="0"/>
              <w:jc w:val="left"/>
              <w:rPr>
                <w:color w:val="000000"/>
                <w:sz w:val="22"/>
                <w:szCs w:val="24"/>
                <w:lang w:eastAsia="it-IT" w:bidi="ar-SA"/>
              </w:rPr>
            </w:pPr>
            <w:r w:rsidRPr="00B512EF">
              <w:rPr>
                <w:sz w:val="22"/>
                <w:szCs w:val="24"/>
              </w:rPr>
              <w:t>SPA</w:t>
            </w:r>
          </w:p>
        </w:tc>
      </w:tr>
      <w:tr w:rsidR="00653684" w:rsidRPr="00B512EF" w14:paraId="48474B30" w14:textId="77777777" w:rsidTr="00E344BA">
        <w:tc>
          <w:tcPr>
            <w:tcW w:w="3709" w:type="dxa"/>
            <w:shd w:val="clear" w:color="auto" w:fill="auto"/>
            <w:vAlign w:val="center"/>
          </w:tcPr>
          <w:p w14:paraId="3BBB9714" w14:textId="77777777" w:rsidR="00653684" w:rsidRPr="00B512EF" w:rsidRDefault="00653684" w:rsidP="00E344BA">
            <w:pPr>
              <w:spacing w:line="240" w:lineRule="exact"/>
              <w:ind w:firstLine="0"/>
              <w:jc w:val="left"/>
              <w:rPr>
                <w:sz w:val="22"/>
                <w:szCs w:val="24"/>
                <w:lang w:eastAsia="it-IT" w:bidi="ar-SA"/>
              </w:rPr>
            </w:pPr>
            <w:r w:rsidRPr="00B512EF">
              <w:rPr>
                <w:color w:val="000000"/>
                <w:sz w:val="22"/>
                <w:szCs w:val="24"/>
                <w:lang w:eastAsia="it-IT" w:bidi="ar-SA"/>
              </w:rPr>
              <w:t>NGOs (EU level)</w:t>
            </w:r>
          </w:p>
        </w:tc>
        <w:tc>
          <w:tcPr>
            <w:tcW w:w="2380" w:type="dxa"/>
            <w:vAlign w:val="center"/>
          </w:tcPr>
          <w:p w14:paraId="269FBB26"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58DB7553"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vAlign w:val="center"/>
          </w:tcPr>
          <w:p w14:paraId="7630C6CB" w14:textId="77777777" w:rsidR="00653684" w:rsidRPr="00B512EF" w:rsidRDefault="00653684" w:rsidP="00E344BA">
            <w:pPr>
              <w:spacing w:line="240" w:lineRule="exact"/>
              <w:ind w:firstLine="0"/>
              <w:jc w:val="left"/>
              <w:rPr>
                <w:sz w:val="22"/>
                <w:szCs w:val="24"/>
              </w:rPr>
            </w:pPr>
          </w:p>
        </w:tc>
      </w:tr>
      <w:tr w:rsidR="00653684" w:rsidRPr="00B512EF" w14:paraId="36BFB4EC" w14:textId="77777777" w:rsidTr="00E344BA">
        <w:tc>
          <w:tcPr>
            <w:tcW w:w="3709" w:type="dxa"/>
            <w:shd w:val="clear" w:color="auto" w:fill="auto"/>
            <w:vAlign w:val="center"/>
          </w:tcPr>
          <w:p w14:paraId="721C4A93"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PERMREP</w:t>
            </w:r>
          </w:p>
        </w:tc>
        <w:tc>
          <w:tcPr>
            <w:tcW w:w="2380" w:type="dxa"/>
            <w:vAlign w:val="center"/>
          </w:tcPr>
          <w:p w14:paraId="4265D6F3"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57F3F155"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3</w:t>
            </w:r>
          </w:p>
        </w:tc>
        <w:tc>
          <w:tcPr>
            <w:tcW w:w="1695" w:type="dxa"/>
            <w:vAlign w:val="center"/>
          </w:tcPr>
          <w:p w14:paraId="447E278A" w14:textId="77777777" w:rsidR="00653684" w:rsidRPr="00B512EF" w:rsidRDefault="00653684" w:rsidP="00E344BA">
            <w:pPr>
              <w:spacing w:line="240" w:lineRule="exact"/>
              <w:ind w:firstLine="0"/>
              <w:jc w:val="left"/>
              <w:rPr>
                <w:sz w:val="22"/>
                <w:szCs w:val="24"/>
              </w:rPr>
            </w:pPr>
            <w:r w:rsidRPr="00B512EF">
              <w:rPr>
                <w:sz w:val="22"/>
                <w:szCs w:val="24"/>
              </w:rPr>
              <w:t>UK, NED, AUT</w:t>
            </w:r>
          </w:p>
        </w:tc>
      </w:tr>
      <w:tr w:rsidR="00653684" w:rsidRPr="00B512EF" w14:paraId="7B2D96DA" w14:textId="77777777" w:rsidTr="00E344BA">
        <w:tc>
          <w:tcPr>
            <w:tcW w:w="3709" w:type="dxa"/>
            <w:shd w:val="clear" w:color="auto" w:fill="auto"/>
            <w:vAlign w:val="center"/>
          </w:tcPr>
          <w:p w14:paraId="738C88C3"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Think Tanks and Experts (progressive)</w:t>
            </w:r>
          </w:p>
        </w:tc>
        <w:tc>
          <w:tcPr>
            <w:tcW w:w="2380" w:type="dxa"/>
            <w:vAlign w:val="center"/>
          </w:tcPr>
          <w:p w14:paraId="7167A888"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30B967D0"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1</w:t>
            </w:r>
          </w:p>
        </w:tc>
        <w:tc>
          <w:tcPr>
            <w:tcW w:w="1695" w:type="dxa"/>
            <w:vAlign w:val="center"/>
          </w:tcPr>
          <w:p w14:paraId="53D05A86" w14:textId="77777777" w:rsidR="00653684" w:rsidRPr="00B512EF" w:rsidRDefault="00653684" w:rsidP="00E344BA">
            <w:pPr>
              <w:spacing w:line="240" w:lineRule="exact"/>
              <w:ind w:firstLine="0"/>
              <w:jc w:val="left"/>
              <w:rPr>
                <w:sz w:val="22"/>
                <w:szCs w:val="24"/>
              </w:rPr>
            </w:pPr>
          </w:p>
        </w:tc>
      </w:tr>
      <w:tr w:rsidR="00653684" w:rsidRPr="00B512EF" w14:paraId="4FA5D568" w14:textId="77777777" w:rsidTr="00E344BA">
        <w:tc>
          <w:tcPr>
            <w:tcW w:w="3709" w:type="dxa"/>
            <w:shd w:val="clear" w:color="auto" w:fill="auto"/>
            <w:vAlign w:val="center"/>
          </w:tcPr>
          <w:p w14:paraId="1F0110AC"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Trade Unions / Professional Associations (national level)</w:t>
            </w:r>
          </w:p>
        </w:tc>
        <w:tc>
          <w:tcPr>
            <w:tcW w:w="2380" w:type="dxa"/>
            <w:vAlign w:val="center"/>
          </w:tcPr>
          <w:p w14:paraId="06E96A7C"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43A6BBE9" w14:textId="77777777" w:rsidR="00653684" w:rsidRPr="00B512EF" w:rsidRDefault="00653684" w:rsidP="00E344BA">
            <w:pPr>
              <w:spacing w:line="240" w:lineRule="exact"/>
              <w:ind w:firstLine="0"/>
              <w:jc w:val="center"/>
              <w:rPr>
                <w:sz w:val="22"/>
                <w:szCs w:val="24"/>
              </w:rPr>
            </w:pPr>
            <w:r w:rsidRPr="00B512EF">
              <w:rPr>
                <w:color w:val="000000"/>
                <w:sz w:val="22"/>
                <w:szCs w:val="24"/>
                <w:lang w:eastAsia="it-IT" w:bidi="ar-SA"/>
              </w:rPr>
              <w:t>2</w:t>
            </w:r>
          </w:p>
        </w:tc>
        <w:tc>
          <w:tcPr>
            <w:tcW w:w="1695" w:type="dxa"/>
            <w:vAlign w:val="center"/>
          </w:tcPr>
          <w:p w14:paraId="6E83C191" w14:textId="77777777" w:rsidR="00653684" w:rsidRPr="00B512EF" w:rsidRDefault="00653684" w:rsidP="00E344BA">
            <w:pPr>
              <w:spacing w:line="240" w:lineRule="exact"/>
              <w:ind w:firstLine="0"/>
              <w:jc w:val="left"/>
              <w:rPr>
                <w:sz w:val="22"/>
                <w:szCs w:val="24"/>
              </w:rPr>
            </w:pPr>
            <w:r w:rsidRPr="00B512EF">
              <w:rPr>
                <w:color w:val="000000"/>
                <w:sz w:val="22"/>
                <w:szCs w:val="24"/>
                <w:lang w:eastAsia="it-IT" w:bidi="ar-SA"/>
              </w:rPr>
              <w:t>AUT; GER</w:t>
            </w:r>
          </w:p>
        </w:tc>
      </w:tr>
      <w:tr w:rsidR="00653684" w:rsidRPr="00B512EF" w14:paraId="786F1B21" w14:textId="77777777" w:rsidTr="00E344BA">
        <w:tc>
          <w:tcPr>
            <w:tcW w:w="3709" w:type="dxa"/>
            <w:shd w:val="clear" w:color="auto" w:fill="auto"/>
            <w:vAlign w:val="center"/>
          </w:tcPr>
          <w:p w14:paraId="27F8C8D4"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Trade Unions/Professional Associations (EU level)</w:t>
            </w:r>
          </w:p>
        </w:tc>
        <w:tc>
          <w:tcPr>
            <w:tcW w:w="2380" w:type="dxa"/>
            <w:shd w:val="clear" w:color="auto" w:fill="auto"/>
            <w:vAlign w:val="center"/>
          </w:tcPr>
          <w:p w14:paraId="0E3D42E3"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5F3BB815"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shd w:val="clear" w:color="auto" w:fill="auto"/>
            <w:vAlign w:val="center"/>
          </w:tcPr>
          <w:p w14:paraId="1111F19F" w14:textId="77777777" w:rsidR="00653684" w:rsidRPr="00B512EF" w:rsidRDefault="00653684" w:rsidP="00E344BA">
            <w:pPr>
              <w:spacing w:line="240" w:lineRule="exact"/>
              <w:ind w:firstLine="0"/>
              <w:jc w:val="left"/>
              <w:rPr>
                <w:sz w:val="22"/>
                <w:szCs w:val="24"/>
              </w:rPr>
            </w:pPr>
          </w:p>
        </w:tc>
      </w:tr>
      <w:tr w:rsidR="00653684" w:rsidRPr="00B512EF" w14:paraId="38DD2947" w14:textId="77777777" w:rsidTr="00E344BA">
        <w:tc>
          <w:tcPr>
            <w:tcW w:w="3709" w:type="dxa"/>
            <w:shd w:val="clear" w:color="auto" w:fill="auto"/>
            <w:vAlign w:val="center"/>
          </w:tcPr>
          <w:p w14:paraId="5970ADEF" w14:textId="77777777" w:rsidR="00653684" w:rsidRPr="00B512EF" w:rsidRDefault="00653684" w:rsidP="00E344BA">
            <w:pPr>
              <w:spacing w:line="240" w:lineRule="exact"/>
              <w:ind w:firstLine="0"/>
              <w:jc w:val="left"/>
              <w:rPr>
                <w:color w:val="000000"/>
                <w:sz w:val="22"/>
                <w:szCs w:val="24"/>
                <w:lang w:eastAsia="it-IT" w:bidi="ar-SA"/>
              </w:rPr>
            </w:pPr>
            <w:r w:rsidRPr="00B512EF">
              <w:rPr>
                <w:color w:val="000000"/>
                <w:sz w:val="22"/>
                <w:szCs w:val="24"/>
                <w:lang w:eastAsia="it-IT" w:bidi="ar-SA"/>
              </w:rPr>
              <w:t>UNHCR</w:t>
            </w:r>
          </w:p>
        </w:tc>
        <w:tc>
          <w:tcPr>
            <w:tcW w:w="2380" w:type="dxa"/>
            <w:tcBorders>
              <w:bottom w:val="single" w:sz="4" w:space="0" w:color="auto"/>
            </w:tcBorders>
            <w:shd w:val="clear" w:color="auto" w:fill="auto"/>
            <w:vAlign w:val="center"/>
          </w:tcPr>
          <w:p w14:paraId="52CD87DC" w14:textId="77777777" w:rsidR="00653684" w:rsidRPr="00B512EF" w:rsidRDefault="00653684" w:rsidP="00E344BA">
            <w:pPr>
              <w:spacing w:line="240" w:lineRule="exact"/>
              <w:ind w:firstLine="0"/>
              <w:jc w:val="left"/>
              <w:rPr>
                <w:sz w:val="22"/>
                <w:szCs w:val="24"/>
              </w:rPr>
            </w:pPr>
          </w:p>
        </w:tc>
        <w:tc>
          <w:tcPr>
            <w:tcW w:w="1844" w:type="dxa"/>
            <w:shd w:val="clear" w:color="auto" w:fill="auto"/>
            <w:vAlign w:val="center"/>
          </w:tcPr>
          <w:p w14:paraId="31E1DB30" w14:textId="77777777" w:rsidR="00653684" w:rsidRPr="00B512EF" w:rsidRDefault="00653684" w:rsidP="00E344BA">
            <w:pPr>
              <w:spacing w:line="240" w:lineRule="exact"/>
              <w:ind w:firstLine="0"/>
              <w:jc w:val="center"/>
              <w:rPr>
                <w:color w:val="000000"/>
                <w:sz w:val="22"/>
                <w:szCs w:val="24"/>
                <w:lang w:eastAsia="it-IT" w:bidi="ar-SA"/>
              </w:rPr>
            </w:pPr>
            <w:r w:rsidRPr="00B512EF">
              <w:rPr>
                <w:color w:val="000000"/>
                <w:sz w:val="22"/>
                <w:szCs w:val="24"/>
                <w:lang w:eastAsia="it-IT" w:bidi="ar-SA"/>
              </w:rPr>
              <w:t>1</w:t>
            </w:r>
          </w:p>
        </w:tc>
        <w:tc>
          <w:tcPr>
            <w:tcW w:w="1695" w:type="dxa"/>
            <w:shd w:val="clear" w:color="auto" w:fill="auto"/>
            <w:vAlign w:val="center"/>
          </w:tcPr>
          <w:p w14:paraId="40A2993A" w14:textId="77777777" w:rsidR="00653684" w:rsidRPr="00B512EF" w:rsidRDefault="00653684" w:rsidP="00E344BA">
            <w:pPr>
              <w:spacing w:line="240" w:lineRule="exact"/>
              <w:ind w:firstLine="0"/>
              <w:jc w:val="left"/>
              <w:rPr>
                <w:sz w:val="22"/>
                <w:szCs w:val="24"/>
              </w:rPr>
            </w:pPr>
          </w:p>
        </w:tc>
      </w:tr>
      <w:tr w:rsidR="00653684" w:rsidRPr="00B512EF" w14:paraId="0ADB4420" w14:textId="77777777" w:rsidTr="00E344BA">
        <w:trPr>
          <w:gridAfter w:val="1"/>
          <w:wAfter w:w="1695" w:type="dxa"/>
        </w:trPr>
        <w:tc>
          <w:tcPr>
            <w:tcW w:w="3709" w:type="dxa"/>
            <w:shd w:val="clear" w:color="auto" w:fill="DBDBDB" w:themeFill="accent3" w:themeFillTint="66"/>
            <w:vAlign w:val="center"/>
          </w:tcPr>
          <w:p w14:paraId="17854F27" w14:textId="77777777" w:rsidR="00653684" w:rsidRPr="00B512EF" w:rsidRDefault="00653684" w:rsidP="00E344BA">
            <w:pPr>
              <w:spacing w:line="240" w:lineRule="exact"/>
              <w:ind w:firstLine="0"/>
              <w:jc w:val="center"/>
              <w:rPr>
                <w:color w:val="000000"/>
                <w:sz w:val="22"/>
                <w:szCs w:val="24"/>
                <w:lang w:eastAsia="it-IT" w:bidi="ar-SA"/>
              </w:rPr>
            </w:pPr>
            <w:r>
              <w:rPr>
                <w:color w:val="000000"/>
                <w:sz w:val="22"/>
                <w:szCs w:val="24"/>
                <w:lang w:eastAsia="it-IT" w:bidi="ar-SA"/>
              </w:rPr>
              <w:t>TOTAL</w:t>
            </w:r>
          </w:p>
        </w:tc>
        <w:tc>
          <w:tcPr>
            <w:tcW w:w="2380" w:type="dxa"/>
            <w:tcBorders>
              <w:bottom w:val="nil"/>
            </w:tcBorders>
            <w:shd w:val="clear" w:color="auto" w:fill="auto"/>
            <w:vAlign w:val="center"/>
          </w:tcPr>
          <w:p w14:paraId="703A5425" w14:textId="77777777" w:rsidR="00653684" w:rsidRPr="00B512EF" w:rsidRDefault="00653684" w:rsidP="00E344BA">
            <w:pPr>
              <w:spacing w:line="240" w:lineRule="exact"/>
              <w:ind w:firstLine="0"/>
              <w:jc w:val="left"/>
              <w:rPr>
                <w:sz w:val="22"/>
                <w:szCs w:val="24"/>
              </w:rPr>
            </w:pPr>
          </w:p>
        </w:tc>
        <w:tc>
          <w:tcPr>
            <w:tcW w:w="1844" w:type="dxa"/>
            <w:shd w:val="clear" w:color="auto" w:fill="DBDBDB" w:themeFill="accent3" w:themeFillTint="66"/>
            <w:vAlign w:val="center"/>
          </w:tcPr>
          <w:p w14:paraId="08BB0C80" w14:textId="77777777" w:rsidR="00653684" w:rsidRPr="00B512EF" w:rsidRDefault="00653684" w:rsidP="00E344BA">
            <w:pPr>
              <w:spacing w:line="240" w:lineRule="exact"/>
              <w:ind w:firstLine="0"/>
              <w:jc w:val="center"/>
              <w:rPr>
                <w:color w:val="000000"/>
                <w:sz w:val="22"/>
                <w:szCs w:val="24"/>
                <w:lang w:eastAsia="it-IT" w:bidi="ar-SA"/>
              </w:rPr>
            </w:pPr>
            <w:r>
              <w:rPr>
                <w:color w:val="000000"/>
                <w:sz w:val="22"/>
                <w:szCs w:val="24"/>
                <w:lang w:eastAsia="it-IT" w:bidi="ar-SA"/>
              </w:rPr>
              <w:t>41</w:t>
            </w:r>
          </w:p>
        </w:tc>
      </w:tr>
    </w:tbl>
    <w:p w14:paraId="11E4A39A" w14:textId="6C64AFD0" w:rsidR="00653684" w:rsidRPr="00D31E5C" w:rsidRDefault="00653684" w:rsidP="00653684">
      <w:pPr>
        <w:ind w:firstLine="0"/>
        <w:rPr>
          <w:szCs w:val="24"/>
        </w:rPr>
      </w:pPr>
    </w:p>
    <w:p w14:paraId="0B64FF8C" w14:textId="77777777" w:rsidR="00653684" w:rsidRPr="00D31E5C" w:rsidRDefault="00653684" w:rsidP="00653684">
      <w:pPr>
        <w:ind w:firstLine="0"/>
        <w:rPr>
          <w:szCs w:val="24"/>
        </w:rPr>
      </w:pPr>
    </w:p>
    <w:p w14:paraId="3CAC64F8" w14:textId="77777777" w:rsidR="00653684" w:rsidRPr="00D31E5C" w:rsidRDefault="00653684" w:rsidP="00653684">
      <w:pPr>
        <w:rPr>
          <w:szCs w:val="24"/>
        </w:rPr>
      </w:pPr>
    </w:p>
    <w:p w14:paraId="3CAA4008" w14:textId="77777777" w:rsidR="00653684" w:rsidRPr="00D31E5C" w:rsidRDefault="00653684" w:rsidP="00653684">
      <w:pPr>
        <w:ind w:firstLine="0"/>
        <w:rPr>
          <w:i/>
          <w:iCs/>
          <w:sz w:val="22"/>
          <w:szCs w:val="24"/>
        </w:rPr>
        <w:sectPr w:rsidR="00653684" w:rsidRPr="00D31E5C">
          <w:pgSz w:w="11906" w:h="16838"/>
          <w:pgMar w:top="1417" w:right="1134" w:bottom="1134" w:left="1134" w:header="708" w:footer="708" w:gutter="0"/>
          <w:cols w:space="708"/>
          <w:docGrid w:linePitch="360"/>
        </w:sectPr>
      </w:pPr>
    </w:p>
    <w:p w14:paraId="6A6746C0" w14:textId="77777777" w:rsidR="00653684" w:rsidRPr="00053684" w:rsidRDefault="00653684" w:rsidP="00653684">
      <w:pPr>
        <w:ind w:firstLine="0"/>
        <w:rPr>
          <w:i/>
          <w:iCs/>
          <w:szCs w:val="28"/>
        </w:rPr>
      </w:pPr>
      <w:r w:rsidRPr="00053684">
        <w:rPr>
          <w:i/>
          <w:iCs/>
          <w:szCs w:val="28"/>
        </w:rPr>
        <w:lastRenderedPageBreak/>
        <w:t>Table A2. List of actors listed in the survey filled in by interviewees.</w:t>
      </w:r>
    </w:p>
    <w:p w14:paraId="17121768" w14:textId="77777777" w:rsidR="00653684" w:rsidRPr="00D31E5C" w:rsidRDefault="00653684" w:rsidP="00653684">
      <w:pPr>
        <w:ind w:firstLine="0"/>
        <w:rPr>
          <w:i/>
          <w:iCs/>
          <w:sz w:val="22"/>
          <w:szCs w:val="24"/>
        </w:rPr>
      </w:pPr>
    </w:p>
    <w:tbl>
      <w:tblPr>
        <w:tblStyle w:val="TableGrid"/>
        <w:tblW w:w="9634" w:type="dxa"/>
        <w:tblLook w:val="04A0" w:firstRow="1" w:lastRow="0" w:firstColumn="1" w:lastColumn="0" w:noHBand="0" w:noVBand="1"/>
      </w:tblPr>
      <w:tblGrid>
        <w:gridCol w:w="9634"/>
      </w:tblGrid>
      <w:tr w:rsidR="00053684" w:rsidRPr="00B512EF" w14:paraId="770D04E7" w14:textId="77777777" w:rsidTr="00E344BA">
        <w:tc>
          <w:tcPr>
            <w:tcW w:w="9634" w:type="dxa"/>
            <w:shd w:val="clear" w:color="auto" w:fill="auto"/>
            <w:vAlign w:val="bottom"/>
          </w:tcPr>
          <w:p w14:paraId="16989807" w14:textId="77777777" w:rsidR="00053684" w:rsidRPr="00B512EF" w:rsidRDefault="00053684" w:rsidP="00E344BA">
            <w:pPr>
              <w:ind w:firstLine="0"/>
              <w:rPr>
                <w:sz w:val="22"/>
                <w:szCs w:val="24"/>
              </w:rPr>
            </w:pPr>
            <w:r w:rsidRPr="005905EB">
              <w:rPr>
                <w:sz w:val="22"/>
              </w:rPr>
              <w:t>Advisory Committees</w:t>
            </w:r>
            <w:r>
              <w:rPr>
                <w:sz w:val="22"/>
              </w:rPr>
              <w:t xml:space="preserve">; </w:t>
            </w:r>
            <w:r w:rsidRPr="005905EB">
              <w:rPr>
                <w:sz w:val="22"/>
              </w:rPr>
              <w:t>Advocacy NGOs (national level)</w:t>
            </w:r>
            <w:r>
              <w:rPr>
                <w:sz w:val="22"/>
              </w:rPr>
              <w:t xml:space="preserve">; </w:t>
            </w:r>
            <w:r w:rsidRPr="005905EB">
              <w:rPr>
                <w:color w:val="000000"/>
                <w:sz w:val="22"/>
                <w:lang w:eastAsia="it-IT" w:bidi="ar-SA"/>
              </w:rPr>
              <w:t>Chamber of Labour</w:t>
            </w:r>
            <w:r>
              <w:rPr>
                <w:sz w:val="22"/>
              </w:rPr>
              <w:t xml:space="preserve">; </w:t>
            </w:r>
            <w:r w:rsidRPr="005905EB">
              <w:rPr>
                <w:sz w:val="22"/>
              </w:rPr>
              <w:t>Council of Europe</w:t>
            </w:r>
            <w:r>
              <w:rPr>
                <w:sz w:val="22"/>
              </w:rPr>
              <w:t xml:space="preserve">; </w:t>
            </w:r>
            <w:r w:rsidRPr="005905EB">
              <w:rPr>
                <w:color w:val="000000"/>
                <w:sz w:val="22"/>
                <w:lang w:eastAsia="it-IT" w:bidi="ar-SA"/>
              </w:rPr>
              <w:t>EASO</w:t>
            </w:r>
            <w:r>
              <w:rPr>
                <w:sz w:val="22"/>
              </w:rPr>
              <w:t xml:space="preserve">; </w:t>
            </w:r>
            <w:r w:rsidRPr="005905EB">
              <w:rPr>
                <w:color w:val="000000"/>
                <w:sz w:val="22"/>
                <w:lang w:eastAsia="it-IT" w:bidi="ar-SA"/>
              </w:rPr>
              <w:t>EC</w:t>
            </w:r>
            <w:r>
              <w:rPr>
                <w:color w:val="000000"/>
                <w:sz w:val="22"/>
                <w:lang w:eastAsia="it-IT" w:bidi="ar-SA"/>
              </w:rPr>
              <w:t xml:space="preserve"> (</w:t>
            </w:r>
            <w:r w:rsidRPr="005905EB">
              <w:rPr>
                <w:color w:val="000000"/>
                <w:sz w:val="22"/>
                <w:lang w:eastAsia="it-IT" w:bidi="ar-SA"/>
              </w:rPr>
              <w:t>DG DEVCO</w:t>
            </w:r>
            <w:r>
              <w:rPr>
                <w:color w:val="000000"/>
                <w:sz w:val="22"/>
                <w:lang w:eastAsia="it-IT" w:bidi="ar-SA"/>
              </w:rPr>
              <w:t>)</w:t>
            </w:r>
            <w:r>
              <w:rPr>
                <w:sz w:val="22"/>
              </w:rPr>
              <w:t xml:space="preserve">; </w:t>
            </w:r>
            <w:r w:rsidRPr="005905EB">
              <w:rPr>
                <w:color w:val="000000"/>
                <w:sz w:val="22"/>
                <w:lang w:eastAsia="it-IT" w:bidi="ar-SA"/>
              </w:rPr>
              <w:t xml:space="preserve">EC </w:t>
            </w:r>
            <w:r>
              <w:rPr>
                <w:color w:val="000000"/>
                <w:sz w:val="22"/>
                <w:lang w:eastAsia="it-IT" w:bidi="ar-SA"/>
              </w:rPr>
              <w:t>(</w:t>
            </w:r>
            <w:r w:rsidRPr="005905EB">
              <w:rPr>
                <w:color w:val="000000"/>
                <w:sz w:val="22"/>
                <w:lang w:eastAsia="it-IT" w:bidi="ar-SA"/>
              </w:rPr>
              <w:t>DG Employment</w:t>
            </w:r>
            <w:r>
              <w:rPr>
                <w:color w:val="000000"/>
                <w:sz w:val="22"/>
                <w:lang w:eastAsia="it-IT" w:bidi="ar-SA"/>
              </w:rPr>
              <w:t>)</w:t>
            </w:r>
            <w:r>
              <w:rPr>
                <w:sz w:val="22"/>
              </w:rPr>
              <w:t xml:space="preserve">; </w:t>
            </w:r>
            <w:r w:rsidRPr="005905EB">
              <w:rPr>
                <w:sz w:val="22"/>
              </w:rPr>
              <w:t xml:space="preserve">EC </w:t>
            </w:r>
            <w:r>
              <w:rPr>
                <w:sz w:val="22"/>
              </w:rPr>
              <w:t>(</w:t>
            </w:r>
            <w:r w:rsidRPr="005905EB">
              <w:rPr>
                <w:sz w:val="22"/>
              </w:rPr>
              <w:t>DG Home</w:t>
            </w:r>
            <w:r>
              <w:rPr>
                <w:sz w:val="22"/>
              </w:rPr>
              <w:t xml:space="preserve">); </w:t>
            </w:r>
            <w:r w:rsidRPr="005905EB">
              <w:rPr>
                <w:sz w:val="22"/>
                <w:lang w:eastAsia="it-IT" w:bidi="ar-SA"/>
              </w:rPr>
              <w:t xml:space="preserve">EC </w:t>
            </w:r>
            <w:r>
              <w:rPr>
                <w:sz w:val="22"/>
                <w:lang w:eastAsia="it-IT" w:bidi="ar-SA"/>
              </w:rPr>
              <w:t>(</w:t>
            </w:r>
            <w:r w:rsidRPr="005905EB">
              <w:rPr>
                <w:sz w:val="22"/>
                <w:lang w:eastAsia="it-IT" w:bidi="ar-SA"/>
              </w:rPr>
              <w:t>Other DGs</w:t>
            </w:r>
            <w:r>
              <w:rPr>
                <w:sz w:val="22"/>
                <w:lang w:eastAsia="it-IT" w:bidi="ar-SA"/>
              </w:rPr>
              <w:t>)</w:t>
            </w:r>
            <w:r>
              <w:rPr>
                <w:sz w:val="22"/>
              </w:rPr>
              <w:t xml:space="preserve">; </w:t>
            </w:r>
            <w:r w:rsidRPr="005905EB">
              <w:rPr>
                <w:sz w:val="22"/>
              </w:rPr>
              <w:t>EEAS</w:t>
            </w:r>
            <w:r>
              <w:rPr>
                <w:sz w:val="22"/>
              </w:rPr>
              <w:t xml:space="preserve">; </w:t>
            </w:r>
            <w:r w:rsidRPr="005905EB">
              <w:rPr>
                <w:color w:val="000000"/>
                <w:sz w:val="22"/>
                <w:lang w:eastAsia="it-IT" w:bidi="ar-SA"/>
              </w:rPr>
              <w:t>Employers' Organizations (EU level)</w:t>
            </w:r>
            <w:r>
              <w:rPr>
                <w:color w:val="000000"/>
                <w:sz w:val="22"/>
                <w:lang w:eastAsia="it-IT" w:bidi="ar-SA"/>
              </w:rPr>
              <w:t xml:space="preserve">; </w:t>
            </w:r>
            <w:r w:rsidRPr="005905EB">
              <w:rPr>
                <w:sz w:val="22"/>
              </w:rPr>
              <w:t>Employers' Organizations</w:t>
            </w:r>
            <w:r>
              <w:rPr>
                <w:sz w:val="22"/>
              </w:rPr>
              <w:t xml:space="preserve">; </w:t>
            </w:r>
            <w:r w:rsidRPr="005905EB">
              <w:rPr>
                <w:sz w:val="22"/>
              </w:rPr>
              <w:t>European Council / Council of the EU</w:t>
            </w:r>
            <w:r>
              <w:rPr>
                <w:sz w:val="22"/>
              </w:rPr>
              <w:t xml:space="preserve">; </w:t>
            </w:r>
            <w:r w:rsidRPr="005905EB">
              <w:rPr>
                <w:color w:val="000000"/>
                <w:sz w:val="22"/>
                <w:lang w:eastAsia="it-IT" w:bidi="ar-SA"/>
              </w:rPr>
              <w:t>European Economic and Social Committee</w:t>
            </w:r>
            <w:r>
              <w:rPr>
                <w:sz w:val="22"/>
              </w:rPr>
              <w:t xml:space="preserve">; </w:t>
            </w:r>
            <w:r w:rsidRPr="005905EB">
              <w:rPr>
                <w:color w:val="000000"/>
                <w:sz w:val="22"/>
                <w:lang w:eastAsia="it-IT" w:bidi="ar-SA"/>
              </w:rPr>
              <w:t>European Parliament</w:t>
            </w:r>
            <w:r>
              <w:rPr>
                <w:sz w:val="22"/>
              </w:rPr>
              <w:t xml:space="preserve">; </w:t>
            </w:r>
            <w:r w:rsidRPr="005905EB">
              <w:rPr>
                <w:sz w:val="22"/>
              </w:rPr>
              <w:t>FRA</w:t>
            </w:r>
            <w:r>
              <w:rPr>
                <w:sz w:val="22"/>
              </w:rPr>
              <w:t xml:space="preserve">; </w:t>
            </w:r>
            <w:r w:rsidRPr="005905EB">
              <w:rPr>
                <w:color w:val="000000"/>
                <w:sz w:val="22"/>
                <w:lang w:eastAsia="it-IT" w:bidi="ar-SA"/>
              </w:rPr>
              <w:t>Frontex</w:t>
            </w:r>
            <w:r>
              <w:rPr>
                <w:sz w:val="22"/>
              </w:rPr>
              <w:t xml:space="preserve">; </w:t>
            </w:r>
            <w:r w:rsidRPr="005905EB">
              <w:rPr>
                <w:sz w:val="22"/>
              </w:rPr>
              <w:t>Humanitarian NGOs (national level)</w:t>
            </w:r>
            <w:r>
              <w:rPr>
                <w:sz w:val="22"/>
              </w:rPr>
              <w:t xml:space="preserve">; </w:t>
            </w:r>
            <w:r w:rsidRPr="005905EB">
              <w:rPr>
                <w:color w:val="000000"/>
                <w:sz w:val="22"/>
                <w:lang w:eastAsia="it-IT" w:bidi="ar-SA"/>
              </w:rPr>
              <w:t>ICMPD</w:t>
            </w:r>
            <w:r>
              <w:rPr>
                <w:sz w:val="22"/>
              </w:rPr>
              <w:t xml:space="preserve">; </w:t>
            </w:r>
            <w:r w:rsidRPr="005905EB">
              <w:rPr>
                <w:color w:val="000000"/>
                <w:sz w:val="22"/>
                <w:lang w:eastAsia="it-IT" w:bidi="ar-SA"/>
              </w:rPr>
              <w:t>ICRC</w:t>
            </w:r>
            <w:r>
              <w:rPr>
                <w:sz w:val="22"/>
              </w:rPr>
              <w:t xml:space="preserve">; </w:t>
            </w:r>
            <w:r w:rsidRPr="005905EB">
              <w:rPr>
                <w:color w:val="000000"/>
                <w:sz w:val="22"/>
                <w:lang w:eastAsia="it-IT" w:bidi="ar-SA"/>
              </w:rPr>
              <w:t>ILO</w:t>
            </w:r>
            <w:r>
              <w:rPr>
                <w:sz w:val="22"/>
              </w:rPr>
              <w:t xml:space="preserve">; </w:t>
            </w:r>
            <w:r w:rsidRPr="005905EB">
              <w:rPr>
                <w:color w:val="000000"/>
                <w:sz w:val="22"/>
                <w:lang w:eastAsia="it-IT" w:bidi="ar-SA"/>
              </w:rPr>
              <w:t>Individual EMPs</w:t>
            </w:r>
            <w:r>
              <w:rPr>
                <w:sz w:val="22"/>
              </w:rPr>
              <w:t xml:space="preserve">; </w:t>
            </w:r>
            <w:r w:rsidRPr="005905EB">
              <w:rPr>
                <w:color w:val="000000"/>
                <w:sz w:val="22"/>
                <w:lang w:eastAsia="it-IT" w:bidi="ar-SA"/>
              </w:rPr>
              <w:t>Individual MPs</w:t>
            </w:r>
            <w:r>
              <w:rPr>
                <w:sz w:val="22"/>
              </w:rPr>
              <w:t xml:space="preserve">; </w:t>
            </w:r>
            <w:r w:rsidRPr="005905EB">
              <w:rPr>
                <w:sz w:val="22"/>
              </w:rPr>
              <w:t>IOM</w:t>
            </w:r>
            <w:r>
              <w:rPr>
                <w:sz w:val="22"/>
              </w:rPr>
              <w:t xml:space="preserve">; </w:t>
            </w:r>
            <w:r w:rsidRPr="005905EB">
              <w:rPr>
                <w:sz w:val="22"/>
              </w:rPr>
              <w:t>Ministry of Foreign Affairs</w:t>
            </w:r>
            <w:r>
              <w:rPr>
                <w:sz w:val="22"/>
              </w:rPr>
              <w:t xml:space="preserve">; </w:t>
            </w:r>
            <w:r w:rsidRPr="005905EB">
              <w:rPr>
                <w:sz w:val="22"/>
              </w:rPr>
              <w:t>Ministry of Interior</w:t>
            </w:r>
            <w:r>
              <w:rPr>
                <w:sz w:val="22"/>
              </w:rPr>
              <w:t xml:space="preserve">; </w:t>
            </w:r>
            <w:r w:rsidRPr="005905EB">
              <w:rPr>
                <w:sz w:val="22"/>
              </w:rPr>
              <w:t>Ministry of Labour</w:t>
            </w:r>
            <w:r>
              <w:rPr>
                <w:sz w:val="22"/>
              </w:rPr>
              <w:t xml:space="preserve">; </w:t>
            </w:r>
            <w:r w:rsidRPr="005905EB">
              <w:rPr>
                <w:sz w:val="22"/>
              </w:rPr>
              <w:t>Ministry/Department of Integration/ Naturalisation</w:t>
            </w:r>
            <w:r>
              <w:rPr>
                <w:sz w:val="22"/>
              </w:rPr>
              <w:t xml:space="preserve">; </w:t>
            </w:r>
            <w:r w:rsidRPr="005905EB">
              <w:rPr>
                <w:sz w:val="22"/>
              </w:rPr>
              <w:t>Ministry/Department of International Cooperation and/or Development</w:t>
            </w:r>
            <w:r>
              <w:rPr>
                <w:sz w:val="22"/>
              </w:rPr>
              <w:t xml:space="preserve">; </w:t>
            </w:r>
            <w:r w:rsidRPr="005905EB">
              <w:rPr>
                <w:sz w:val="22"/>
              </w:rPr>
              <w:t>National Border Police</w:t>
            </w:r>
            <w:r>
              <w:rPr>
                <w:sz w:val="22"/>
              </w:rPr>
              <w:t xml:space="preserve">; </w:t>
            </w:r>
            <w:r w:rsidRPr="005905EB">
              <w:rPr>
                <w:sz w:val="22"/>
                <w:lang w:eastAsia="it-IT" w:bidi="ar-SA"/>
              </w:rPr>
              <w:t>National Employment Agency</w:t>
            </w:r>
            <w:r>
              <w:rPr>
                <w:sz w:val="22"/>
              </w:rPr>
              <w:t xml:space="preserve">; </w:t>
            </w:r>
            <w:r w:rsidRPr="005905EB">
              <w:rPr>
                <w:color w:val="000000"/>
                <w:sz w:val="22"/>
                <w:lang w:eastAsia="it-IT" w:bidi="ar-SA"/>
              </w:rPr>
              <w:t>National Parliament</w:t>
            </w:r>
            <w:r>
              <w:rPr>
                <w:sz w:val="22"/>
              </w:rPr>
              <w:t xml:space="preserve">; </w:t>
            </w:r>
            <w:r w:rsidRPr="005905EB">
              <w:rPr>
                <w:sz w:val="22"/>
              </w:rPr>
              <w:t>NGOs (EU level)</w:t>
            </w:r>
            <w:r>
              <w:rPr>
                <w:sz w:val="22"/>
              </w:rPr>
              <w:t xml:space="preserve">; </w:t>
            </w:r>
            <w:r w:rsidRPr="005905EB">
              <w:rPr>
                <w:color w:val="000000"/>
                <w:sz w:val="22"/>
                <w:lang w:eastAsia="it-IT" w:bidi="ar-SA"/>
              </w:rPr>
              <w:t>OECD</w:t>
            </w:r>
            <w:r>
              <w:rPr>
                <w:sz w:val="22"/>
              </w:rPr>
              <w:t xml:space="preserve">; </w:t>
            </w:r>
            <w:r w:rsidRPr="005905EB">
              <w:rPr>
                <w:sz w:val="22"/>
                <w:lang w:eastAsia="it-IT" w:bidi="ar-SA"/>
              </w:rPr>
              <w:t>Other EU agencies</w:t>
            </w:r>
            <w:r>
              <w:rPr>
                <w:sz w:val="22"/>
              </w:rPr>
              <w:t xml:space="preserve">; </w:t>
            </w:r>
            <w:r w:rsidRPr="005905EB">
              <w:rPr>
                <w:color w:val="000000"/>
                <w:sz w:val="22"/>
                <w:lang w:eastAsia="it-IT" w:bidi="ar-SA"/>
              </w:rPr>
              <w:t>Other EU Member States' officials</w:t>
            </w:r>
            <w:r>
              <w:rPr>
                <w:sz w:val="22"/>
              </w:rPr>
              <w:t xml:space="preserve">; </w:t>
            </w:r>
            <w:r w:rsidRPr="005905EB">
              <w:rPr>
                <w:color w:val="000000"/>
                <w:sz w:val="22"/>
                <w:lang w:eastAsia="it-IT" w:bidi="ar-SA"/>
              </w:rPr>
              <w:t>Other Ministries</w:t>
            </w:r>
            <w:r>
              <w:rPr>
                <w:sz w:val="22"/>
              </w:rPr>
              <w:t xml:space="preserve">; </w:t>
            </w:r>
            <w:r w:rsidRPr="005905EB">
              <w:rPr>
                <w:color w:val="000000"/>
                <w:sz w:val="22"/>
                <w:lang w:eastAsia="it-IT" w:bidi="ar-SA"/>
              </w:rPr>
              <w:t>Other UN agencies</w:t>
            </w:r>
            <w:r>
              <w:rPr>
                <w:color w:val="000000"/>
                <w:sz w:val="22"/>
                <w:lang w:eastAsia="it-IT" w:bidi="ar-SA"/>
              </w:rPr>
              <w:t xml:space="preserve">; </w:t>
            </w:r>
            <w:r w:rsidRPr="005905EB">
              <w:rPr>
                <w:sz w:val="22"/>
              </w:rPr>
              <w:t>PERMREP</w:t>
            </w:r>
            <w:r>
              <w:rPr>
                <w:sz w:val="22"/>
              </w:rPr>
              <w:t xml:space="preserve">; </w:t>
            </w:r>
            <w:r w:rsidRPr="005905EB">
              <w:rPr>
                <w:color w:val="000000"/>
                <w:sz w:val="22"/>
                <w:lang w:eastAsia="it-IT" w:bidi="ar-SA"/>
              </w:rPr>
              <w:t>Prime Minister's Office</w:t>
            </w:r>
            <w:r>
              <w:rPr>
                <w:sz w:val="22"/>
              </w:rPr>
              <w:t xml:space="preserve">; </w:t>
            </w:r>
            <w:r w:rsidRPr="005905EB">
              <w:rPr>
                <w:color w:val="000000"/>
                <w:sz w:val="22"/>
                <w:lang w:eastAsia="it-IT" w:bidi="ar-SA"/>
              </w:rPr>
              <w:t>Private Companies</w:t>
            </w:r>
            <w:r>
              <w:rPr>
                <w:sz w:val="22"/>
              </w:rPr>
              <w:t xml:space="preserve">; </w:t>
            </w:r>
            <w:r w:rsidRPr="005905EB">
              <w:rPr>
                <w:sz w:val="22"/>
              </w:rPr>
              <w:t>Think Tanks and Experts</w:t>
            </w:r>
            <w:r>
              <w:rPr>
                <w:sz w:val="22"/>
              </w:rPr>
              <w:t xml:space="preserve">; </w:t>
            </w:r>
            <w:r w:rsidRPr="005905EB">
              <w:rPr>
                <w:color w:val="000000"/>
                <w:sz w:val="22"/>
                <w:lang w:eastAsia="it-IT" w:bidi="ar-SA"/>
              </w:rPr>
              <w:t>Third Countries (Countries of Origin)</w:t>
            </w:r>
            <w:r>
              <w:rPr>
                <w:sz w:val="22"/>
              </w:rPr>
              <w:t xml:space="preserve">; </w:t>
            </w:r>
            <w:r w:rsidRPr="005905EB">
              <w:rPr>
                <w:color w:val="000000"/>
                <w:sz w:val="22"/>
                <w:lang w:eastAsia="it-IT" w:bidi="ar-SA"/>
              </w:rPr>
              <w:t>Third countries (EFTA Member States)</w:t>
            </w:r>
            <w:r>
              <w:rPr>
                <w:sz w:val="22"/>
              </w:rPr>
              <w:t xml:space="preserve">; </w:t>
            </w:r>
            <w:r w:rsidRPr="005905EB">
              <w:rPr>
                <w:color w:val="000000"/>
                <w:sz w:val="22"/>
                <w:lang w:eastAsia="it-IT" w:bidi="ar-SA"/>
              </w:rPr>
              <w:t>Third Countries (Transit Countries)</w:t>
            </w:r>
            <w:r>
              <w:rPr>
                <w:color w:val="000000"/>
                <w:sz w:val="22"/>
                <w:lang w:eastAsia="it-IT" w:bidi="ar-SA"/>
              </w:rPr>
              <w:t xml:space="preserve">; </w:t>
            </w:r>
            <w:r w:rsidRPr="005905EB">
              <w:rPr>
                <w:sz w:val="22"/>
                <w:lang w:eastAsia="it-IT" w:bidi="ar-SA"/>
              </w:rPr>
              <w:t>Third countries (US, CAN, NZ, AUS)</w:t>
            </w:r>
            <w:r>
              <w:rPr>
                <w:sz w:val="22"/>
                <w:lang w:eastAsia="it-IT" w:bidi="ar-SA"/>
              </w:rPr>
              <w:t xml:space="preserve">; </w:t>
            </w:r>
            <w:r w:rsidRPr="005905EB">
              <w:rPr>
                <w:sz w:val="22"/>
              </w:rPr>
              <w:t>Trade Unions / Professional Associations (national level)</w:t>
            </w:r>
            <w:r>
              <w:rPr>
                <w:sz w:val="22"/>
              </w:rPr>
              <w:t xml:space="preserve">; </w:t>
            </w:r>
            <w:r w:rsidRPr="005905EB">
              <w:rPr>
                <w:sz w:val="22"/>
              </w:rPr>
              <w:t>Trade Unions/Professional Associations (EU level)</w:t>
            </w:r>
            <w:r>
              <w:rPr>
                <w:sz w:val="22"/>
              </w:rPr>
              <w:t xml:space="preserve">; </w:t>
            </w:r>
            <w:r w:rsidRPr="005905EB">
              <w:rPr>
                <w:sz w:val="22"/>
              </w:rPr>
              <w:t>UNHCR.</w:t>
            </w:r>
          </w:p>
        </w:tc>
      </w:tr>
    </w:tbl>
    <w:p w14:paraId="2C18BA96" w14:textId="351EC253" w:rsidR="00653684" w:rsidRDefault="00653684" w:rsidP="00653684">
      <w:pPr>
        <w:ind w:firstLine="0"/>
        <w:rPr>
          <w:i/>
          <w:iCs/>
          <w:sz w:val="22"/>
          <w:szCs w:val="24"/>
        </w:rPr>
      </w:pPr>
    </w:p>
    <w:p w14:paraId="4BBAE31C" w14:textId="77777777" w:rsidR="00653684" w:rsidRDefault="00653684" w:rsidP="00653684">
      <w:pPr>
        <w:spacing w:after="240"/>
        <w:ind w:left="709" w:hanging="709"/>
      </w:pPr>
    </w:p>
    <w:p w14:paraId="40C4F4E4" w14:textId="7965E076" w:rsidR="00E83B53" w:rsidRPr="00EF466C" w:rsidRDefault="00E83B53">
      <w:pPr>
        <w:rPr>
          <w:lang w:val="it-IT"/>
        </w:rPr>
      </w:pPr>
    </w:p>
    <w:sectPr w:rsidR="00E83B53" w:rsidRPr="00EF46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6C"/>
    <w:rsid w:val="00053684"/>
    <w:rsid w:val="00565D4E"/>
    <w:rsid w:val="00653684"/>
    <w:rsid w:val="00660A74"/>
    <w:rsid w:val="008F32DA"/>
    <w:rsid w:val="00BA5D1E"/>
    <w:rsid w:val="00D0008F"/>
    <w:rsid w:val="00E83B53"/>
    <w:rsid w:val="00EF466C"/>
    <w:rsid w:val="00FB6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23D6"/>
  <w15:chartTrackingRefBased/>
  <w15:docId w15:val="{52C4EF57-2222-411F-88BD-DE8B6A78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DA"/>
    <w:pPr>
      <w:widowControl w:val="0"/>
      <w:autoSpaceDE w:val="0"/>
      <w:autoSpaceDN w:val="0"/>
      <w:spacing w:after="0" w:line="276" w:lineRule="auto"/>
      <w:ind w:firstLine="567"/>
      <w:jc w:val="both"/>
    </w:pPr>
    <w:rPr>
      <w:rFonts w:ascii="Times New Roman" w:hAnsi="Times New Roman" w:cs="Times New Roman"/>
      <w:sz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'BETWEENNESS2 (2)'!$B$1</c:f>
              <c:strCache>
                <c:ptCount val="1"/>
                <c:pt idx="0">
                  <c:v>eigencentrality*100</c:v>
                </c:pt>
              </c:strCache>
            </c:strRef>
          </c:tx>
          <c:spPr>
            <a:solidFill>
              <a:schemeClr val="accent1"/>
            </a:solidFill>
            <a:ln>
              <a:noFill/>
            </a:ln>
            <a:effectLst/>
          </c:spPr>
          <c:invertIfNegative val="0"/>
          <c:cat>
            <c:strRef>
              <c:f>'BETWEENNESS2 (2)'!$A$2:$A$28</c:f>
              <c:strCache>
                <c:ptCount val="27"/>
                <c:pt idx="0">
                  <c:v>Private Companies</c:v>
                </c:pt>
                <c:pt idx="1">
                  <c:v>National Parliament</c:v>
                </c:pt>
                <c:pt idx="2">
                  <c:v>Other EU Member States' officials</c:v>
                </c:pt>
                <c:pt idx="3">
                  <c:v>European Parliament (mostly LIBE Committee)</c:v>
                </c:pt>
                <c:pt idx="4">
                  <c:v>Trade Unions/Professional Associations (EU LEVEL)</c:v>
                </c:pt>
                <c:pt idx="5">
                  <c:v>Trade Unions / Professional Associations</c:v>
                </c:pt>
                <c:pt idx="6">
                  <c:v>Advisory Committees</c:v>
                </c:pt>
                <c:pt idx="7">
                  <c:v>European Council / Council of the EU</c:v>
                </c:pt>
                <c:pt idx="8">
                  <c:v>EEAS</c:v>
                </c:pt>
                <c:pt idx="9">
                  <c:v>Employers' Organizations</c:v>
                </c:pt>
                <c:pt idx="10">
                  <c:v>Council of Europe</c:v>
                </c:pt>
                <c:pt idx="11">
                  <c:v>FRA</c:v>
                </c:pt>
                <c:pt idx="12">
                  <c:v>EASO</c:v>
                </c:pt>
                <c:pt idx="13">
                  <c:v>National Border Police</c:v>
                </c:pt>
                <c:pt idx="14">
                  <c:v>Humanitarian NGOs</c:v>
                </c:pt>
                <c:pt idx="15">
                  <c:v>Advocacy NGOs</c:v>
                </c:pt>
                <c:pt idx="16">
                  <c:v>Ministry of Labour</c:v>
                </c:pt>
                <c:pt idx="17">
                  <c:v>NGOs (EU level)</c:v>
                </c:pt>
                <c:pt idx="18">
                  <c:v>Frontex</c:v>
                </c:pt>
                <c:pt idx="19">
                  <c:v>Ministry/Department of Integration</c:v>
                </c:pt>
                <c:pt idx="20">
                  <c:v>IOM</c:v>
                </c:pt>
                <c:pt idx="21">
                  <c:v>Ministry of Foreign Affairs</c:v>
                </c:pt>
                <c:pt idx="22">
                  <c:v>UNHCR</c:v>
                </c:pt>
                <c:pt idx="23">
                  <c:v>Think Tanks and Experts</c:v>
                </c:pt>
                <c:pt idx="24">
                  <c:v>PERMREPS</c:v>
                </c:pt>
                <c:pt idx="25">
                  <c:v>Ministry of Interior</c:v>
                </c:pt>
                <c:pt idx="26">
                  <c:v>EC - DG Home</c:v>
                </c:pt>
              </c:strCache>
            </c:strRef>
          </c:cat>
          <c:val>
            <c:numRef>
              <c:f>'BETWEENNESS2 (2)'!$B$2:$B$28</c:f>
              <c:numCache>
                <c:formatCode>0.00</c:formatCode>
                <c:ptCount val="27"/>
                <c:pt idx="0">
                  <c:v>39.6325</c:v>
                </c:pt>
                <c:pt idx="1">
                  <c:v>39.835900000000002</c:v>
                </c:pt>
                <c:pt idx="2">
                  <c:v>39.750600000000006</c:v>
                </c:pt>
                <c:pt idx="3">
                  <c:v>47.927799999999998</c:v>
                </c:pt>
                <c:pt idx="4">
                  <c:v>38.702399999999997</c:v>
                </c:pt>
                <c:pt idx="5">
                  <c:v>60.044799999999995</c:v>
                </c:pt>
                <c:pt idx="6">
                  <c:v>80.817599999999999</c:v>
                </c:pt>
                <c:pt idx="7">
                  <c:v>44.542900000000003</c:v>
                </c:pt>
                <c:pt idx="8">
                  <c:v>45.5685</c:v>
                </c:pt>
                <c:pt idx="9">
                  <c:v>82.360799999999998</c:v>
                </c:pt>
                <c:pt idx="10">
                  <c:v>57.178899999999999</c:v>
                </c:pt>
                <c:pt idx="11">
                  <c:v>76.488100000000003</c:v>
                </c:pt>
                <c:pt idx="12">
                  <c:v>61.115200000000002</c:v>
                </c:pt>
                <c:pt idx="13">
                  <c:v>35.555500000000002</c:v>
                </c:pt>
                <c:pt idx="14">
                  <c:v>85.162099999999995</c:v>
                </c:pt>
                <c:pt idx="15">
                  <c:v>80.584500000000006</c:v>
                </c:pt>
                <c:pt idx="16">
                  <c:v>90.283799999999999</c:v>
                </c:pt>
                <c:pt idx="17">
                  <c:v>58.044700000000006</c:v>
                </c:pt>
                <c:pt idx="18">
                  <c:v>59.722299999999997</c:v>
                </c:pt>
                <c:pt idx="19">
                  <c:v>79.736699999999999</c:v>
                </c:pt>
                <c:pt idx="20">
                  <c:v>85.777199999999993</c:v>
                </c:pt>
                <c:pt idx="21">
                  <c:v>80.596599999999995</c:v>
                </c:pt>
                <c:pt idx="22">
                  <c:v>77.8489</c:v>
                </c:pt>
                <c:pt idx="23">
                  <c:v>93.959699999999998</c:v>
                </c:pt>
                <c:pt idx="24">
                  <c:v>77.405199999999994</c:v>
                </c:pt>
                <c:pt idx="25">
                  <c:v>91.213300000000004</c:v>
                </c:pt>
                <c:pt idx="26">
                  <c:v>100</c:v>
                </c:pt>
              </c:numCache>
            </c:numRef>
          </c:val>
          <c:extLst>
            <c:ext xmlns:c16="http://schemas.microsoft.com/office/drawing/2014/chart" uri="{C3380CC4-5D6E-409C-BE32-E72D297353CC}">
              <c16:uniqueId val="{00000000-DD4B-4D30-9B6D-8D980289E5CE}"/>
            </c:ext>
          </c:extLst>
        </c:ser>
        <c:ser>
          <c:idx val="1"/>
          <c:order val="1"/>
          <c:tx>
            <c:strRef>
              <c:f>'BETWEENNESS2 (2)'!$C$1</c:f>
              <c:strCache>
                <c:ptCount val="1"/>
                <c:pt idx="0">
                  <c:v>betweenesscentrality</c:v>
                </c:pt>
              </c:strCache>
            </c:strRef>
          </c:tx>
          <c:spPr>
            <a:solidFill>
              <a:schemeClr val="accent2"/>
            </a:solidFill>
            <a:ln>
              <a:noFill/>
            </a:ln>
            <a:effectLst/>
          </c:spPr>
          <c:invertIfNegative val="0"/>
          <c:cat>
            <c:strRef>
              <c:f>'BETWEENNESS2 (2)'!$A$2:$A$28</c:f>
              <c:strCache>
                <c:ptCount val="27"/>
                <c:pt idx="0">
                  <c:v>Private Companies</c:v>
                </c:pt>
                <c:pt idx="1">
                  <c:v>National Parliament</c:v>
                </c:pt>
                <c:pt idx="2">
                  <c:v>Other EU Member States' officials</c:v>
                </c:pt>
                <c:pt idx="3">
                  <c:v>European Parliament (mostly LIBE Committee)</c:v>
                </c:pt>
                <c:pt idx="4">
                  <c:v>Trade Unions/Professional Associations (EU LEVEL)</c:v>
                </c:pt>
                <c:pt idx="5">
                  <c:v>Trade Unions / Professional Associations</c:v>
                </c:pt>
                <c:pt idx="6">
                  <c:v>Advisory Committees</c:v>
                </c:pt>
                <c:pt idx="7">
                  <c:v>European Council / Council of the EU</c:v>
                </c:pt>
                <c:pt idx="8">
                  <c:v>EEAS</c:v>
                </c:pt>
                <c:pt idx="9">
                  <c:v>Employers' Organizations</c:v>
                </c:pt>
                <c:pt idx="10">
                  <c:v>Council of Europe</c:v>
                </c:pt>
                <c:pt idx="11">
                  <c:v>FRA</c:v>
                </c:pt>
                <c:pt idx="12">
                  <c:v>EASO</c:v>
                </c:pt>
                <c:pt idx="13">
                  <c:v>National Border Police</c:v>
                </c:pt>
                <c:pt idx="14">
                  <c:v>Humanitarian NGOs</c:v>
                </c:pt>
                <c:pt idx="15">
                  <c:v>Advocacy NGOs</c:v>
                </c:pt>
                <c:pt idx="16">
                  <c:v>Ministry of Labour</c:v>
                </c:pt>
                <c:pt idx="17">
                  <c:v>NGOs (EU level)</c:v>
                </c:pt>
                <c:pt idx="18">
                  <c:v>Frontex</c:v>
                </c:pt>
                <c:pt idx="19">
                  <c:v>Ministry/Department of Integration</c:v>
                </c:pt>
                <c:pt idx="20">
                  <c:v>IOM</c:v>
                </c:pt>
                <c:pt idx="21">
                  <c:v>Ministry of Foreign Affairs</c:v>
                </c:pt>
                <c:pt idx="22">
                  <c:v>UNHCR</c:v>
                </c:pt>
                <c:pt idx="23">
                  <c:v>Think Tanks and Experts</c:v>
                </c:pt>
                <c:pt idx="24">
                  <c:v>PERMREPS</c:v>
                </c:pt>
                <c:pt idx="25">
                  <c:v>Ministry of Interior</c:v>
                </c:pt>
                <c:pt idx="26">
                  <c:v>EC - DG Home</c:v>
                </c:pt>
              </c:strCache>
            </c:strRef>
          </c:cat>
          <c:val>
            <c:numRef>
              <c:f>'BETWEENNESS2 (2)'!$C$2:$C$28</c:f>
              <c:numCache>
                <c:formatCode>General</c:formatCode>
                <c:ptCount val="27"/>
                <c:pt idx="0">
                  <c:v>0.25707000000000002</c:v>
                </c:pt>
                <c:pt idx="1">
                  <c:v>0.36528300000000002</c:v>
                </c:pt>
                <c:pt idx="2">
                  <c:v>0.45138699999999998</c:v>
                </c:pt>
                <c:pt idx="3" formatCode="#,##0">
                  <c:v>5.5952570000000001</c:v>
                </c:pt>
                <c:pt idx="4" formatCode="#,##0">
                  <c:v>21.058015999999999</c:v>
                </c:pt>
                <c:pt idx="5" formatCode="#,##0">
                  <c:v>45.986151999999997</c:v>
                </c:pt>
                <c:pt idx="6" formatCode="#,##0">
                  <c:v>61.873035999999999</c:v>
                </c:pt>
                <c:pt idx="7" formatCode="#,##0">
                  <c:v>6.3647660000000004</c:v>
                </c:pt>
                <c:pt idx="8" formatCode="#,##0">
                  <c:v>51.979014999999997</c:v>
                </c:pt>
                <c:pt idx="9" formatCode="#,##0">
                  <c:v>62.488751999999998</c:v>
                </c:pt>
                <c:pt idx="10" formatCode="#,##0">
                  <c:v>19.450748999999998</c:v>
                </c:pt>
                <c:pt idx="11" formatCode="#,##0">
                  <c:v>10.900617</c:v>
                </c:pt>
                <c:pt idx="12" formatCode="#,##0">
                  <c:v>7.7908160000000004</c:v>
                </c:pt>
                <c:pt idx="13" formatCode="#,##0">
                  <c:v>11.009731</c:v>
                </c:pt>
                <c:pt idx="14" formatCode="#,##0">
                  <c:v>103.057992</c:v>
                </c:pt>
                <c:pt idx="15" formatCode="#,##0">
                  <c:v>48.998980000000003</c:v>
                </c:pt>
                <c:pt idx="16" formatCode="#,##0">
                  <c:v>177.88523599999999</c:v>
                </c:pt>
                <c:pt idx="17" formatCode="#,##0">
                  <c:v>3.6584029999999998</c:v>
                </c:pt>
                <c:pt idx="18" formatCode="#,##0">
                  <c:v>6.7843869999999997</c:v>
                </c:pt>
                <c:pt idx="19" formatCode="#,##0">
                  <c:v>25.722307000000001</c:v>
                </c:pt>
                <c:pt idx="20" formatCode="#,##0">
                  <c:v>32.454186</c:v>
                </c:pt>
                <c:pt idx="21" formatCode="#,##0">
                  <c:v>54.481794000000001</c:v>
                </c:pt>
                <c:pt idx="22" formatCode="#,##0">
                  <c:v>13.589127</c:v>
                </c:pt>
                <c:pt idx="23" formatCode="#,##0">
                  <c:v>60.885786000000003</c:v>
                </c:pt>
                <c:pt idx="24" formatCode="#,##0">
                  <c:v>69.536788999999999</c:v>
                </c:pt>
                <c:pt idx="25" formatCode="#,##0">
                  <c:v>40.168317000000002</c:v>
                </c:pt>
                <c:pt idx="26" formatCode="#,##0">
                  <c:v>149.30583799999999</c:v>
                </c:pt>
              </c:numCache>
            </c:numRef>
          </c:val>
          <c:extLst>
            <c:ext xmlns:c16="http://schemas.microsoft.com/office/drawing/2014/chart" uri="{C3380CC4-5D6E-409C-BE32-E72D297353CC}">
              <c16:uniqueId val="{00000001-DD4B-4D30-9B6D-8D980289E5CE}"/>
            </c:ext>
          </c:extLst>
        </c:ser>
        <c:ser>
          <c:idx val="2"/>
          <c:order val="2"/>
          <c:tx>
            <c:strRef>
              <c:f>'BETWEENNESS2 (2)'!$D$1</c:f>
              <c:strCache>
                <c:ptCount val="1"/>
                <c:pt idx="0">
                  <c:v>Weighted Degree</c:v>
                </c:pt>
              </c:strCache>
            </c:strRef>
          </c:tx>
          <c:spPr>
            <a:solidFill>
              <a:schemeClr val="accent3"/>
            </a:solidFill>
            <a:ln>
              <a:noFill/>
            </a:ln>
            <a:effectLst/>
          </c:spPr>
          <c:invertIfNegative val="0"/>
          <c:cat>
            <c:strRef>
              <c:f>'BETWEENNESS2 (2)'!$A$2:$A$28</c:f>
              <c:strCache>
                <c:ptCount val="27"/>
                <c:pt idx="0">
                  <c:v>Private Companies</c:v>
                </c:pt>
                <c:pt idx="1">
                  <c:v>National Parliament</c:v>
                </c:pt>
                <c:pt idx="2">
                  <c:v>Other EU Member States' officials</c:v>
                </c:pt>
                <c:pt idx="3">
                  <c:v>European Parliament (mostly LIBE Committee)</c:v>
                </c:pt>
                <c:pt idx="4">
                  <c:v>Trade Unions/Professional Associations (EU LEVEL)</c:v>
                </c:pt>
                <c:pt idx="5">
                  <c:v>Trade Unions / Professional Associations</c:v>
                </c:pt>
                <c:pt idx="6">
                  <c:v>Advisory Committees</c:v>
                </c:pt>
                <c:pt idx="7">
                  <c:v>European Council / Council of the EU</c:v>
                </c:pt>
                <c:pt idx="8">
                  <c:v>EEAS</c:v>
                </c:pt>
                <c:pt idx="9">
                  <c:v>Employers' Organizations</c:v>
                </c:pt>
                <c:pt idx="10">
                  <c:v>Council of Europe</c:v>
                </c:pt>
                <c:pt idx="11">
                  <c:v>FRA</c:v>
                </c:pt>
                <c:pt idx="12">
                  <c:v>EASO</c:v>
                </c:pt>
                <c:pt idx="13">
                  <c:v>National Border Police</c:v>
                </c:pt>
                <c:pt idx="14">
                  <c:v>Humanitarian NGOs</c:v>
                </c:pt>
                <c:pt idx="15">
                  <c:v>Advocacy NGOs</c:v>
                </c:pt>
                <c:pt idx="16">
                  <c:v>Ministry of Labour</c:v>
                </c:pt>
                <c:pt idx="17">
                  <c:v>NGOs (EU level)</c:v>
                </c:pt>
                <c:pt idx="18">
                  <c:v>Frontex</c:v>
                </c:pt>
                <c:pt idx="19">
                  <c:v>Ministry/Department of Integration</c:v>
                </c:pt>
                <c:pt idx="20">
                  <c:v>IOM</c:v>
                </c:pt>
                <c:pt idx="21">
                  <c:v>Ministry of Foreign Affairs</c:v>
                </c:pt>
                <c:pt idx="22">
                  <c:v>UNHCR</c:v>
                </c:pt>
                <c:pt idx="23">
                  <c:v>Think Tanks and Experts</c:v>
                </c:pt>
                <c:pt idx="24">
                  <c:v>PERMREPS</c:v>
                </c:pt>
                <c:pt idx="25">
                  <c:v>Ministry of Interior</c:v>
                </c:pt>
                <c:pt idx="26">
                  <c:v>EC - DG Home</c:v>
                </c:pt>
              </c:strCache>
            </c:strRef>
          </c:cat>
          <c:val>
            <c:numRef>
              <c:f>'BETWEENNESS2 (2)'!$D$2:$D$28</c:f>
              <c:numCache>
                <c:formatCode>General</c:formatCode>
                <c:ptCount val="27"/>
                <c:pt idx="0">
                  <c:v>8.5</c:v>
                </c:pt>
                <c:pt idx="1">
                  <c:v>8.57</c:v>
                </c:pt>
                <c:pt idx="2">
                  <c:v>12.23</c:v>
                </c:pt>
                <c:pt idx="3">
                  <c:v>13.16</c:v>
                </c:pt>
                <c:pt idx="4">
                  <c:v>15.25</c:v>
                </c:pt>
                <c:pt idx="5">
                  <c:v>16.91</c:v>
                </c:pt>
                <c:pt idx="6">
                  <c:v>18.25</c:v>
                </c:pt>
                <c:pt idx="7">
                  <c:v>19.75</c:v>
                </c:pt>
                <c:pt idx="8">
                  <c:v>20</c:v>
                </c:pt>
                <c:pt idx="9" formatCode="#,##0">
                  <c:v>20.204999999999998</c:v>
                </c:pt>
                <c:pt idx="10" formatCode="#,##0">
                  <c:v>22.664999999999999</c:v>
                </c:pt>
                <c:pt idx="11">
                  <c:v>23.33</c:v>
                </c:pt>
                <c:pt idx="12">
                  <c:v>24.16</c:v>
                </c:pt>
                <c:pt idx="13" formatCode="#,##0">
                  <c:v>25.375</c:v>
                </c:pt>
                <c:pt idx="14" formatCode="#,##0">
                  <c:v>25.635000000000002</c:v>
                </c:pt>
                <c:pt idx="15">
                  <c:v>25.79</c:v>
                </c:pt>
                <c:pt idx="16">
                  <c:v>25.85</c:v>
                </c:pt>
                <c:pt idx="17" formatCode="#,##0">
                  <c:v>26.914999999999999</c:v>
                </c:pt>
                <c:pt idx="18">
                  <c:v>27.66</c:v>
                </c:pt>
                <c:pt idx="19">
                  <c:v>29.5</c:v>
                </c:pt>
                <c:pt idx="20" formatCode="#,##0">
                  <c:v>30.535</c:v>
                </c:pt>
                <c:pt idx="21" formatCode="#,##0">
                  <c:v>31.535</c:v>
                </c:pt>
                <c:pt idx="22" formatCode="#,##0">
                  <c:v>33.494999999999997</c:v>
                </c:pt>
                <c:pt idx="23">
                  <c:v>39.33</c:v>
                </c:pt>
                <c:pt idx="24" formatCode="#,##0">
                  <c:v>43.575000000000003</c:v>
                </c:pt>
                <c:pt idx="25" formatCode="#,##0">
                  <c:v>48.494999999999997</c:v>
                </c:pt>
                <c:pt idx="26">
                  <c:v>60.29</c:v>
                </c:pt>
              </c:numCache>
            </c:numRef>
          </c:val>
          <c:extLst>
            <c:ext xmlns:c16="http://schemas.microsoft.com/office/drawing/2014/chart" uri="{C3380CC4-5D6E-409C-BE32-E72D297353CC}">
              <c16:uniqueId val="{00000002-DD4B-4D30-9B6D-8D980289E5CE}"/>
            </c:ext>
          </c:extLst>
        </c:ser>
        <c:dLbls>
          <c:showLegendKey val="0"/>
          <c:showVal val="0"/>
          <c:showCatName val="0"/>
          <c:showSerName val="0"/>
          <c:showPercent val="0"/>
          <c:showBubbleSize val="0"/>
        </c:dLbls>
        <c:gapWidth val="182"/>
        <c:axId val="1679150656"/>
        <c:axId val="1679153984"/>
      </c:barChart>
      <c:catAx>
        <c:axId val="167915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9153984"/>
        <c:crosses val="autoZero"/>
        <c:auto val="1"/>
        <c:lblAlgn val="ctr"/>
        <c:lblOffset val="100"/>
        <c:noMultiLvlLbl val="0"/>
      </c:catAx>
      <c:valAx>
        <c:axId val="1679153984"/>
        <c:scaling>
          <c:orientation val="minMax"/>
          <c:max val="18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915065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Pettrachin</dc:creator>
  <cp:keywords/>
  <dc:description/>
  <cp:lastModifiedBy>Jeremy Richardson</cp:lastModifiedBy>
  <cp:revision>2</cp:revision>
  <dcterms:created xsi:type="dcterms:W3CDTF">2022-04-29T01:20:00Z</dcterms:created>
  <dcterms:modified xsi:type="dcterms:W3CDTF">2022-04-29T01:20:00Z</dcterms:modified>
</cp:coreProperties>
</file>