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AE9" w:rsidRPr="00FE4C4F" w:rsidRDefault="00CA3AE9">
      <w:pPr>
        <w:rPr>
          <w:lang w:val="en-US"/>
        </w:rPr>
      </w:pPr>
    </w:p>
    <w:p w:rsidR="00CA3AE9" w:rsidRPr="00E060FA" w:rsidRDefault="00CA3AE9" w:rsidP="00CA3AE9">
      <w:pPr>
        <w:jc w:val="both"/>
        <w:rPr>
          <w:rFonts w:ascii="Times" w:hAnsi="Times"/>
          <w:lang w:val="en-US"/>
        </w:rPr>
      </w:pPr>
      <w:r w:rsidRPr="00FE4C4F">
        <w:rPr>
          <w:rFonts w:ascii="Times" w:hAnsi="Times"/>
          <w:b/>
          <w:bCs/>
          <w:lang w:val="en-US"/>
        </w:rPr>
        <w:t>APPENDIX A –</w:t>
      </w:r>
      <w:r w:rsidRPr="00E060FA">
        <w:rPr>
          <w:rFonts w:ascii="Times" w:hAnsi="Times"/>
          <w:lang w:val="en-US"/>
        </w:rPr>
        <w:t xml:space="preserve"> List of interviews held by the author in France and Germany between March and December 2020. Interviewees have required to remain anonymous. The title by which they are referred to and individual quotes</w:t>
      </w:r>
      <w:r>
        <w:rPr>
          <w:rFonts w:ascii="Times" w:hAnsi="Times"/>
          <w:lang w:val="en-US"/>
        </w:rPr>
        <w:t xml:space="preserve"> in the paper</w:t>
      </w:r>
      <w:r w:rsidRPr="00E060FA">
        <w:rPr>
          <w:rFonts w:ascii="Times" w:hAnsi="Times"/>
          <w:lang w:val="en-US"/>
        </w:rPr>
        <w:t xml:space="preserve"> have been checked with them.</w:t>
      </w:r>
    </w:p>
    <w:p w:rsidR="00CA3AE9" w:rsidRPr="00E060FA" w:rsidRDefault="00CA3AE9" w:rsidP="00CA3AE9">
      <w:pPr>
        <w:jc w:val="both"/>
        <w:rPr>
          <w:rFonts w:ascii="Times" w:hAnsi="Times"/>
          <w:lang w:val="en-US"/>
        </w:rPr>
      </w:pPr>
    </w:p>
    <w:p w:rsidR="00CA3AE9" w:rsidRPr="00E060FA" w:rsidRDefault="00CA3AE9" w:rsidP="00CA3AE9">
      <w:pPr>
        <w:jc w:val="both"/>
        <w:rPr>
          <w:rFonts w:ascii="Times" w:hAnsi="Times"/>
          <w:lang w:val="en-US"/>
        </w:rPr>
      </w:pPr>
    </w:p>
    <w:p w:rsidR="00CA3AE9" w:rsidRPr="00E060FA" w:rsidRDefault="00CA3AE9" w:rsidP="00CA3AE9">
      <w:pPr>
        <w:jc w:val="both"/>
        <w:rPr>
          <w:rFonts w:ascii="Times" w:hAnsi="Times"/>
          <w:lang w:val="en-GB"/>
        </w:rPr>
      </w:pPr>
      <w:r w:rsidRPr="00E060FA">
        <w:rPr>
          <w:rFonts w:ascii="Times" w:hAnsi="Times"/>
          <w:lang w:val="en-GB"/>
        </w:rPr>
        <w:t>Interview #1: Treasury senior official (France)</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#2: Treasury senior official (Germany)</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#3: Senior manager B</w:t>
      </w:r>
      <w:r>
        <w:rPr>
          <w:rFonts w:ascii="Times" w:hAnsi="Times"/>
          <w:lang w:val="en-GB"/>
        </w:rPr>
        <w:t>pifrance</w:t>
      </w:r>
      <w:r w:rsidRPr="00E060FA">
        <w:rPr>
          <w:rFonts w:ascii="Times" w:hAnsi="Times"/>
          <w:lang w:val="en-GB"/>
        </w:rPr>
        <w:t xml:space="preserve"> (France)</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#4: Senior manager KfW (Germany)</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#5: Bank A’s top executive manager (France)</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#6: Bank B’s top executive manager (France)</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#7: Bank C’s top executive manager (France)</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#8: Top representative of DSGV (Germany)</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#9: Commercial bank’s top executive manager (Germany)</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#10: Top representative of Genossenschaftsverband (Germany)</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#11: Investment banker (France)</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#12: Head of Hedge Fund specialized in financial institutions (France)</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#13: Head of private banking research group (Germany)</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r w:rsidRPr="00E060FA">
        <w:rPr>
          <w:rFonts w:ascii="Times" w:hAnsi="Times"/>
          <w:lang w:val="en-GB"/>
        </w:rPr>
        <w:t>Interview #14: CEO of non-bank lending institution  (Germany)</w:t>
      </w:r>
    </w:p>
    <w:p w:rsidR="00CA3AE9" w:rsidRPr="00E060FA" w:rsidRDefault="00CA3AE9" w:rsidP="00CA3AE9">
      <w:pPr>
        <w:jc w:val="both"/>
        <w:rPr>
          <w:rFonts w:ascii="Times" w:hAnsi="Times"/>
          <w:lang w:val="en-GB"/>
        </w:rPr>
      </w:pPr>
    </w:p>
    <w:p w:rsidR="00CA3AE9" w:rsidRPr="00E060FA" w:rsidRDefault="00CA3AE9" w:rsidP="00CA3AE9">
      <w:pPr>
        <w:jc w:val="both"/>
        <w:rPr>
          <w:rFonts w:ascii="Times" w:hAnsi="Times"/>
          <w:lang w:val="en-GB"/>
        </w:rPr>
      </w:pPr>
    </w:p>
    <w:p w:rsidR="00CA3AE9" w:rsidRPr="00E060FA" w:rsidRDefault="00CA3AE9" w:rsidP="00CA3AE9">
      <w:pPr>
        <w:spacing w:line="360" w:lineRule="auto"/>
        <w:jc w:val="both"/>
        <w:rPr>
          <w:rFonts w:ascii="Times" w:hAnsi="Times"/>
          <w:lang w:val="en-GB"/>
        </w:rPr>
      </w:pPr>
    </w:p>
    <w:p w:rsidR="00CA3AE9" w:rsidRDefault="00CA3AE9" w:rsidP="00CA3AE9">
      <w:pPr>
        <w:pStyle w:val="NormalWeb"/>
        <w:spacing w:after="0" w:afterAutospacing="0" w:line="276" w:lineRule="auto"/>
        <w:jc w:val="both"/>
        <w:rPr>
          <w:rFonts w:ascii="Times" w:hAnsi="Times"/>
          <w:lang w:val="en-GB"/>
        </w:rPr>
      </w:pPr>
    </w:p>
    <w:p w:rsidR="00CA3AE9" w:rsidRDefault="00CA3AE9" w:rsidP="00CA3AE9">
      <w:pPr>
        <w:pStyle w:val="NormalWeb"/>
        <w:spacing w:after="0" w:afterAutospacing="0" w:line="276" w:lineRule="auto"/>
        <w:jc w:val="both"/>
        <w:rPr>
          <w:rFonts w:ascii="Times" w:hAnsi="Times"/>
          <w:lang w:val="en-GB"/>
        </w:rPr>
      </w:pPr>
    </w:p>
    <w:p w:rsidR="00CA3AE9" w:rsidRDefault="00CA3AE9" w:rsidP="00CA3AE9">
      <w:pPr>
        <w:pStyle w:val="NormalWeb"/>
        <w:spacing w:after="0" w:afterAutospacing="0" w:line="276" w:lineRule="auto"/>
        <w:jc w:val="both"/>
        <w:rPr>
          <w:rFonts w:ascii="Times" w:hAnsi="Times"/>
          <w:lang w:val="en-GB"/>
        </w:rPr>
      </w:pPr>
    </w:p>
    <w:p w:rsidR="00CA3AE9" w:rsidRDefault="00CA3AE9" w:rsidP="00CA3AE9">
      <w:pPr>
        <w:pStyle w:val="NormalWeb"/>
        <w:spacing w:after="0" w:afterAutospacing="0" w:line="276" w:lineRule="auto"/>
        <w:jc w:val="both"/>
        <w:rPr>
          <w:rFonts w:ascii="Times" w:hAnsi="Times"/>
          <w:lang w:val="en-GB"/>
        </w:rPr>
      </w:pPr>
    </w:p>
    <w:p w:rsidR="00CA3AE9" w:rsidRDefault="00CA3AE9" w:rsidP="00CA3AE9">
      <w:pPr>
        <w:pStyle w:val="NormalWeb"/>
        <w:spacing w:after="0" w:afterAutospacing="0" w:line="276" w:lineRule="auto"/>
        <w:jc w:val="both"/>
        <w:rPr>
          <w:rFonts w:ascii="Times" w:hAnsi="Times"/>
          <w:lang w:val="en-GB"/>
        </w:rPr>
      </w:pPr>
    </w:p>
    <w:p w:rsidR="00CA3AE9" w:rsidRDefault="00CA3AE9" w:rsidP="00CA3AE9">
      <w:pPr>
        <w:pStyle w:val="NormalWeb"/>
        <w:spacing w:after="0" w:afterAutospacing="0" w:line="276" w:lineRule="auto"/>
        <w:jc w:val="both"/>
        <w:rPr>
          <w:rFonts w:ascii="Times" w:hAnsi="Times"/>
          <w:lang w:val="en-GB"/>
        </w:rPr>
      </w:pPr>
    </w:p>
    <w:sectPr w:rsidR="00CA3AE9" w:rsidSect="000B3930">
      <w:pgSz w:w="11900" w:h="16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B7650C"/>
    <w:multiLevelType w:val="hybridMultilevel"/>
    <w:tmpl w:val="2466D6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9"/>
  <w:defaultTabStop w:val="720"/>
  <w:characterSpacingControl w:val="doNotCompress"/>
  <w:compat/>
  <w:rsids>
    <w:rsidRoot w:val="00CA3AE9"/>
    <w:rsid w:val="000B3930"/>
    <w:rsid w:val="007636CB"/>
    <w:rsid w:val="00C85005"/>
    <w:rsid w:val="00CA3AE9"/>
    <w:rsid w:val="00F156AD"/>
    <w:rsid w:val="00FE4C4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6A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AE9"/>
    <w:pPr>
      <w:ind w:left="720"/>
      <w:contextualSpacing/>
    </w:pPr>
  </w:style>
  <w:style w:type="paragraph" w:styleId="NormalWeb">
    <w:name w:val="Normal (Web)"/>
    <w:basedOn w:val="Normal"/>
    <w:uiPriority w:val="99"/>
    <w:unhideWhenUsed/>
    <w:rsid w:val="00CA3AE9"/>
    <w:pPr>
      <w:spacing w:before="100" w:beforeAutospacing="1" w:after="100" w:afterAutospacing="1"/>
    </w:pPr>
    <w:rPr>
      <w:rFonts w:ascii="Times New Roman" w:eastAsia="Times New Roman" w:hAnsi="Times New Roman" w:cs="Times New Roman"/>
      <w:lang w:eastAsia="en-GB"/>
    </w:rPr>
  </w:style>
  <w:style w:type="table" w:styleId="TableGrid">
    <w:name w:val="Table Grid"/>
    <w:basedOn w:val="TableNormal"/>
    <w:uiPriority w:val="39"/>
    <w:rsid w:val="00CA3AE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A3AE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A3AE9"/>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
  <LinksUpToDate>false</LinksUpToDate>
  <CharactersWithSpaces>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Massoc, Elsa Clara</dc:creator>
  <cp:lastModifiedBy>Jeremy Richardson</cp:lastModifiedBy>
  <cp:revision>2</cp:revision>
  <dcterms:created xsi:type="dcterms:W3CDTF">2021-04-28T04:55:00Z</dcterms:created>
  <dcterms:modified xsi:type="dcterms:W3CDTF">2021-04-28T04:55:00Z</dcterms:modified>
</cp:coreProperties>
</file>