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9800" w14:textId="77777777" w:rsidR="007873A4" w:rsidRPr="00AF6724" w:rsidRDefault="007873A4" w:rsidP="007873A4">
      <w:pPr>
        <w:pStyle w:val="Articletitle"/>
        <w:jc w:val="both"/>
        <w:rPr>
          <w:color w:val="4472C4" w:themeColor="accent1"/>
        </w:rPr>
      </w:pPr>
      <w:r w:rsidRPr="00AF6724">
        <w:rPr>
          <w:color w:val="4472C4" w:themeColor="accent1"/>
        </w:rPr>
        <w:t xml:space="preserve">Cadmium impurities in traditional herbal medicinal products with </w:t>
      </w:r>
      <w:proofErr w:type="spellStart"/>
      <w:r w:rsidRPr="00AF6724">
        <w:rPr>
          <w:i/>
          <w:iCs/>
          <w:color w:val="4472C4" w:themeColor="accent1"/>
        </w:rPr>
        <w:t>Thymi</w:t>
      </w:r>
      <w:proofErr w:type="spellEnd"/>
      <w:r w:rsidRPr="00AF6724">
        <w:rPr>
          <w:i/>
          <w:iCs/>
          <w:color w:val="4472C4" w:themeColor="accent1"/>
        </w:rPr>
        <w:t xml:space="preserve"> </w:t>
      </w:r>
      <w:proofErr w:type="spellStart"/>
      <w:r w:rsidRPr="00AF6724">
        <w:rPr>
          <w:i/>
          <w:iCs/>
          <w:color w:val="4472C4" w:themeColor="accent1"/>
        </w:rPr>
        <w:t>herba</w:t>
      </w:r>
      <w:proofErr w:type="spellEnd"/>
      <w:r w:rsidRPr="00AF6724">
        <w:rPr>
          <w:color w:val="4472C4" w:themeColor="accent1"/>
        </w:rPr>
        <w:t xml:space="preserve"> available in Polish pharmacies – short communication: </w:t>
      </w:r>
      <w:r w:rsidRPr="00AF6724">
        <w:rPr>
          <w:color w:val="4472C4" w:themeColor="accent1"/>
        </w:rPr>
        <w:br/>
        <w:t xml:space="preserve">the level of Cd impurities and comprehensive toxicological risk assessment </w:t>
      </w:r>
    </w:p>
    <w:p w14:paraId="109DEA5B" w14:textId="77777777" w:rsidR="007873A4" w:rsidRPr="00AF6724" w:rsidRDefault="007873A4" w:rsidP="007873A4">
      <w:pPr>
        <w:pStyle w:val="Authornames"/>
        <w:rPr>
          <w:color w:val="4472C4" w:themeColor="accent1"/>
        </w:rPr>
      </w:pPr>
      <w:r w:rsidRPr="00AF6724">
        <w:rPr>
          <w:color w:val="4472C4" w:themeColor="accent1"/>
        </w:rPr>
        <w:t xml:space="preserve">Kamil </w:t>
      </w:r>
      <w:proofErr w:type="spellStart"/>
      <w:r w:rsidRPr="00AF6724">
        <w:rPr>
          <w:color w:val="4472C4" w:themeColor="accent1"/>
        </w:rPr>
        <w:t>Jurowski</w:t>
      </w:r>
      <w:r w:rsidRPr="00AF6724">
        <w:rPr>
          <w:color w:val="4472C4" w:themeColor="accent1"/>
          <w:vertAlign w:val="superscript"/>
        </w:rPr>
        <w:t>a</w:t>
      </w:r>
      <w:proofErr w:type="spellEnd"/>
      <w:r w:rsidRPr="00AF6724">
        <w:rPr>
          <w:color w:val="4472C4" w:themeColor="accent1"/>
        </w:rPr>
        <w:t xml:space="preserve">* and </w:t>
      </w:r>
      <w:proofErr w:type="spellStart"/>
      <w:r w:rsidRPr="00AF6724">
        <w:rPr>
          <w:color w:val="4472C4" w:themeColor="accent1"/>
        </w:rPr>
        <w:t>Mirosław</w:t>
      </w:r>
      <w:proofErr w:type="spellEnd"/>
      <w:r w:rsidRPr="00AF6724">
        <w:rPr>
          <w:color w:val="4472C4" w:themeColor="accent1"/>
        </w:rPr>
        <w:t xml:space="preserve"> </w:t>
      </w:r>
      <w:proofErr w:type="spellStart"/>
      <w:r w:rsidRPr="00AF6724">
        <w:rPr>
          <w:color w:val="4472C4" w:themeColor="accent1"/>
        </w:rPr>
        <w:t>Krośniak</w:t>
      </w:r>
      <w:r w:rsidRPr="00AF6724">
        <w:rPr>
          <w:color w:val="4472C4" w:themeColor="accent1"/>
          <w:vertAlign w:val="superscript"/>
        </w:rPr>
        <w:t>b</w:t>
      </w:r>
      <w:proofErr w:type="spellEnd"/>
    </w:p>
    <w:p w14:paraId="15345AEF" w14:textId="77777777" w:rsidR="007873A4" w:rsidRPr="00AF6724" w:rsidRDefault="007873A4" w:rsidP="007873A4">
      <w:pPr>
        <w:pStyle w:val="Affiliation"/>
        <w:jc w:val="both"/>
        <w:rPr>
          <w:color w:val="4472C4" w:themeColor="accent1"/>
        </w:rPr>
      </w:pPr>
      <w:proofErr w:type="spellStart"/>
      <w:r w:rsidRPr="00AF6724">
        <w:rPr>
          <w:color w:val="4472C4" w:themeColor="accent1"/>
          <w:vertAlign w:val="superscript"/>
        </w:rPr>
        <w:t>a</w:t>
      </w:r>
      <w:r w:rsidRPr="00AF6724">
        <w:rPr>
          <w:color w:val="4472C4" w:themeColor="accent1"/>
        </w:rPr>
        <w:t>Institute</w:t>
      </w:r>
      <w:proofErr w:type="spellEnd"/>
      <w:r w:rsidRPr="00AF6724">
        <w:rPr>
          <w:color w:val="4472C4" w:themeColor="accent1"/>
        </w:rPr>
        <w:t xml:space="preserve"> of Medical Studies, Medical College, University of </w:t>
      </w:r>
      <w:proofErr w:type="spellStart"/>
      <w:r w:rsidRPr="00AF6724">
        <w:rPr>
          <w:color w:val="4472C4" w:themeColor="accent1"/>
        </w:rPr>
        <w:t>Rzeszów</w:t>
      </w:r>
      <w:proofErr w:type="spellEnd"/>
      <w:r w:rsidRPr="00AF6724">
        <w:rPr>
          <w:color w:val="4472C4" w:themeColor="accent1"/>
        </w:rPr>
        <w:t xml:space="preserve">, </w:t>
      </w:r>
      <w:proofErr w:type="spellStart"/>
      <w:r w:rsidRPr="00AF6724">
        <w:rPr>
          <w:color w:val="4472C4" w:themeColor="accent1"/>
        </w:rPr>
        <w:t>Rzeszów</w:t>
      </w:r>
      <w:proofErr w:type="spellEnd"/>
      <w:r w:rsidRPr="00AF6724">
        <w:rPr>
          <w:color w:val="4472C4" w:themeColor="accent1"/>
        </w:rPr>
        <w:t xml:space="preserve">, Poland; </w:t>
      </w:r>
      <w:proofErr w:type="spellStart"/>
      <w:r w:rsidRPr="00AF6724">
        <w:rPr>
          <w:color w:val="4472C4" w:themeColor="accent1"/>
          <w:vertAlign w:val="superscript"/>
        </w:rPr>
        <w:t>b</w:t>
      </w:r>
      <w:r w:rsidRPr="00AF6724">
        <w:rPr>
          <w:color w:val="4472C4" w:themeColor="accent1"/>
        </w:rPr>
        <w:t>Department</w:t>
      </w:r>
      <w:proofErr w:type="spellEnd"/>
      <w:r w:rsidRPr="00AF6724">
        <w:rPr>
          <w:color w:val="4472C4" w:themeColor="accent1"/>
        </w:rPr>
        <w:t xml:space="preserve"> of Food Chemistry and Nutrition, Medical College, Jagiellonian University, Kraków, Poland </w:t>
      </w:r>
    </w:p>
    <w:p w14:paraId="14914D4E" w14:textId="77777777" w:rsidR="007873A4" w:rsidRPr="00AF6724" w:rsidRDefault="007873A4" w:rsidP="007873A4">
      <w:pPr>
        <w:pStyle w:val="Correspondencedetails"/>
        <w:rPr>
          <w:color w:val="4472C4" w:themeColor="accent1"/>
        </w:rPr>
      </w:pPr>
      <w:r w:rsidRPr="00AF6724">
        <w:rPr>
          <w:color w:val="4472C4" w:themeColor="accent1"/>
        </w:rPr>
        <w:t>e-mail for the *corresponding author: jurowski.tox@gmail.com</w:t>
      </w:r>
    </w:p>
    <w:p w14:paraId="499E81F1" w14:textId="77777777" w:rsidR="007873A4" w:rsidRPr="00AF6724" w:rsidRDefault="007873A4" w:rsidP="007873A4">
      <w:pPr>
        <w:pStyle w:val="Keywords"/>
        <w:jc w:val="both"/>
        <w:rPr>
          <w:color w:val="4472C4" w:themeColor="accent1"/>
        </w:rPr>
      </w:pPr>
    </w:p>
    <w:p w14:paraId="66243F8B" w14:textId="077C60E9" w:rsidR="007873A4" w:rsidRPr="00AF6724" w:rsidRDefault="007873A4" w:rsidP="007873A4">
      <w:pPr>
        <w:pStyle w:val="Keywords"/>
        <w:jc w:val="both"/>
        <w:rPr>
          <w:color w:val="4472C4" w:themeColor="accent1"/>
        </w:rPr>
      </w:pPr>
      <w:r w:rsidRPr="00AF6724">
        <w:rPr>
          <w:color w:val="4472C4" w:themeColor="accent1"/>
        </w:rPr>
        <w:t xml:space="preserve">Traditional herbal medicinal products (THMP) with </w:t>
      </w:r>
      <w:proofErr w:type="spellStart"/>
      <w:r w:rsidRPr="001D10F4">
        <w:rPr>
          <w:i/>
          <w:iCs/>
          <w:color w:val="4472C4" w:themeColor="accent1"/>
        </w:rPr>
        <w:t>Thymi</w:t>
      </w:r>
      <w:proofErr w:type="spellEnd"/>
      <w:r w:rsidRPr="001D10F4">
        <w:rPr>
          <w:i/>
          <w:iCs/>
          <w:color w:val="4472C4" w:themeColor="accent1"/>
        </w:rPr>
        <w:t xml:space="preserve"> </w:t>
      </w:r>
      <w:proofErr w:type="spellStart"/>
      <w:r w:rsidRPr="001D10F4">
        <w:rPr>
          <w:i/>
          <w:iCs/>
          <w:color w:val="4472C4" w:themeColor="accent1"/>
        </w:rPr>
        <w:t>herba</w:t>
      </w:r>
      <w:proofErr w:type="spellEnd"/>
      <w:r w:rsidRPr="00AF6724">
        <w:rPr>
          <w:color w:val="4472C4" w:themeColor="accent1"/>
        </w:rPr>
        <w:t xml:space="preserve"> are very popular as OTC among European population. The aim of this article was the toxicological risk assessment (TRA) of Cd impurities in THMP with </w:t>
      </w:r>
      <w:proofErr w:type="spellStart"/>
      <w:r w:rsidRPr="001D10F4">
        <w:rPr>
          <w:i/>
          <w:iCs/>
          <w:color w:val="4472C4" w:themeColor="accent1"/>
        </w:rPr>
        <w:t>Thymi</w:t>
      </w:r>
      <w:proofErr w:type="spellEnd"/>
      <w:r w:rsidRPr="001D10F4">
        <w:rPr>
          <w:i/>
          <w:iCs/>
          <w:color w:val="4472C4" w:themeColor="accent1"/>
        </w:rPr>
        <w:t xml:space="preserve"> </w:t>
      </w:r>
      <w:proofErr w:type="spellStart"/>
      <w:r w:rsidRPr="001D10F4">
        <w:rPr>
          <w:i/>
          <w:iCs/>
          <w:color w:val="4472C4" w:themeColor="accent1"/>
        </w:rPr>
        <w:t>herba</w:t>
      </w:r>
      <w:proofErr w:type="spellEnd"/>
      <w:r w:rsidRPr="00AF6724">
        <w:rPr>
          <w:color w:val="4472C4" w:themeColor="accent1"/>
        </w:rPr>
        <w:t xml:space="preserve"> from pharmacies in Poland.  The estimations of Cd impurities in the single dose (1.10 – 12.90 µg/single dose) and in daily dose (ng/day) were based on the worst-case (WC) scenario, i.e. based on dosage pointed in community herbal monograph on Thymus vulgaris L. and Thymus </w:t>
      </w:r>
      <w:proofErr w:type="spellStart"/>
      <w:r w:rsidRPr="00AF6724">
        <w:rPr>
          <w:color w:val="4472C4" w:themeColor="accent1"/>
        </w:rPr>
        <w:t>zygis</w:t>
      </w:r>
      <w:proofErr w:type="spellEnd"/>
      <w:r w:rsidRPr="00AF6724">
        <w:rPr>
          <w:color w:val="4472C4" w:themeColor="accent1"/>
        </w:rPr>
        <w:t xml:space="preserve"> L., </w:t>
      </w:r>
      <w:proofErr w:type="spellStart"/>
      <w:r w:rsidRPr="00AF6724">
        <w:rPr>
          <w:color w:val="4472C4" w:themeColor="accent1"/>
        </w:rPr>
        <w:t>herba</w:t>
      </w:r>
      <w:proofErr w:type="spellEnd"/>
      <w:r w:rsidRPr="00AF6724">
        <w:rPr>
          <w:color w:val="4472C4" w:themeColor="accent1"/>
        </w:rPr>
        <w:t xml:space="preserve"> by the European Medicines Agency (EMA). The estimated daily exposure (ng/day) meets the standards of ICH Q3D (R1) guideline (5.0 µg/day) according to Cd levels (all results were below 40 ng/day). It can be concluded that all analysed THMP with </w:t>
      </w:r>
      <w:proofErr w:type="spellStart"/>
      <w:r w:rsidRPr="001D10F4">
        <w:rPr>
          <w:i/>
          <w:iCs/>
          <w:color w:val="4472C4" w:themeColor="accent1"/>
        </w:rPr>
        <w:t>Thymi</w:t>
      </w:r>
      <w:proofErr w:type="spellEnd"/>
      <w:r w:rsidRPr="001D10F4">
        <w:rPr>
          <w:i/>
          <w:iCs/>
          <w:color w:val="4472C4" w:themeColor="accent1"/>
        </w:rPr>
        <w:t xml:space="preserve"> </w:t>
      </w:r>
      <w:proofErr w:type="spellStart"/>
      <w:r w:rsidRPr="001D10F4">
        <w:rPr>
          <w:i/>
          <w:iCs/>
          <w:color w:val="4472C4" w:themeColor="accent1"/>
        </w:rPr>
        <w:t>herba</w:t>
      </w:r>
      <w:proofErr w:type="spellEnd"/>
      <w:r w:rsidRPr="00AF6724">
        <w:rPr>
          <w:color w:val="4472C4" w:themeColor="accent1"/>
        </w:rPr>
        <w:t xml:space="preserve"> from Polish pharmacies should not represent any health hazard to the human health.</w:t>
      </w:r>
    </w:p>
    <w:p w14:paraId="17A6B2D5" w14:textId="77777777" w:rsidR="007873A4" w:rsidRPr="00AF6724" w:rsidRDefault="007873A4" w:rsidP="007873A4">
      <w:pPr>
        <w:pStyle w:val="Keywords"/>
        <w:jc w:val="both"/>
        <w:rPr>
          <w:color w:val="4472C4" w:themeColor="accent1"/>
        </w:rPr>
      </w:pPr>
    </w:p>
    <w:p w14:paraId="2D5BB7A1" w14:textId="77777777" w:rsidR="00094C11" w:rsidRPr="00AF6724" w:rsidRDefault="00094C11" w:rsidP="00094C11">
      <w:pPr>
        <w:pStyle w:val="Keywords"/>
        <w:jc w:val="both"/>
        <w:rPr>
          <w:color w:val="4472C4" w:themeColor="accent1"/>
        </w:rPr>
      </w:pPr>
      <w:r w:rsidRPr="00AF6724">
        <w:rPr>
          <w:color w:val="4472C4" w:themeColor="accent1"/>
        </w:rPr>
        <w:t xml:space="preserve">Keywords: </w:t>
      </w:r>
      <w:proofErr w:type="spellStart"/>
      <w:r w:rsidRPr="00AF6724">
        <w:rPr>
          <w:i/>
          <w:iCs/>
          <w:color w:val="4472C4" w:themeColor="accent1"/>
        </w:rPr>
        <w:t>Thymi</w:t>
      </w:r>
      <w:proofErr w:type="spellEnd"/>
      <w:r w:rsidRPr="00AF6724">
        <w:rPr>
          <w:i/>
          <w:iCs/>
          <w:color w:val="4472C4" w:themeColor="accent1"/>
        </w:rPr>
        <w:t xml:space="preserve"> </w:t>
      </w:r>
      <w:proofErr w:type="spellStart"/>
      <w:r w:rsidRPr="00AF6724">
        <w:rPr>
          <w:i/>
          <w:iCs/>
          <w:color w:val="4472C4" w:themeColor="accent1"/>
        </w:rPr>
        <w:t>herba</w:t>
      </w:r>
      <w:proofErr w:type="spellEnd"/>
      <w:r w:rsidRPr="00AF6724">
        <w:rPr>
          <w:color w:val="4472C4" w:themeColor="accent1"/>
        </w:rPr>
        <w:t xml:space="preserve">; Cadmium; Risk assessment; herbal product; </w:t>
      </w:r>
      <w:r w:rsidRPr="00AF6724">
        <w:rPr>
          <w:i/>
          <w:iCs/>
          <w:color w:val="4472C4" w:themeColor="accent1"/>
        </w:rPr>
        <w:t>Thymus                    vulgaris</w:t>
      </w:r>
      <w:r w:rsidRPr="00AF6724">
        <w:rPr>
          <w:color w:val="4472C4" w:themeColor="accent1"/>
        </w:rPr>
        <w:t xml:space="preserve"> L.; </w:t>
      </w:r>
      <w:r w:rsidRPr="00AF6724">
        <w:rPr>
          <w:i/>
          <w:iCs/>
          <w:color w:val="4472C4" w:themeColor="accent1"/>
        </w:rPr>
        <w:t xml:space="preserve">Thymus </w:t>
      </w:r>
      <w:proofErr w:type="spellStart"/>
      <w:r w:rsidRPr="00AF6724">
        <w:rPr>
          <w:i/>
          <w:iCs/>
          <w:color w:val="4472C4" w:themeColor="accent1"/>
        </w:rPr>
        <w:t>zygis</w:t>
      </w:r>
      <w:proofErr w:type="spellEnd"/>
      <w:r w:rsidRPr="00AF6724">
        <w:rPr>
          <w:color w:val="4472C4" w:themeColor="accent1"/>
        </w:rPr>
        <w:t xml:space="preserve"> L. </w:t>
      </w:r>
    </w:p>
    <w:p w14:paraId="1075FC09" w14:textId="49C30E0F" w:rsidR="007873A4" w:rsidRPr="00AF6724" w:rsidRDefault="007873A4" w:rsidP="00A60B7E">
      <w:pPr>
        <w:pStyle w:val="Nagwek1"/>
        <w:rPr>
          <w:color w:val="4472C4" w:themeColor="accent1"/>
        </w:rPr>
      </w:pPr>
    </w:p>
    <w:p w14:paraId="5AFF2DDD" w14:textId="77777777" w:rsidR="007873A4" w:rsidRPr="00AF6724" w:rsidRDefault="007873A4" w:rsidP="007873A4">
      <w:pPr>
        <w:pStyle w:val="Paragraph"/>
        <w:rPr>
          <w:color w:val="4472C4" w:themeColor="accent1"/>
        </w:rPr>
      </w:pPr>
    </w:p>
    <w:p w14:paraId="381765D8" w14:textId="296B3250" w:rsidR="002235B0" w:rsidRPr="00AF6724" w:rsidRDefault="002235B0" w:rsidP="00A60B7E">
      <w:pPr>
        <w:pStyle w:val="Nagwek1"/>
        <w:rPr>
          <w:color w:val="4472C4" w:themeColor="accent1"/>
        </w:rPr>
      </w:pPr>
      <w:r w:rsidRPr="00AF6724">
        <w:rPr>
          <w:color w:val="4472C4" w:themeColor="accent1"/>
        </w:rPr>
        <w:lastRenderedPageBreak/>
        <w:t>Experimental</w:t>
      </w:r>
    </w:p>
    <w:p w14:paraId="5B77B0DD" w14:textId="77777777" w:rsidR="002235B0" w:rsidRDefault="002235B0" w:rsidP="00A60B7E">
      <w:pPr>
        <w:pStyle w:val="Nagwek1"/>
      </w:pPr>
    </w:p>
    <w:p w14:paraId="4DBD6E89" w14:textId="74AAE748" w:rsidR="00A60B7E" w:rsidRPr="00AA2F87" w:rsidRDefault="00A60B7E" w:rsidP="00A60B7E">
      <w:pPr>
        <w:pStyle w:val="Nagwek1"/>
        <w:rPr>
          <w:i/>
          <w:iCs/>
        </w:rPr>
      </w:pPr>
      <w:r w:rsidRPr="00AA2F87">
        <w:rPr>
          <w:i/>
          <w:iCs/>
        </w:rPr>
        <w:t>Samples</w:t>
      </w:r>
    </w:p>
    <w:p w14:paraId="77464F37" w14:textId="55A47DBC" w:rsidR="00A60B7E" w:rsidRDefault="00A60B7E" w:rsidP="00A60B7E">
      <w:pPr>
        <w:pStyle w:val="Nagwek1"/>
        <w:ind w:firstLine="284"/>
        <w:jc w:val="both"/>
        <w:rPr>
          <w:b w:val="0"/>
          <w:bCs w:val="0"/>
        </w:rPr>
      </w:pPr>
      <w:r w:rsidRPr="002E3E21">
        <w:rPr>
          <w:b w:val="0"/>
          <w:bCs w:val="0"/>
        </w:rPr>
        <w:t xml:space="preserve">In Europe, different herbal-based products with </w:t>
      </w:r>
      <w:proofErr w:type="spellStart"/>
      <w:r w:rsidRPr="001D10F4">
        <w:rPr>
          <w:b w:val="0"/>
          <w:bCs w:val="0"/>
          <w:i/>
          <w:iCs/>
        </w:rPr>
        <w:t>Thymi</w:t>
      </w:r>
      <w:proofErr w:type="spellEnd"/>
      <w:r w:rsidRPr="001D10F4">
        <w:rPr>
          <w:b w:val="0"/>
          <w:bCs w:val="0"/>
          <w:i/>
          <w:iCs/>
        </w:rPr>
        <w:t xml:space="preserve"> </w:t>
      </w:r>
      <w:proofErr w:type="spellStart"/>
      <w:r w:rsidRPr="001D10F4">
        <w:rPr>
          <w:b w:val="0"/>
          <w:bCs w:val="0"/>
          <w:i/>
          <w:iCs/>
        </w:rPr>
        <w:t>herba</w:t>
      </w:r>
      <w:proofErr w:type="spellEnd"/>
      <w:r w:rsidRPr="002E3E21">
        <w:rPr>
          <w:b w:val="0"/>
          <w:bCs w:val="0"/>
        </w:rPr>
        <w:t xml:space="preserve"> have different </w:t>
      </w:r>
      <w:r w:rsidR="005072D5">
        <w:rPr>
          <w:b w:val="0"/>
          <w:bCs w:val="0"/>
        </w:rPr>
        <w:t>indications</w:t>
      </w:r>
      <w:r w:rsidRPr="002E3E21">
        <w:rPr>
          <w:b w:val="0"/>
          <w:bCs w:val="0"/>
        </w:rPr>
        <w:t xml:space="preserve"> and are possible to find on the market (tea, infusions, ointments, tinctures, syrups).  However, only a few products with </w:t>
      </w:r>
      <w:proofErr w:type="spellStart"/>
      <w:r w:rsidRPr="001D10F4">
        <w:rPr>
          <w:b w:val="0"/>
          <w:bCs w:val="0"/>
          <w:i/>
          <w:iCs/>
        </w:rPr>
        <w:t>Thymi</w:t>
      </w:r>
      <w:proofErr w:type="spellEnd"/>
      <w:r w:rsidRPr="001D10F4">
        <w:rPr>
          <w:b w:val="0"/>
          <w:bCs w:val="0"/>
          <w:i/>
          <w:iCs/>
        </w:rPr>
        <w:t xml:space="preserve"> </w:t>
      </w:r>
      <w:proofErr w:type="spellStart"/>
      <w:r w:rsidRPr="001D10F4">
        <w:rPr>
          <w:b w:val="0"/>
          <w:bCs w:val="0"/>
          <w:i/>
          <w:iCs/>
        </w:rPr>
        <w:t>herba</w:t>
      </w:r>
      <w:proofErr w:type="spellEnd"/>
      <w:r w:rsidRPr="002E3E21">
        <w:rPr>
          <w:b w:val="0"/>
          <w:bCs w:val="0"/>
        </w:rPr>
        <w:t xml:space="preserve"> (</w:t>
      </w:r>
      <w:r w:rsidRPr="00540D9C">
        <w:rPr>
          <w:b w:val="0"/>
          <w:bCs w:val="0"/>
          <w:i/>
          <w:iCs/>
        </w:rPr>
        <w:t>Thymus vulgaris</w:t>
      </w:r>
      <w:r w:rsidRPr="002E3E21">
        <w:rPr>
          <w:b w:val="0"/>
          <w:bCs w:val="0"/>
        </w:rPr>
        <w:t xml:space="preserve"> L. and </w:t>
      </w:r>
      <w:r w:rsidRPr="00540D9C">
        <w:rPr>
          <w:b w:val="0"/>
          <w:bCs w:val="0"/>
          <w:i/>
          <w:iCs/>
        </w:rPr>
        <w:t xml:space="preserve">Thymus </w:t>
      </w:r>
      <w:proofErr w:type="spellStart"/>
      <w:r w:rsidRPr="00540D9C">
        <w:rPr>
          <w:b w:val="0"/>
          <w:bCs w:val="0"/>
          <w:i/>
          <w:iCs/>
        </w:rPr>
        <w:t>zygis</w:t>
      </w:r>
      <w:proofErr w:type="spellEnd"/>
      <w:r w:rsidRPr="002E3E21">
        <w:rPr>
          <w:b w:val="0"/>
          <w:bCs w:val="0"/>
        </w:rPr>
        <w:t xml:space="preserve"> L.) as THMP registered </w:t>
      </w:r>
      <w:r w:rsidR="005072D5">
        <w:rPr>
          <w:b w:val="0"/>
          <w:bCs w:val="0"/>
        </w:rPr>
        <w:t>with the</w:t>
      </w:r>
      <w:r w:rsidRPr="002E3E21">
        <w:rPr>
          <w:b w:val="0"/>
          <w:bCs w:val="0"/>
        </w:rPr>
        <w:t xml:space="preserve"> European Medicine Agency (EMA) are available. </w:t>
      </w:r>
      <w:r w:rsidR="005072D5">
        <w:rPr>
          <w:b w:val="0"/>
          <w:bCs w:val="0"/>
        </w:rPr>
        <w:t>Therefore,</w:t>
      </w:r>
      <w:r w:rsidRPr="002E3E21">
        <w:rPr>
          <w:b w:val="0"/>
          <w:bCs w:val="0"/>
        </w:rPr>
        <w:t xml:space="preserve"> only registered products in </w:t>
      </w:r>
      <w:r w:rsidR="005072D5">
        <w:rPr>
          <w:b w:val="0"/>
          <w:bCs w:val="0"/>
        </w:rPr>
        <w:t>Europe such</w:t>
      </w:r>
      <w:r w:rsidRPr="002E3E21">
        <w:rPr>
          <w:b w:val="0"/>
          <w:bCs w:val="0"/>
        </w:rPr>
        <w:t xml:space="preserve"> as THMP with </w:t>
      </w:r>
      <w:proofErr w:type="spellStart"/>
      <w:r w:rsidRPr="001D10F4">
        <w:rPr>
          <w:b w:val="0"/>
          <w:bCs w:val="0"/>
          <w:i/>
          <w:iCs/>
        </w:rPr>
        <w:t>Thymi</w:t>
      </w:r>
      <w:proofErr w:type="spellEnd"/>
      <w:r w:rsidRPr="001D10F4">
        <w:rPr>
          <w:b w:val="0"/>
          <w:bCs w:val="0"/>
          <w:i/>
          <w:iCs/>
        </w:rPr>
        <w:t xml:space="preserve"> </w:t>
      </w:r>
      <w:proofErr w:type="spellStart"/>
      <w:r w:rsidRPr="001D10F4">
        <w:rPr>
          <w:b w:val="0"/>
          <w:bCs w:val="0"/>
          <w:i/>
          <w:iCs/>
        </w:rPr>
        <w:t>herba</w:t>
      </w:r>
      <w:proofErr w:type="spellEnd"/>
      <w:r w:rsidRPr="001D10F4">
        <w:rPr>
          <w:b w:val="0"/>
          <w:bCs w:val="0"/>
          <w:i/>
          <w:iCs/>
        </w:rPr>
        <w:t xml:space="preserve"> </w:t>
      </w:r>
      <w:r w:rsidRPr="002E3E21">
        <w:rPr>
          <w:b w:val="0"/>
          <w:bCs w:val="0"/>
        </w:rPr>
        <w:t xml:space="preserve">from Polish pharmacies were </w:t>
      </w:r>
      <w:r w:rsidR="005072D5">
        <w:rPr>
          <w:b w:val="0"/>
          <w:bCs w:val="0"/>
        </w:rPr>
        <w:t>considered</w:t>
      </w:r>
      <w:r w:rsidRPr="002E3E21">
        <w:rPr>
          <w:b w:val="0"/>
          <w:bCs w:val="0"/>
        </w:rPr>
        <w:t xml:space="preserve"> in our studies. We </w:t>
      </w:r>
      <w:proofErr w:type="spellStart"/>
      <w:r w:rsidR="005072D5">
        <w:rPr>
          <w:b w:val="0"/>
          <w:bCs w:val="0"/>
        </w:rPr>
        <w:t>analyze</w:t>
      </w:r>
      <w:proofErr w:type="spellEnd"/>
      <w:r w:rsidRPr="002E3E21">
        <w:rPr>
          <w:b w:val="0"/>
          <w:bCs w:val="0"/>
        </w:rPr>
        <w:t xml:space="preserve"> all over-the-counter medicines (OTC) with </w:t>
      </w:r>
      <w:proofErr w:type="spellStart"/>
      <w:r w:rsidRPr="001D10F4">
        <w:rPr>
          <w:b w:val="0"/>
          <w:bCs w:val="0"/>
          <w:i/>
          <w:iCs/>
        </w:rPr>
        <w:t>Thymi</w:t>
      </w:r>
      <w:proofErr w:type="spellEnd"/>
      <w:r w:rsidRPr="001D10F4">
        <w:rPr>
          <w:b w:val="0"/>
          <w:bCs w:val="0"/>
          <w:i/>
          <w:iCs/>
        </w:rPr>
        <w:t xml:space="preserve"> </w:t>
      </w:r>
      <w:proofErr w:type="spellStart"/>
      <w:r w:rsidRPr="001D10F4">
        <w:rPr>
          <w:b w:val="0"/>
          <w:bCs w:val="0"/>
          <w:i/>
          <w:iCs/>
        </w:rPr>
        <w:t>herba</w:t>
      </w:r>
      <w:proofErr w:type="spellEnd"/>
      <w:r w:rsidRPr="002E3E21">
        <w:rPr>
          <w:b w:val="0"/>
          <w:bCs w:val="0"/>
        </w:rPr>
        <w:t xml:space="preserve"> available in Poland (</w:t>
      </w:r>
      <w:r w:rsidRPr="00540D9C">
        <w:rPr>
          <w:b w:val="0"/>
          <w:bCs w:val="0"/>
          <w:i/>
          <w:iCs/>
        </w:rPr>
        <w:t>n</w:t>
      </w:r>
      <w:r w:rsidRPr="002E3E21">
        <w:rPr>
          <w:b w:val="0"/>
          <w:bCs w:val="0"/>
        </w:rPr>
        <w:t xml:space="preserve"> = 6), where only six manufacturers produce this kind of THMP. Only one specimen of each sample was selected per a given brand of THMP be-cause: 1) THMP with the same serial/ batch number are available during the investigated period; 2) this is a short communication, not a retrospective study; 3) our preliminary study indicates that the results are not statistically different for different samples from the same manufacturer; 4) no more samples from that period are available now. All </w:t>
      </w:r>
      <w:r w:rsidR="005072D5">
        <w:rPr>
          <w:b w:val="0"/>
          <w:bCs w:val="0"/>
        </w:rPr>
        <w:t>pharmaceutical</w:t>
      </w:r>
      <w:r w:rsidRPr="002E3E21">
        <w:rPr>
          <w:b w:val="0"/>
          <w:bCs w:val="0"/>
        </w:rPr>
        <w:t xml:space="preserve"> products with </w:t>
      </w:r>
      <w:proofErr w:type="spellStart"/>
      <w:r w:rsidRPr="001D10F4">
        <w:rPr>
          <w:b w:val="0"/>
          <w:bCs w:val="0"/>
          <w:i/>
          <w:iCs/>
        </w:rPr>
        <w:t>Thymi</w:t>
      </w:r>
      <w:proofErr w:type="spellEnd"/>
      <w:r w:rsidRPr="001D10F4">
        <w:rPr>
          <w:b w:val="0"/>
          <w:bCs w:val="0"/>
          <w:i/>
          <w:iCs/>
        </w:rPr>
        <w:t xml:space="preserve"> </w:t>
      </w:r>
      <w:proofErr w:type="spellStart"/>
      <w:r w:rsidRPr="001D10F4">
        <w:rPr>
          <w:b w:val="0"/>
          <w:bCs w:val="0"/>
          <w:i/>
          <w:iCs/>
        </w:rPr>
        <w:t>herba</w:t>
      </w:r>
      <w:proofErr w:type="spellEnd"/>
      <w:r w:rsidRPr="002E3E21">
        <w:rPr>
          <w:b w:val="0"/>
          <w:bCs w:val="0"/>
        </w:rPr>
        <w:t xml:space="preserve"> were purchased in local pharmacies/drug stores </w:t>
      </w:r>
      <w:r w:rsidR="005072D5">
        <w:rPr>
          <w:b w:val="0"/>
          <w:bCs w:val="0"/>
        </w:rPr>
        <w:t>located</w:t>
      </w:r>
      <w:r w:rsidRPr="002E3E21">
        <w:rPr>
          <w:b w:val="0"/>
          <w:bCs w:val="0"/>
        </w:rPr>
        <w:t xml:space="preserve"> in Poland (</w:t>
      </w:r>
      <w:proofErr w:type="spellStart"/>
      <w:r w:rsidRPr="002E3E21">
        <w:rPr>
          <w:b w:val="0"/>
          <w:bCs w:val="0"/>
        </w:rPr>
        <w:t>Rzeszów</w:t>
      </w:r>
      <w:proofErr w:type="spellEnd"/>
      <w:r w:rsidRPr="002E3E21">
        <w:rPr>
          <w:b w:val="0"/>
          <w:bCs w:val="0"/>
        </w:rPr>
        <w:t xml:space="preserve">, </w:t>
      </w:r>
      <w:proofErr w:type="spellStart"/>
      <w:r w:rsidRPr="002E3E21">
        <w:rPr>
          <w:b w:val="0"/>
          <w:bCs w:val="0"/>
        </w:rPr>
        <w:t>Podkarpackie</w:t>
      </w:r>
      <w:proofErr w:type="spellEnd"/>
      <w:r w:rsidRPr="002E3E21">
        <w:rPr>
          <w:b w:val="0"/>
          <w:bCs w:val="0"/>
        </w:rPr>
        <w:t xml:space="preserve"> </w:t>
      </w:r>
      <w:r w:rsidR="005072D5">
        <w:rPr>
          <w:b w:val="0"/>
          <w:bCs w:val="0"/>
        </w:rPr>
        <w:t>Voivodeship)</w:t>
      </w:r>
      <w:r w:rsidRPr="002E3E21">
        <w:rPr>
          <w:b w:val="0"/>
          <w:bCs w:val="0"/>
        </w:rPr>
        <w:t xml:space="preserve"> in 2021 (in period: June-September). </w:t>
      </w:r>
      <w:r w:rsidR="005072D5">
        <w:rPr>
          <w:b w:val="0"/>
          <w:bCs w:val="0"/>
        </w:rPr>
        <w:t>All THMPs</w:t>
      </w:r>
      <w:r w:rsidRPr="002E3E21">
        <w:rPr>
          <w:b w:val="0"/>
          <w:bCs w:val="0"/>
        </w:rPr>
        <w:t xml:space="preserve"> </w:t>
      </w:r>
      <w:r w:rsidR="005072D5">
        <w:rPr>
          <w:b w:val="0"/>
          <w:bCs w:val="0"/>
        </w:rPr>
        <w:t>purchased</w:t>
      </w:r>
      <w:r w:rsidRPr="002E3E21">
        <w:rPr>
          <w:b w:val="0"/>
          <w:bCs w:val="0"/>
        </w:rPr>
        <w:t xml:space="preserve"> were pharmaceutical products classified as OTC of individual manufacturers. An oral dosage, </w:t>
      </w:r>
      <w:r w:rsidR="005072D5">
        <w:rPr>
          <w:b w:val="0"/>
          <w:bCs w:val="0"/>
        </w:rPr>
        <w:t>license,</w:t>
      </w:r>
      <w:r w:rsidRPr="002E3E21">
        <w:rPr>
          <w:b w:val="0"/>
          <w:bCs w:val="0"/>
        </w:rPr>
        <w:t xml:space="preserve"> and serial numbers have been specified for each product. All samples were coded, </w:t>
      </w:r>
      <w:r w:rsidR="005072D5">
        <w:rPr>
          <w:b w:val="0"/>
          <w:bCs w:val="0"/>
        </w:rPr>
        <w:t>that is,</w:t>
      </w:r>
      <w:r w:rsidRPr="002E3E21">
        <w:rPr>
          <w:b w:val="0"/>
          <w:bCs w:val="0"/>
        </w:rPr>
        <w:t xml:space="preserve"> A, B, C, D, </w:t>
      </w:r>
      <w:r w:rsidR="005072D5">
        <w:rPr>
          <w:b w:val="0"/>
          <w:bCs w:val="0"/>
        </w:rPr>
        <w:t>E,</w:t>
      </w:r>
      <w:r w:rsidRPr="002E3E21">
        <w:rPr>
          <w:b w:val="0"/>
          <w:bCs w:val="0"/>
        </w:rPr>
        <w:t xml:space="preserve"> and F. A summary of the </w:t>
      </w:r>
      <w:r w:rsidR="005072D5">
        <w:rPr>
          <w:b w:val="0"/>
          <w:bCs w:val="0"/>
        </w:rPr>
        <w:t xml:space="preserve">THMPs </w:t>
      </w:r>
      <w:proofErr w:type="spellStart"/>
      <w:r w:rsidR="005072D5">
        <w:rPr>
          <w:b w:val="0"/>
          <w:bCs w:val="0"/>
        </w:rPr>
        <w:t>analyzed</w:t>
      </w:r>
      <w:proofErr w:type="spellEnd"/>
      <w:r w:rsidRPr="002E3E21">
        <w:rPr>
          <w:b w:val="0"/>
          <w:bCs w:val="0"/>
        </w:rPr>
        <w:t xml:space="preserve"> is shown in Table 1.</w:t>
      </w:r>
    </w:p>
    <w:p w14:paraId="5F59DBD4" w14:textId="19C8E3EE" w:rsidR="00A60B7E" w:rsidRDefault="00A60B7E" w:rsidP="00A60B7E">
      <w:pPr>
        <w:pStyle w:val="Paragraph"/>
      </w:pPr>
    </w:p>
    <w:p w14:paraId="4ADCEC8A" w14:textId="186B4420" w:rsidR="002235B0" w:rsidRDefault="002235B0" w:rsidP="002235B0">
      <w:pPr>
        <w:pStyle w:val="Newparagraph"/>
      </w:pPr>
    </w:p>
    <w:p w14:paraId="662138DE" w14:textId="77777777" w:rsidR="002235B0" w:rsidRPr="002235B0" w:rsidRDefault="002235B0" w:rsidP="002235B0">
      <w:pPr>
        <w:pStyle w:val="Newparagraph"/>
      </w:pPr>
    </w:p>
    <w:p w14:paraId="01F5C623" w14:textId="4CBECCDC" w:rsidR="00B816E4" w:rsidRDefault="00B816E4" w:rsidP="00B816E4">
      <w:pPr>
        <w:pStyle w:val="Newparagraph"/>
      </w:pPr>
    </w:p>
    <w:p w14:paraId="4EC5EAD7" w14:textId="19CF1F90" w:rsidR="00B816E4" w:rsidRDefault="00B816E4" w:rsidP="00B816E4">
      <w:pPr>
        <w:pStyle w:val="Newparagraph"/>
      </w:pPr>
    </w:p>
    <w:p w14:paraId="39FA888B" w14:textId="5B54FCEF" w:rsidR="00B816E4" w:rsidRDefault="00B816E4" w:rsidP="00B816E4">
      <w:pPr>
        <w:pStyle w:val="Newparagraph"/>
      </w:pPr>
    </w:p>
    <w:p w14:paraId="66783EC1" w14:textId="2E0C5B77" w:rsidR="00B816E4" w:rsidRDefault="00B816E4" w:rsidP="00B816E4">
      <w:pPr>
        <w:pStyle w:val="Newparagraph"/>
      </w:pPr>
    </w:p>
    <w:p w14:paraId="2B1DA68B" w14:textId="77777777" w:rsidR="00B816E4" w:rsidRPr="00B816E4" w:rsidRDefault="00B816E4" w:rsidP="00B816E4">
      <w:pPr>
        <w:pStyle w:val="Newparagraph"/>
      </w:pPr>
    </w:p>
    <w:p w14:paraId="4341BCEF" w14:textId="77777777" w:rsidR="00220B3A" w:rsidRDefault="00220B3A" w:rsidP="00812237">
      <w:pPr>
        <w:pStyle w:val="Newparagraph"/>
        <w:spacing w:line="240" w:lineRule="auto"/>
        <w:ind w:firstLine="0"/>
        <w:rPr>
          <w:b/>
          <w:bCs/>
        </w:rPr>
      </w:pPr>
    </w:p>
    <w:p w14:paraId="7723DE56" w14:textId="4BF9F9BC" w:rsidR="00812237" w:rsidRDefault="00812237" w:rsidP="00812237">
      <w:pPr>
        <w:pStyle w:val="Newparagraph"/>
        <w:spacing w:line="240" w:lineRule="auto"/>
        <w:ind w:firstLine="0"/>
      </w:pPr>
      <w:r>
        <w:rPr>
          <w:b/>
          <w:bCs/>
        </w:rPr>
        <w:lastRenderedPageBreak/>
        <w:t xml:space="preserve">Table </w:t>
      </w:r>
      <w:r w:rsidR="00220B3A">
        <w:rPr>
          <w:b/>
          <w:bCs/>
        </w:rPr>
        <w:t>S</w:t>
      </w:r>
      <w:r>
        <w:rPr>
          <w:b/>
          <w:bCs/>
        </w:rPr>
        <w:t>1.</w:t>
      </w:r>
      <w:r>
        <w:t xml:space="preserve"> The briefly summary of analysed THMP with </w:t>
      </w:r>
      <w:proofErr w:type="spellStart"/>
      <w:r w:rsidRPr="001D10F4">
        <w:rPr>
          <w:i/>
          <w:iCs/>
        </w:rPr>
        <w:t>Thymi</w:t>
      </w:r>
      <w:proofErr w:type="spellEnd"/>
      <w:r w:rsidRPr="001D10F4">
        <w:rPr>
          <w:i/>
          <w:iCs/>
        </w:rPr>
        <w:t xml:space="preserve"> </w:t>
      </w:r>
      <w:proofErr w:type="spellStart"/>
      <w:r w:rsidRPr="001D10F4">
        <w:rPr>
          <w:i/>
          <w:iCs/>
        </w:rPr>
        <w:t>herba</w:t>
      </w:r>
      <w:proofErr w:type="spellEnd"/>
      <w:r>
        <w:t xml:space="preserve"> (</w:t>
      </w:r>
      <w:r w:rsidRPr="001D10F4">
        <w:rPr>
          <w:i/>
          <w:iCs/>
        </w:rPr>
        <w:t xml:space="preserve">Thymus vulgaris </w:t>
      </w:r>
      <w:r>
        <w:t xml:space="preserve">L. and </w:t>
      </w:r>
      <w:r w:rsidRPr="001D10F4">
        <w:rPr>
          <w:i/>
          <w:iCs/>
        </w:rPr>
        <w:t xml:space="preserve">Thymus </w:t>
      </w:r>
      <w:proofErr w:type="spellStart"/>
      <w:r w:rsidRPr="001D10F4">
        <w:rPr>
          <w:i/>
          <w:iCs/>
        </w:rPr>
        <w:t>zygis</w:t>
      </w:r>
      <w:proofErr w:type="spellEnd"/>
      <w:r>
        <w:t xml:space="preserve"> L.) from Polish pharmacies/drug stores.</w:t>
      </w:r>
    </w:p>
    <w:p w14:paraId="36158C11" w14:textId="77777777" w:rsidR="00812237" w:rsidRDefault="00812237" w:rsidP="00812237">
      <w:pPr>
        <w:pStyle w:val="Newparagraph"/>
        <w:spacing w:line="240" w:lineRule="auto"/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9"/>
        <w:gridCol w:w="473"/>
        <w:gridCol w:w="2923"/>
        <w:gridCol w:w="1702"/>
        <w:gridCol w:w="1276"/>
        <w:gridCol w:w="850"/>
        <w:gridCol w:w="1129"/>
      </w:tblGrid>
      <w:tr w:rsidR="00812237" w14:paraId="30B1550F" w14:textId="77777777" w:rsidTr="00812237">
        <w:trPr>
          <w:jc w:val="center"/>
        </w:trPr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47B5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Sample</w:t>
            </w:r>
            <w:proofErr w:type="spellEnd"/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DB4D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preparation</w:t>
            </w:r>
            <w:proofErr w:type="spellEnd"/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5DB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dosage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34D4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license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93C9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serial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number</w:t>
            </w:r>
            <w:proofErr w:type="spellEnd"/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8014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comment</w:t>
            </w:r>
            <w:proofErr w:type="spellEnd"/>
          </w:p>
        </w:tc>
      </w:tr>
      <w:tr w:rsidR="00812237" w14:paraId="4C8D1D52" w14:textId="77777777" w:rsidTr="00812237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F977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No.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1BFA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Code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262D" w14:textId="77777777" w:rsidR="00812237" w:rsidRDefault="00812237">
            <w:pPr>
              <w:spacing w:after="0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CD1" w14:textId="77777777" w:rsidR="00812237" w:rsidRDefault="00812237">
            <w:pPr>
              <w:spacing w:after="0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2A0D" w14:textId="77777777" w:rsidR="00812237" w:rsidRDefault="00812237">
            <w:pPr>
              <w:spacing w:after="0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238A" w14:textId="77777777" w:rsidR="00812237" w:rsidRDefault="00812237">
            <w:pPr>
              <w:spacing w:after="0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57C7" w14:textId="77777777" w:rsidR="00812237" w:rsidRDefault="00812237">
            <w:pPr>
              <w:spacing w:after="0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812237" w14:paraId="4E6CC23A" w14:textId="77777777" w:rsidTr="00812237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BD3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B195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5E1F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Liquid extract (DER 1:2-2.5), extraction </w:t>
            </w:r>
          </w:p>
          <w:p w14:paraId="29F49F8F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solvent ammonia solution 10% (m/m) : </w:t>
            </w:r>
          </w:p>
          <w:p w14:paraId="2899F1B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glycerol 85% (m/m) : ethanol 90% (V/V) : </w:t>
            </w:r>
          </w:p>
          <w:p w14:paraId="34D9C461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(1:20:70:109)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961B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/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daily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4D9F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8F0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10420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BC5A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OTC</w:t>
            </w:r>
          </w:p>
        </w:tc>
      </w:tr>
      <w:tr w:rsidR="00812237" w14:paraId="76918794" w14:textId="77777777" w:rsidTr="00812237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1CE3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06EF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B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C9D3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Liquid extract (DER 1:2-2.5), extraction </w:t>
            </w:r>
          </w:p>
          <w:p w14:paraId="44669D09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solvent ammonia solution 10% (m/m) : </w:t>
            </w:r>
          </w:p>
          <w:p w14:paraId="2FA3460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glycerol 85% (m/m) : ethanol 90% (V/V) : </w:t>
            </w:r>
          </w:p>
          <w:p w14:paraId="25C13EC6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(1:20:70:109)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46E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10-15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/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daily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A2E9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IL-4528/LN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B244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11020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B60B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OTC</w:t>
            </w:r>
          </w:p>
        </w:tc>
      </w:tr>
      <w:tr w:rsidR="00812237" w14:paraId="51C6E057" w14:textId="77777777" w:rsidTr="00812237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32D3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9E71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C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546E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Liquid extract (DER 1:2-2.5), extraction </w:t>
            </w:r>
          </w:p>
          <w:p w14:paraId="7723D1B4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solvent ammonia solution 10% (m/m) : </w:t>
            </w:r>
          </w:p>
          <w:p w14:paraId="3430ED1D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glycerol 85% (m/m) : ethanol 90% (V/V) : </w:t>
            </w:r>
          </w:p>
          <w:p w14:paraId="54053BCA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(1:20:70:109)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8E72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/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daily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91FE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IL-3695/LN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8A4E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11020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7B53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OTC</w:t>
            </w:r>
          </w:p>
        </w:tc>
      </w:tr>
      <w:tr w:rsidR="00812237" w14:paraId="487FE226" w14:textId="77777777" w:rsidTr="00812237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447E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7C46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D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5DA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Liquid extract (DER 1:1.16), extraction </w:t>
            </w:r>
          </w:p>
          <w:p w14:paraId="5BFEFFBD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solvent glycerol 85% (m/m): ethanol 25% </w:t>
            </w:r>
          </w:p>
          <w:p w14:paraId="60A5E3CE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(m/m) (0.1:2)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302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10-15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/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daily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0BF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IL-0995/LN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00D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20520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3331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OTC</w:t>
            </w:r>
          </w:p>
        </w:tc>
      </w:tr>
      <w:tr w:rsidR="00812237" w14:paraId="47FBC223" w14:textId="77777777" w:rsidTr="00812237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5AD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5.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A0F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F106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Liquid extract (DER 1:2-2.5), extraction </w:t>
            </w:r>
          </w:p>
          <w:p w14:paraId="55C26B37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solvent ammonia solution 10% (m/m) : </w:t>
            </w:r>
          </w:p>
          <w:p w14:paraId="1E97F686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glycerol 85% (m/m) : ethanol 90% (V/V) : </w:t>
            </w:r>
          </w:p>
          <w:p w14:paraId="46D9287A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(1:20:70:109)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BA32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10-15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/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daily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CE4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R/0460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F0AC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40320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A1CB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OTC</w:t>
            </w:r>
          </w:p>
        </w:tc>
      </w:tr>
      <w:tr w:rsidR="00812237" w14:paraId="11034592" w14:textId="77777777" w:rsidTr="00812237">
        <w:trPr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86F1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974E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F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575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Liquid extract (DER 1:1.16), extraction </w:t>
            </w:r>
          </w:p>
          <w:p w14:paraId="362378F2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  <w:lang w:val="en-US"/>
              </w:rPr>
              <w:t xml:space="preserve">solvent glycerol 85% (m/m): ethanol 25% </w:t>
            </w:r>
          </w:p>
          <w:p w14:paraId="09E3B070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(m/m) (0.1:2)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67F7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/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daily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602D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521F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01AF0820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5CCF" w14:textId="77777777" w:rsidR="00812237" w:rsidRDefault="0081223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OTC</w:t>
            </w:r>
          </w:p>
        </w:tc>
      </w:tr>
    </w:tbl>
    <w:p w14:paraId="4590B9BF" w14:textId="77777777" w:rsidR="00812237" w:rsidRDefault="00812237" w:rsidP="00812237">
      <w:pPr>
        <w:pStyle w:val="Nagwek1"/>
        <w:rPr>
          <w:b w:val="0"/>
          <w:bCs w:val="0"/>
        </w:rPr>
      </w:pPr>
      <w:r>
        <w:rPr>
          <w:b w:val="0"/>
          <w:bCs w:val="0"/>
        </w:rPr>
        <w:t>NA – not applicable; OTC – over-the-counter drug.</w:t>
      </w:r>
    </w:p>
    <w:p w14:paraId="4B22FD9F" w14:textId="77777777" w:rsidR="00B816E4" w:rsidRPr="00C51024" w:rsidRDefault="00B816E4" w:rsidP="00A60B7E">
      <w:pPr>
        <w:pStyle w:val="Newparagraph"/>
        <w:ind w:firstLine="0"/>
      </w:pPr>
    </w:p>
    <w:p w14:paraId="33357AAE" w14:textId="4FEE8420" w:rsidR="00A60B7E" w:rsidRDefault="00A60B7E" w:rsidP="00A60B7E">
      <w:pPr>
        <w:pStyle w:val="Newparagraph"/>
        <w:ind w:firstLine="0"/>
      </w:pPr>
    </w:p>
    <w:p w14:paraId="0C4FAFDF" w14:textId="681AB53B" w:rsidR="00220B3A" w:rsidRDefault="00220B3A" w:rsidP="00A60B7E">
      <w:pPr>
        <w:pStyle w:val="Newparagraph"/>
        <w:ind w:firstLine="0"/>
      </w:pPr>
    </w:p>
    <w:p w14:paraId="63A7939D" w14:textId="77777777" w:rsidR="00220B3A" w:rsidRDefault="00220B3A" w:rsidP="00A60B7E">
      <w:pPr>
        <w:pStyle w:val="Newparagraph"/>
        <w:ind w:firstLine="0"/>
      </w:pPr>
    </w:p>
    <w:p w14:paraId="25B03383" w14:textId="2B5A022C" w:rsidR="00A60B7E" w:rsidRPr="00AA2F87" w:rsidRDefault="00A60B7E" w:rsidP="00A60B7E">
      <w:pPr>
        <w:pStyle w:val="Newparagraph"/>
        <w:ind w:firstLine="0"/>
        <w:rPr>
          <w:b/>
          <w:bCs/>
          <w:i/>
          <w:iCs/>
          <w:lang w:val="en-US"/>
        </w:rPr>
      </w:pPr>
      <w:r w:rsidRPr="00AA2F87">
        <w:rPr>
          <w:b/>
          <w:bCs/>
          <w:i/>
          <w:iCs/>
          <w:lang w:val="en-US"/>
        </w:rPr>
        <w:lastRenderedPageBreak/>
        <w:t>Chemicals</w:t>
      </w:r>
    </w:p>
    <w:p w14:paraId="73B4FB4F" w14:textId="19A2D40E" w:rsidR="00A60B7E" w:rsidRPr="00AA2F87" w:rsidRDefault="00A60B7E" w:rsidP="00A60B7E">
      <w:pPr>
        <w:pStyle w:val="Newparagraph"/>
        <w:ind w:firstLine="284"/>
        <w:jc w:val="both"/>
        <w:rPr>
          <w:lang w:val="en-US"/>
        </w:rPr>
      </w:pPr>
      <w:r w:rsidRPr="00AA2F87">
        <w:rPr>
          <w:lang w:val="en-US"/>
        </w:rPr>
        <w:t xml:space="preserve">All applied compounds and certified standard solutions (CSS) </w:t>
      </w:r>
      <w:r w:rsidR="005072D5">
        <w:rPr>
          <w:lang w:val="en-US"/>
        </w:rPr>
        <w:t>for the</w:t>
      </w:r>
      <w:r w:rsidRPr="00AA2F87">
        <w:rPr>
          <w:lang w:val="en-US"/>
        </w:rPr>
        <w:t xml:space="preserve"> calibration strategy were purchased from Merck (Darmstadt, Germany). Ultrapure </w:t>
      </w:r>
      <w:r w:rsidR="005072D5">
        <w:rPr>
          <w:lang w:val="en-US"/>
        </w:rPr>
        <w:t>demineralized</w:t>
      </w:r>
      <w:r w:rsidRPr="00AA2F87">
        <w:rPr>
          <w:lang w:val="en-US"/>
        </w:rPr>
        <w:t xml:space="preserve"> water </w:t>
      </w:r>
      <w:r w:rsidR="00F10B92" w:rsidRPr="00F10B92">
        <w:rPr>
          <w:color w:val="4472C4" w:themeColor="accent1"/>
          <w:lang w:val="en-US"/>
        </w:rPr>
        <w:t xml:space="preserve">from Milli-Q water purification system </w:t>
      </w:r>
      <w:r w:rsidR="005072D5">
        <w:rPr>
          <w:color w:val="4472C4" w:themeColor="accent1"/>
          <w:lang w:val="en-US"/>
        </w:rPr>
        <w:t>(Millipore)</w:t>
      </w:r>
      <w:r w:rsidR="00F10B92" w:rsidRPr="00F10B92">
        <w:rPr>
          <w:lang w:val="en-US"/>
        </w:rPr>
        <w:t xml:space="preserve"> </w:t>
      </w:r>
      <w:r w:rsidRPr="00AA2F87">
        <w:rPr>
          <w:lang w:val="en-US"/>
        </w:rPr>
        <w:t>was used for working solutions. Standard solutions of cadmium (standard solution traceable to SRM from NIST – cadmium(II) nitrate in 0.5 mol·L</w:t>
      </w:r>
      <w:r w:rsidRPr="00D97566">
        <w:rPr>
          <w:vertAlign w:val="superscript"/>
          <w:lang w:val="en-US"/>
        </w:rPr>
        <w:t>−1</w:t>
      </w:r>
      <w:r w:rsidRPr="00AA2F87">
        <w:rPr>
          <w:lang w:val="en-US"/>
        </w:rPr>
        <w:t xml:space="preserve"> HNO</w:t>
      </w:r>
      <w:r w:rsidRPr="00D97566">
        <w:rPr>
          <w:vertAlign w:val="subscript"/>
          <w:lang w:val="en-US"/>
        </w:rPr>
        <w:t>3</w:t>
      </w:r>
      <w:r w:rsidRPr="00AA2F87">
        <w:rPr>
          <w:lang w:val="en-US"/>
        </w:rPr>
        <w:t>, 1.0 g L</w:t>
      </w:r>
      <w:r w:rsidRPr="00D97566">
        <w:rPr>
          <w:vertAlign w:val="superscript"/>
          <w:lang w:val="en-US"/>
        </w:rPr>
        <w:t>-1</w:t>
      </w:r>
      <w:r w:rsidRPr="00AA2F87">
        <w:rPr>
          <w:lang w:val="en-US"/>
        </w:rPr>
        <w:t xml:space="preserve"> Cd </w:t>
      </w:r>
      <w:proofErr w:type="spellStart"/>
      <w:r w:rsidRPr="00AA2F87">
        <w:rPr>
          <w:lang w:val="en-US"/>
        </w:rPr>
        <w:t>CertiPUR</w:t>
      </w:r>
      <w:proofErr w:type="spellEnd"/>
      <w:r w:rsidRPr="00AA2F87">
        <w:rPr>
          <w:lang w:val="en-US"/>
        </w:rPr>
        <w:t xml:space="preserve">®) were made by </w:t>
      </w:r>
      <w:r w:rsidR="005072D5">
        <w:rPr>
          <w:lang w:val="en-US"/>
        </w:rPr>
        <w:t>appropriate CSS</w:t>
      </w:r>
      <w:r w:rsidRPr="00AA2F87">
        <w:rPr>
          <w:lang w:val="en-US"/>
        </w:rPr>
        <w:t xml:space="preserve"> </w:t>
      </w:r>
      <w:r w:rsidR="005072D5">
        <w:rPr>
          <w:lang w:val="en-US"/>
        </w:rPr>
        <w:t>dilution</w:t>
      </w:r>
      <w:r w:rsidRPr="00AA2F87">
        <w:rPr>
          <w:lang w:val="en-US"/>
        </w:rPr>
        <w:t xml:space="preserve"> (1.0 mg·L</w:t>
      </w:r>
      <w:r w:rsidRPr="00A66F93">
        <w:rPr>
          <w:vertAlign w:val="superscript"/>
          <w:lang w:val="en-US"/>
        </w:rPr>
        <w:t>-1</w:t>
      </w:r>
      <w:r w:rsidRPr="00AA2F87">
        <w:rPr>
          <w:lang w:val="en-US"/>
        </w:rPr>
        <w:t xml:space="preserve">). </w:t>
      </w:r>
    </w:p>
    <w:p w14:paraId="0119F3EC" w14:textId="610953B7" w:rsidR="00A60B7E" w:rsidRDefault="00A60B7E" w:rsidP="00A60B7E">
      <w:pPr>
        <w:pStyle w:val="Newparagraph"/>
        <w:ind w:firstLine="0"/>
        <w:jc w:val="both"/>
        <w:rPr>
          <w:lang w:val="en-US"/>
        </w:rPr>
      </w:pPr>
      <w:r w:rsidRPr="00AA2F87">
        <w:rPr>
          <w:lang w:val="en-US"/>
        </w:rPr>
        <w:t xml:space="preserve">The material prepared from </w:t>
      </w:r>
      <w:r w:rsidR="005072D5">
        <w:rPr>
          <w:lang w:val="en-US"/>
        </w:rPr>
        <w:t>lichen was applied</w:t>
      </w:r>
      <w:r w:rsidRPr="00AA2F87">
        <w:rPr>
          <w:lang w:val="en-US"/>
        </w:rPr>
        <w:t xml:space="preserve"> </w:t>
      </w:r>
      <w:r w:rsidR="005072D5">
        <w:rPr>
          <w:lang w:val="en-US"/>
        </w:rPr>
        <w:t>as a</w:t>
      </w:r>
      <w:r w:rsidRPr="00AA2F87">
        <w:rPr>
          <w:lang w:val="en-US"/>
        </w:rPr>
        <w:t xml:space="preserve"> certified reference material (CRM; BCR-482; IRMM, </w:t>
      </w:r>
      <w:r w:rsidR="005072D5">
        <w:rPr>
          <w:lang w:val="en-US"/>
        </w:rPr>
        <w:t>Belgium).</w:t>
      </w:r>
      <w:r w:rsidRPr="00AA2F87">
        <w:rPr>
          <w:lang w:val="en-US"/>
        </w:rPr>
        <w:t xml:space="preserve"> The application of this CRM </w:t>
      </w:r>
      <w:r w:rsidR="005072D5">
        <w:rPr>
          <w:lang w:val="en-US"/>
        </w:rPr>
        <w:t>for the analysis of</w:t>
      </w:r>
      <w:r w:rsidRPr="00AA2F87">
        <w:rPr>
          <w:lang w:val="en-US"/>
        </w:rPr>
        <w:t xml:space="preserve"> </w:t>
      </w:r>
      <w:r w:rsidR="005072D5">
        <w:rPr>
          <w:lang w:val="en-US"/>
        </w:rPr>
        <w:t>Cd</w:t>
      </w:r>
      <w:r w:rsidRPr="00AA2F87">
        <w:rPr>
          <w:lang w:val="en-US"/>
        </w:rPr>
        <w:t xml:space="preserve"> in our study was based on studies published by </w:t>
      </w:r>
      <w:proofErr w:type="spellStart"/>
      <w:r w:rsidR="005072D5">
        <w:rPr>
          <w:lang w:val="en-US"/>
        </w:rPr>
        <w:t>Coufalk</w:t>
      </w:r>
      <w:proofErr w:type="spellEnd"/>
      <w:r w:rsidRPr="00AA2F87">
        <w:rPr>
          <w:lang w:val="en-US"/>
        </w:rPr>
        <w:t xml:space="preserve"> et al. </w:t>
      </w:r>
      <w:r>
        <w:rPr>
          <w:lang w:val="en-US"/>
        </w:rPr>
        <w:t>(</w:t>
      </w:r>
      <w:proofErr w:type="spellStart"/>
      <w:r w:rsidRPr="00AA2F87">
        <w:rPr>
          <w:lang w:val="en-US"/>
        </w:rPr>
        <w:t>Coufalík</w:t>
      </w:r>
      <w:proofErr w:type="spellEnd"/>
      <w:r w:rsidRPr="00AA2F87">
        <w:rPr>
          <w:lang w:val="en-US"/>
        </w:rPr>
        <w:t xml:space="preserve"> et al. </w:t>
      </w:r>
      <w:r>
        <w:rPr>
          <w:lang w:val="en-US"/>
        </w:rPr>
        <w:t>2020)</w:t>
      </w:r>
      <w:r w:rsidRPr="00AA2F87">
        <w:rPr>
          <w:lang w:val="en-US"/>
        </w:rPr>
        <w:t xml:space="preserve">. Argon (5N) was applied as a purge gas </w:t>
      </w:r>
      <w:r w:rsidR="005072D5">
        <w:rPr>
          <w:lang w:val="en-US"/>
        </w:rPr>
        <w:t>in the</w:t>
      </w:r>
      <w:r w:rsidRPr="00AA2F87">
        <w:rPr>
          <w:lang w:val="en-US"/>
        </w:rPr>
        <w:t xml:space="preserve"> quantitative analysis.</w:t>
      </w:r>
    </w:p>
    <w:p w14:paraId="5BAF5FB4" w14:textId="77777777" w:rsidR="00A60B7E" w:rsidRDefault="00A60B7E" w:rsidP="00A60B7E">
      <w:pPr>
        <w:pStyle w:val="Newparagraph"/>
        <w:ind w:firstLine="0"/>
        <w:jc w:val="both"/>
        <w:rPr>
          <w:lang w:val="en-US"/>
        </w:rPr>
      </w:pPr>
    </w:p>
    <w:p w14:paraId="386C15CE" w14:textId="2ED6DF8E" w:rsidR="00A60B7E" w:rsidRPr="00AA2F87" w:rsidRDefault="00A60B7E" w:rsidP="00A60B7E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AA2F87">
        <w:rPr>
          <w:b/>
          <w:bCs/>
          <w:i/>
          <w:iCs/>
          <w:lang w:val="en-US"/>
        </w:rPr>
        <w:t>Preparation step</w:t>
      </w:r>
    </w:p>
    <w:p w14:paraId="258D454C" w14:textId="78BCFE0D" w:rsidR="00A60B7E" w:rsidRDefault="00DF29EB" w:rsidP="00A60B7E">
      <w:pPr>
        <w:pStyle w:val="Newparagraph"/>
        <w:ind w:firstLine="0"/>
        <w:jc w:val="both"/>
        <w:rPr>
          <w:lang w:val="en-US"/>
        </w:rPr>
      </w:pPr>
      <w:r w:rsidRPr="00DF29EB">
        <w:rPr>
          <w:color w:val="4472C4" w:themeColor="accent1"/>
          <w:lang w:val="en-US"/>
        </w:rPr>
        <w:t xml:space="preserve">To minimize any potential impurities from other </w:t>
      </w:r>
      <w:r>
        <w:rPr>
          <w:color w:val="4472C4" w:themeColor="accent1"/>
          <w:lang w:val="en-US"/>
        </w:rPr>
        <w:t xml:space="preserve">possible </w:t>
      </w:r>
      <w:r w:rsidRPr="00DF29EB">
        <w:rPr>
          <w:color w:val="4472C4" w:themeColor="accent1"/>
          <w:lang w:val="en-US"/>
        </w:rPr>
        <w:t xml:space="preserve">sources, </w:t>
      </w:r>
      <w:r w:rsidR="005072D5">
        <w:rPr>
          <w:color w:val="4472C4" w:themeColor="accent1"/>
          <w:lang w:val="en-US"/>
        </w:rPr>
        <w:t>preparation</w:t>
      </w:r>
      <w:r w:rsidRPr="00DF29EB">
        <w:rPr>
          <w:color w:val="4472C4" w:themeColor="accent1"/>
          <w:lang w:val="en-US"/>
        </w:rPr>
        <w:t xml:space="preserve"> w</w:t>
      </w:r>
      <w:r>
        <w:rPr>
          <w:color w:val="4472C4" w:themeColor="accent1"/>
          <w:lang w:val="en-US"/>
        </w:rPr>
        <w:t>as</w:t>
      </w:r>
      <w:r w:rsidRPr="00DF29EB">
        <w:rPr>
          <w:color w:val="4472C4" w:themeColor="accent1"/>
          <w:lang w:val="en-US"/>
        </w:rPr>
        <w:t xml:space="preserve"> carried out in analytical and clinical purity in </w:t>
      </w:r>
      <w:r w:rsidR="005072D5">
        <w:rPr>
          <w:color w:val="4472C4" w:themeColor="accent1"/>
          <w:lang w:val="en-US"/>
        </w:rPr>
        <w:t>the</w:t>
      </w:r>
      <w:r w:rsidRPr="00DF29EB">
        <w:rPr>
          <w:color w:val="4472C4" w:themeColor="accent1"/>
          <w:lang w:val="en-US"/>
        </w:rPr>
        <w:t xml:space="preserve"> </w:t>
      </w:r>
      <w:proofErr w:type="spellStart"/>
      <w:r w:rsidRPr="00DF29EB">
        <w:rPr>
          <w:color w:val="4472C4" w:themeColor="accent1"/>
          <w:lang w:val="en-US"/>
        </w:rPr>
        <w:t>Bioelements</w:t>
      </w:r>
      <w:proofErr w:type="spellEnd"/>
      <w:r w:rsidRPr="00DF29EB">
        <w:rPr>
          <w:color w:val="4472C4" w:themeColor="accent1"/>
          <w:lang w:val="en-US"/>
        </w:rPr>
        <w:t xml:space="preserve"> Laboratory </w:t>
      </w:r>
      <w:r w:rsidR="005072D5">
        <w:rPr>
          <w:color w:val="4472C4" w:themeColor="accent1"/>
          <w:lang w:val="en-US"/>
        </w:rPr>
        <w:t>at the</w:t>
      </w:r>
      <w:r w:rsidRPr="00DF29EB">
        <w:rPr>
          <w:color w:val="4472C4" w:themeColor="accent1"/>
          <w:lang w:val="en-US"/>
        </w:rPr>
        <w:t xml:space="preserve"> Department of Pharmacy, Collegium </w:t>
      </w:r>
      <w:proofErr w:type="spellStart"/>
      <w:r w:rsidRPr="00DF29EB">
        <w:rPr>
          <w:color w:val="4472C4" w:themeColor="accent1"/>
          <w:lang w:val="en-US"/>
        </w:rPr>
        <w:t>Medicum</w:t>
      </w:r>
      <w:proofErr w:type="spellEnd"/>
      <w:r w:rsidRPr="00DF29EB">
        <w:rPr>
          <w:color w:val="4472C4" w:themeColor="accent1"/>
          <w:lang w:val="en-US"/>
        </w:rPr>
        <w:t xml:space="preserve">, Jagiellonian University in Kraków. </w:t>
      </w:r>
      <w:r w:rsidR="00F10B92">
        <w:rPr>
          <w:color w:val="4472C4" w:themeColor="accent1"/>
          <w:lang w:val="en-US"/>
        </w:rPr>
        <w:t>T</w:t>
      </w:r>
      <w:r w:rsidR="00E9631A" w:rsidRPr="00E9631A">
        <w:rPr>
          <w:color w:val="4472C4" w:themeColor="accent1"/>
          <w:lang w:val="en-US"/>
        </w:rPr>
        <w:t>he sampling procedure w</w:t>
      </w:r>
      <w:r w:rsidR="00F10B92">
        <w:rPr>
          <w:color w:val="4472C4" w:themeColor="accent1"/>
          <w:lang w:val="en-US"/>
        </w:rPr>
        <w:t>as</w:t>
      </w:r>
      <w:r w:rsidR="00E9631A" w:rsidRPr="00E9631A">
        <w:rPr>
          <w:color w:val="4472C4" w:themeColor="accent1"/>
          <w:lang w:val="en-US"/>
        </w:rPr>
        <w:t xml:space="preserve"> carried out</w:t>
      </w:r>
      <w:r w:rsidR="00E9631A">
        <w:rPr>
          <w:color w:val="4472C4" w:themeColor="accent1"/>
          <w:lang w:val="en-US"/>
        </w:rPr>
        <w:t xml:space="preserve"> using</w:t>
      </w:r>
      <w:r w:rsidR="00E9631A" w:rsidRPr="00E9631A">
        <w:rPr>
          <w:color w:val="4472C4" w:themeColor="accent1"/>
          <w:lang w:val="en-US"/>
        </w:rPr>
        <w:t xml:space="preserve"> plastic equipment. Laboratory </w:t>
      </w:r>
      <w:r w:rsidR="005072D5">
        <w:rPr>
          <w:color w:val="4472C4" w:themeColor="accent1"/>
          <w:lang w:val="en-US"/>
        </w:rPr>
        <w:t>glassware</w:t>
      </w:r>
      <w:r w:rsidR="00E9631A" w:rsidRPr="00E9631A">
        <w:rPr>
          <w:color w:val="4472C4" w:themeColor="accent1"/>
          <w:lang w:val="en-US"/>
        </w:rPr>
        <w:t xml:space="preserve"> (volumetric flasks, funnels etc.) </w:t>
      </w:r>
      <w:r w:rsidR="005072D5">
        <w:rPr>
          <w:color w:val="4472C4" w:themeColor="accent1"/>
          <w:lang w:val="en-US"/>
        </w:rPr>
        <w:t>was</w:t>
      </w:r>
      <w:r w:rsidR="00E9631A" w:rsidRPr="00E9631A">
        <w:rPr>
          <w:color w:val="4472C4" w:themeColor="accent1"/>
          <w:lang w:val="en-US"/>
        </w:rPr>
        <w:t xml:space="preserve"> kept overnight in a 1</w:t>
      </w:r>
      <w:r w:rsidR="00E9631A">
        <w:rPr>
          <w:color w:val="4472C4" w:themeColor="accent1"/>
          <w:lang w:val="en-US"/>
        </w:rPr>
        <w:t>5</w:t>
      </w:r>
      <w:r w:rsidR="00E9631A" w:rsidRPr="00E9631A">
        <w:rPr>
          <w:color w:val="4472C4" w:themeColor="accent1"/>
          <w:lang w:val="en-US"/>
        </w:rPr>
        <w:t>% nitric acid (HNO</w:t>
      </w:r>
      <w:r w:rsidR="00E9631A" w:rsidRPr="00E9631A">
        <w:rPr>
          <w:color w:val="4472C4" w:themeColor="accent1"/>
          <w:vertAlign w:val="subscript"/>
          <w:lang w:val="en-US"/>
        </w:rPr>
        <w:t>3</w:t>
      </w:r>
      <w:r w:rsidR="00E9631A" w:rsidRPr="00E9631A">
        <w:rPr>
          <w:color w:val="4472C4" w:themeColor="accent1"/>
          <w:lang w:val="en-US"/>
        </w:rPr>
        <w:t xml:space="preserve">) solution and rinsed with </w:t>
      </w:r>
      <w:r w:rsidR="005072D5">
        <w:rPr>
          <w:color w:val="4472C4" w:themeColor="accent1"/>
          <w:lang w:val="en-US"/>
        </w:rPr>
        <w:t>deionized</w:t>
      </w:r>
      <w:r w:rsidR="00E9631A" w:rsidRPr="00E9631A">
        <w:rPr>
          <w:color w:val="4472C4" w:themeColor="accent1"/>
          <w:lang w:val="en-US"/>
        </w:rPr>
        <w:t xml:space="preserve"> water and air dried before </w:t>
      </w:r>
      <w:r w:rsidR="00E9631A">
        <w:rPr>
          <w:color w:val="4472C4" w:themeColor="accent1"/>
          <w:lang w:val="en-US"/>
        </w:rPr>
        <w:t>application</w:t>
      </w:r>
      <w:r w:rsidR="00E9631A" w:rsidRPr="00E9631A">
        <w:rPr>
          <w:color w:val="4472C4" w:themeColor="accent1"/>
          <w:lang w:val="en-US"/>
        </w:rPr>
        <w:t>.</w:t>
      </w:r>
      <w:r w:rsidR="00A60B7E" w:rsidRPr="00E9631A">
        <w:rPr>
          <w:color w:val="4472C4" w:themeColor="accent1"/>
          <w:lang w:val="en-US"/>
        </w:rPr>
        <w:t xml:space="preserve"> </w:t>
      </w:r>
      <w:r w:rsidR="00A60B7E" w:rsidRPr="00AA2F87">
        <w:rPr>
          <w:lang w:val="en-US"/>
        </w:rPr>
        <w:t xml:space="preserve">For the acid digestion </w:t>
      </w:r>
      <w:r w:rsidR="005072D5">
        <w:rPr>
          <w:lang w:val="en-US"/>
        </w:rPr>
        <w:t>of the</w:t>
      </w:r>
      <w:r w:rsidR="00A60B7E" w:rsidRPr="00AA2F87">
        <w:rPr>
          <w:lang w:val="en-US"/>
        </w:rPr>
        <w:t xml:space="preserve"> samples, a microwave oven MDS 2000 (CEM USA) was used. Each investigated THMP was </w:t>
      </w:r>
      <w:proofErr w:type="spellStart"/>
      <w:r w:rsidR="00A60B7E" w:rsidRPr="00AA2F87">
        <w:rPr>
          <w:lang w:val="en-US"/>
        </w:rPr>
        <w:t>homogenised</w:t>
      </w:r>
      <w:proofErr w:type="spellEnd"/>
      <w:r w:rsidR="00A60B7E" w:rsidRPr="00AA2F87">
        <w:rPr>
          <w:lang w:val="en-US"/>
        </w:rPr>
        <w:t xml:space="preserve">. From each sample, 0.5 mL </w:t>
      </w:r>
      <w:r w:rsidR="00315E10" w:rsidRPr="00315E10">
        <w:rPr>
          <w:color w:val="4472C4" w:themeColor="accent1"/>
          <w:lang w:val="en-US"/>
        </w:rPr>
        <w:t>(0.5 mL samples containing ethyl alcohol were taken to dryness before digestion)</w:t>
      </w:r>
      <w:r w:rsidR="00315E10">
        <w:rPr>
          <w:lang w:val="en-US"/>
        </w:rPr>
        <w:t xml:space="preserve"> </w:t>
      </w:r>
      <w:r w:rsidR="00A60B7E" w:rsidRPr="00AA2F87">
        <w:rPr>
          <w:lang w:val="en-US"/>
        </w:rPr>
        <w:t>was measured, poured into Teflon vessels and digested with 5.0 mL of concentrated nitric acid (HNO</w:t>
      </w:r>
      <w:r w:rsidR="00A60B7E" w:rsidRPr="00315E10">
        <w:rPr>
          <w:vertAlign w:val="subscript"/>
          <w:lang w:val="en-US"/>
        </w:rPr>
        <w:t>3</w:t>
      </w:r>
      <w:r w:rsidR="00A60B7E" w:rsidRPr="00AA2F87">
        <w:rPr>
          <w:lang w:val="en-US"/>
        </w:rPr>
        <w:t xml:space="preserve">, 63%). The closed vessels were digested in a </w:t>
      </w:r>
      <w:r w:rsidR="005072D5">
        <w:rPr>
          <w:lang w:val="en-US"/>
        </w:rPr>
        <w:t>microwave</w:t>
      </w:r>
      <w:r w:rsidR="00A60B7E" w:rsidRPr="00AA2F87">
        <w:rPr>
          <w:lang w:val="en-US"/>
        </w:rPr>
        <w:t xml:space="preserve"> after about 1 h. The samples were later cooled </w:t>
      </w:r>
      <w:r w:rsidR="005072D5">
        <w:rPr>
          <w:lang w:val="en-US"/>
        </w:rPr>
        <w:t>to</w:t>
      </w:r>
      <w:r w:rsidR="00A60B7E" w:rsidRPr="00AA2F87">
        <w:rPr>
          <w:lang w:val="en-US"/>
        </w:rPr>
        <w:t xml:space="preserve"> room temperature (25 °C), and the final volume was </w:t>
      </w:r>
      <w:r w:rsidR="005072D5">
        <w:rPr>
          <w:lang w:val="en-US"/>
        </w:rPr>
        <w:t>diluted</w:t>
      </w:r>
      <w:r w:rsidR="00A60B7E" w:rsidRPr="00AA2F87">
        <w:rPr>
          <w:lang w:val="en-US"/>
        </w:rPr>
        <w:t xml:space="preserve"> to</w:t>
      </w:r>
      <w:r w:rsidR="00A60B7E">
        <w:rPr>
          <w:lang w:val="en-US"/>
        </w:rPr>
        <w:t xml:space="preserve"> </w:t>
      </w:r>
      <w:r w:rsidR="00A60B7E" w:rsidRPr="00AA2F87">
        <w:rPr>
          <w:lang w:val="en-US"/>
        </w:rPr>
        <w:t xml:space="preserve">20 </w:t>
      </w:r>
      <w:r w:rsidR="005072D5">
        <w:rPr>
          <w:lang w:val="en-US"/>
        </w:rPr>
        <w:t>ml.</w:t>
      </w:r>
      <w:r w:rsidR="000F6A15">
        <w:rPr>
          <w:lang w:val="en-US"/>
        </w:rPr>
        <w:t xml:space="preserve"> </w:t>
      </w:r>
      <w:r w:rsidR="00A60B7E" w:rsidRPr="00AA2F87">
        <w:rPr>
          <w:lang w:val="en-US"/>
        </w:rPr>
        <w:t xml:space="preserve">The </w:t>
      </w:r>
      <w:r w:rsidR="00A60B7E" w:rsidRPr="00AA2F87">
        <w:rPr>
          <w:lang w:val="en-US"/>
        </w:rPr>
        <w:lastRenderedPageBreak/>
        <w:t xml:space="preserve">samples were cooled and stored in plastic bottles as stock sample solutions until analysis. Five replications were </w:t>
      </w:r>
      <w:r w:rsidR="005072D5">
        <w:rPr>
          <w:lang w:val="en-US"/>
        </w:rPr>
        <w:t>performed</w:t>
      </w:r>
      <w:r w:rsidR="00A60B7E" w:rsidRPr="00AA2F87">
        <w:rPr>
          <w:lang w:val="en-US"/>
        </w:rPr>
        <w:t xml:space="preserve"> for all samples to increase the precision of the results.</w:t>
      </w:r>
    </w:p>
    <w:p w14:paraId="3D60B7BD" w14:textId="77777777" w:rsidR="0087371A" w:rsidRPr="00AA2F87" w:rsidRDefault="0087371A" w:rsidP="00A60B7E">
      <w:pPr>
        <w:pStyle w:val="Newparagraph"/>
        <w:ind w:firstLine="0"/>
        <w:jc w:val="both"/>
        <w:rPr>
          <w:lang w:val="en-US"/>
        </w:rPr>
      </w:pPr>
    </w:p>
    <w:p w14:paraId="4B472C72" w14:textId="7D17B1FB" w:rsidR="00A60B7E" w:rsidRPr="00AA2F87" w:rsidRDefault="005072D5" w:rsidP="00A60B7E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Quantitative</w:t>
      </w:r>
      <w:r w:rsidR="00A60B7E" w:rsidRPr="00AA2F87">
        <w:rPr>
          <w:b/>
          <w:bCs/>
          <w:i/>
          <w:iCs/>
          <w:lang w:val="en-US"/>
        </w:rPr>
        <w:t xml:space="preserve"> analysis of Cd impurities</w:t>
      </w:r>
    </w:p>
    <w:p w14:paraId="0480ECD5" w14:textId="670DA88D" w:rsidR="00A60B7E" w:rsidRDefault="005072D5" w:rsidP="00A60B7E">
      <w:pPr>
        <w:pStyle w:val="Newparagraph"/>
        <w:ind w:firstLine="0"/>
        <w:jc w:val="both"/>
        <w:rPr>
          <w:lang w:val="en-US"/>
        </w:rPr>
      </w:pPr>
      <w:r>
        <w:rPr>
          <w:lang w:val="en-US"/>
        </w:rPr>
        <w:t>Quantitative</w:t>
      </w:r>
      <w:r w:rsidR="00A60B7E" w:rsidRPr="00AA2F87">
        <w:rPr>
          <w:lang w:val="en-US"/>
        </w:rPr>
        <w:t xml:space="preserve"> analysis of cadmium impurities (as total cadmium) in the </w:t>
      </w:r>
      <w:r>
        <w:rPr>
          <w:lang w:val="en-US"/>
        </w:rPr>
        <w:t>analyzed</w:t>
      </w:r>
      <w:r w:rsidR="00A60B7E" w:rsidRPr="00AA2F87">
        <w:rPr>
          <w:lang w:val="en-US"/>
        </w:rPr>
        <w:t xml:space="preserve"> samples was conducted applying an atomic absorption spectrometer (the Perkin-Elmer 5100 ZL atomic absorption spectrometer; Perkin-Elmer, Norwalk, CT, USA) with Zeeman background correction). Electrothermal atomization (ETAAS technique) with </w:t>
      </w:r>
      <w:r>
        <w:rPr>
          <w:lang w:val="en-US"/>
        </w:rPr>
        <w:t>a</w:t>
      </w:r>
      <w:r w:rsidR="00A60B7E" w:rsidRPr="00AA2F87">
        <w:rPr>
          <w:lang w:val="en-US"/>
        </w:rPr>
        <w:t xml:space="preserve"> hollow cathode lamp </w:t>
      </w:r>
      <w:r w:rsidR="00220B3A">
        <w:rPr>
          <w:lang w:val="en-US"/>
        </w:rPr>
        <w:br/>
      </w:r>
      <w:r w:rsidR="00A60B7E" w:rsidRPr="00AA2F87">
        <w:rPr>
          <w:lang w:val="en-US"/>
        </w:rPr>
        <w:t xml:space="preserve">(5.0 mA, 228.8 nm) </w:t>
      </w:r>
      <w:r>
        <w:rPr>
          <w:lang w:val="en-US"/>
        </w:rPr>
        <w:t>was</w:t>
      </w:r>
      <w:r w:rsidR="00A60B7E" w:rsidRPr="00AA2F87">
        <w:rPr>
          <w:lang w:val="en-US"/>
        </w:rPr>
        <w:t xml:space="preserve"> applied. </w:t>
      </w:r>
      <w:r w:rsidR="001E5936" w:rsidRPr="001E5936">
        <w:rPr>
          <w:color w:val="4472C4" w:themeColor="accent1"/>
        </w:rPr>
        <w:t xml:space="preserve">Pyrolytically coated graphite tubes with </w:t>
      </w:r>
      <w:proofErr w:type="spellStart"/>
      <w:r w:rsidR="001E5936" w:rsidRPr="001E5936">
        <w:rPr>
          <w:color w:val="4472C4" w:themeColor="accent1"/>
        </w:rPr>
        <w:t>L’vovs</w:t>
      </w:r>
      <w:proofErr w:type="spellEnd"/>
      <w:r w:rsidR="001E5936" w:rsidRPr="001E5936">
        <w:rPr>
          <w:color w:val="4472C4" w:themeColor="accent1"/>
        </w:rPr>
        <w:t xml:space="preserve"> platforms were applied. </w:t>
      </w:r>
      <w:r w:rsidR="00971D8E" w:rsidRPr="00971D8E">
        <w:rPr>
          <w:color w:val="4472C4" w:themeColor="accent1"/>
          <w:lang w:val="en-US"/>
        </w:rPr>
        <w:t xml:space="preserve">The injection volume was 20 </w:t>
      </w:r>
      <w:proofErr w:type="spellStart"/>
      <w:r w:rsidR="00971D8E" w:rsidRPr="00971D8E">
        <w:rPr>
          <w:color w:val="4472C4" w:themeColor="accent1"/>
          <w:lang w:val="en-US"/>
        </w:rPr>
        <w:t>μL</w:t>
      </w:r>
      <w:proofErr w:type="spellEnd"/>
      <w:r w:rsidR="00971D8E" w:rsidRPr="00971D8E">
        <w:rPr>
          <w:color w:val="4472C4" w:themeColor="accent1"/>
          <w:lang w:val="en-US"/>
        </w:rPr>
        <w:t xml:space="preserve"> and integrated absorbance (peak area) was used for signal evaluation.</w:t>
      </w:r>
      <w:r w:rsidR="00971D8E">
        <w:rPr>
          <w:color w:val="4472C4" w:themeColor="accent1"/>
          <w:lang w:val="en-US"/>
        </w:rPr>
        <w:t xml:space="preserve"> </w:t>
      </w:r>
      <w:r w:rsidR="00A60B7E" w:rsidRPr="00AA2F87">
        <w:rPr>
          <w:lang w:val="en-US"/>
        </w:rPr>
        <w:t>The specially developed time-temperature</w:t>
      </w:r>
      <w:r w:rsidR="00A60B7E">
        <w:rPr>
          <w:lang w:val="en-US"/>
        </w:rPr>
        <w:t xml:space="preserve"> </w:t>
      </w:r>
      <w:proofErr w:type="spellStart"/>
      <w:r w:rsidR="00A60B7E" w:rsidRPr="00AA2F87">
        <w:rPr>
          <w:lang w:val="en-US"/>
        </w:rPr>
        <w:t>programme</w:t>
      </w:r>
      <w:proofErr w:type="spellEnd"/>
      <w:r w:rsidR="00A60B7E" w:rsidRPr="00AA2F87">
        <w:rPr>
          <w:lang w:val="en-US"/>
        </w:rPr>
        <w:t xml:space="preserve"> for Cd quantification was used. The short description </w:t>
      </w:r>
      <w:r>
        <w:rPr>
          <w:lang w:val="en-US"/>
        </w:rPr>
        <w:t>of the</w:t>
      </w:r>
      <w:r w:rsidR="00A60B7E" w:rsidRPr="00AA2F87">
        <w:rPr>
          <w:lang w:val="en-US"/>
        </w:rPr>
        <w:t xml:space="preserve"> experimental parameters for </w:t>
      </w:r>
      <w:r>
        <w:rPr>
          <w:lang w:val="en-US"/>
        </w:rPr>
        <w:t>the</w:t>
      </w:r>
      <w:r w:rsidR="00A60B7E" w:rsidRPr="00AA2F87">
        <w:rPr>
          <w:lang w:val="en-US"/>
        </w:rPr>
        <w:t xml:space="preserve"> quantitative </w:t>
      </w:r>
      <w:r>
        <w:rPr>
          <w:lang w:val="en-US"/>
        </w:rPr>
        <w:t>analysis of Cd</w:t>
      </w:r>
      <w:r w:rsidR="00A60B7E" w:rsidRPr="00AA2F87">
        <w:rPr>
          <w:lang w:val="en-US"/>
        </w:rPr>
        <w:t xml:space="preserve"> is </w:t>
      </w:r>
      <w:r w:rsidR="00930924">
        <w:rPr>
          <w:lang w:val="en-US"/>
        </w:rPr>
        <w:t>shown in Table S2.</w:t>
      </w:r>
    </w:p>
    <w:p w14:paraId="3BFC3FD9" w14:textId="572A3515" w:rsidR="00930924" w:rsidRDefault="00930924" w:rsidP="00A60B7E">
      <w:pPr>
        <w:pStyle w:val="Newparagraph"/>
        <w:ind w:firstLine="0"/>
        <w:jc w:val="both"/>
        <w:rPr>
          <w:lang w:val="en-US"/>
        </w:rPr>
      </w:pPr>
    </w:p>
    <w:p w14:paraId="763015C2" w14:textId="25E2937F" w:rsidR="00930924" w:rsidRDefault="00930924" w:rsidP="00930924">
      <w:pPr>
        <w:pStyle w:val="Newparagraph"/>
        <w:ind w:firstLine="0"/>
        <w:jc w:val="both"/>
      </w:pPr>
      <w:r w:rsidRPr="00930924">
        <w:rPr>
          <w:b/>
          <w:bCs/>
          <w:lang w:val="en-US"/>
        </w:rPr>
        <w:t>Table S2.</w:t>
      </w:r>
      <w:r>
        <w:rPr>
          <w:lang w:val="en-US"/>
        </w:rPr>
        <w:t xml:space="preserve"> </w:t>
      </w:r>
      <w:r w:rsidRPr="00B40012">
        <w:t>The experimental parameters for Cd quantitative analysis.</w:t>
      </w:r>
    </w:p>
    <w:tbl>
      <w:tblPr>
        <w:tblW w:w="5756" w:type="dxa"/>
        <w:tblBorders>
          <w:top w:val="single" w:sz="8" w:space="0" w:color="auto"/>
          <w:bottom w:val="single" w:sz="8" w:space="0" w:color="auto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29"/>
        <w:gridCol w:w="2127"/>
      </w:tblGrid>
      <w:tr w:rsidR="00930924" w:rsidRPr="00B40012" w14:paraId="583BF29E" w14:textId="77777777" w:rsidTr="002061AD">
        <w:tc>
          <w:tcPr>
            <w:tcW w:w="3152" w:type="pct"/>
            <w:shd w:val="clear" w:color="auto" w:fill="auto"/>
            <w:vAlign w:val="center"/>
          </w:tcPr>
          <w:p w14:paraId="2E122F52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14:paraId="0AAE3535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</w:tr>
      <w:tr w:rsidR="00930924" w:rsidRPr="00B40012" w14:paraId="2F39B321" w14:textId="77777777" w:rsidTr="002061AD">
        <w:tc>
          <w:tcPr>
            <w:tcW w:w="3152" w:type="pct"/>
            <w:shd w:val="clear" w:color="auto" w:fill="auto"/>
            <w:vAlign w:val="center"/>
          </w:tcPr>
          <w:p w14:paraId="0ED7725D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Lamp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14:paraId="7A4B20E4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30924" w:rsidRPr="00B40012" w14:paraId="046C8214" w14:textId="77777777" w:rsidTr="002061AD">
        <w:tc>
          <w:tcPr>
            <w:tcW w:w="3152" w:type="pct"/>
            <w:shd w:val="clear" w:color="auto" w:fill="auto"/>
            <w:vAlign w:val="center"/>
          </w:tcPr>
          <w:p w14:paraId="5399CCD5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Wavelength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14:paraId="4E53EB08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tyjcwt" w:colFirst="0" w:colLast="0"/>
            <w:bookmarkEnd w:id="0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228.8</w:t>
            </w:r>
          </w:p>
        </w:tc>
      </w:tr>
      <w:tr w:rsidR="00930924" w:rsidRPr="00B40012" w14:paraId="39BAEAC1" w14:textId="77777777" w:rsidTr="002061AD">
        <w:tc>
          <w:tcPr>
            <w:tcW w:w="3152" w:type="pct"/>
            <w:shd w:val="clear" w:color="auto" w:fill="auto"/>
            <w:vAlign w:val="center"/>
          </w:tcPr>
          <w:p w14:paraId="51C6E985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Optimum working range [µg/kg]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56F96C41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0.02 - 0.20</w:t>
            </w:r>
          </w:p>
        </w:tc>
      </w:tr>
      <w:tr w:rsidR="00930924" w:rsidRPr="00B40012" w14:paraId="26576BEE" w14:textId="77777777" w:rsidTr="002061AD">
        <w:tc>
          <w:tcPr>
            <w:tcW w:w="3152" w:type="pct"/>
            <w:shd w:val="clear" w:color="auto" w:fill="auto"/>
            <w:vAlign w:val="center"/>
          </w:tcPr>
          <w:p w14:paraId="52CCD297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Slit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848" w:type="pct"/>
            <w:shd w:val="clear" w:color="auto" w:fill="auto"/>
            <w:vAlign w:val="center"/>
          </w:tcPr>
          <w:p w14:paraId="16B7DAF3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930924" w:rsidRPr="00B40012" w14:paraId="6C595E9C" w14:textId="77777777" w:rsidTr="002061AD">
        <w:tc>
          <w:tcPr>
            <w:tcW w:w="3152" w:type="pct"/>
            <w:shd w:val="clear" w:color="auto" w:fill="auto"/>
            <w:vAlign w:val="center"/>
          </w:tcPr>
          <w:p w14:paraId="02D4402A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Step 1, °C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23AE2F4D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30924" w:rsidRPr="00B40012" w14:paraId="1B5C9859" w14:textId="77777777" w:rsidTr="002061AD">
        <w:tc>
          <w:tcPr>
            <w:tcW w:w="3152" w:type="pct"/>
            <w:shd w:val="clear" w:color="auto" w:fill="auto"/>
            <w:vAlign w:val="center"/>
          </w:tcPr>
          <w:p w14:paraId="3B8F7C03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Ramp/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0A9543F4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10/30</w:t>
            </w:r>
          </w:p>
        </w:tc>
      </w:tr>
      <w:tr w:rsidR="00930924" w:rsidRPr="00B40012" w14:paraId="7FDE1BAE" w14:textId="77777777" w:rsidTr="002061AD">
        <w:tc>
          <w:tcPr>
            <w:tcW w:w="3152" w:type="pct"/>
            <w:shd w:val="clear" w:color="auto" w:fill="auto"/>
            <w:vAlign w:val="center"/>
          </w:tcPr>
          <w:p w14:paraId="4A4D445B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Step 2, °C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11442F7A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30924" w:rsidRPr="00B40012" w14:paraId="4A828834" w14:textId="77777777" w:rsidTr="002061AD">
        <w:tc>
          <w:tcPr>
            <w:tcW w:w="3152" w:type="pct"/>
            <w:shd w:val="clear" w:color="auto" w:fill="auto"/>
            <w:vAlign w:val="center"/>
          </w:tcPr>
          <w:p w14:paraId="06D8E38A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[mL·min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499DEC64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930924" w:rsidRPr="00B40012" w14:paraId="13B7037A" w14:textId="77777777" w:rsidTr="002061AD">
        <w:tc>
          <w:tcPr>
            <w:tcW w:w="3152" w:type="pct"/>
            <w:shd w:val="clear" w:color="auto" w:fill="auto"/>
            <w:vAlign w:val="center"/>
          </w:tcPr>
          <w:p w14:paraId="0CAFFE7F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Ramp/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56C30C2D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5/20</w:t>
            </w:r>
          </w:p>
        </w:tc>
      </w:tr>
      <w:tr w:rsidR="00930924" w:rsidRPr="00B40012" w14:paraId="4BE569FA" w14:textId="77777777" w:rsidTr="002061AD">
        <w:tc>
          <w:tcPr>
            <w:tcW w:w="3152" w:type="pct"/>
            <w:shd w:val="clear" w:color="auto" w:fill="auto"/>
            <w:vAlign w:val="center"/>
          </w:tcPr>
          <w:p w14:paraId="6F0D0CB9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[mL·min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62AE1841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930924" w:rsidRPr="00B40012" w14:paraId="73DD50A4" w14:textId="77777777" w:rsidTr="002061AD">
        <w:tc>
          <w:tcPr>
            <w:tcW w:w="3152" w:type="pct"/>
            <w:shd w:val="clear" w:color="auto" w:fill="auto"/>
            <w:vAlign w:val="center"/>
          </w:tcPr>
          <w:p w14:paraId="3B1F7908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Step 3, °C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4173003F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930924" w:rsidRPr="00B40012" w14:paraId="4FBEA11F" w14:textId="77777777" w:rsidTr="002061AD">
        <w:tc>
          <w:tcPr>
            <w:tcW w:w="3152" w:type="pct"/>
            <w:shd w:val="clear" w:color="auto" w:fill="auto"/>
            <w:vAlign w:val="center"/>
          </w:tcPr>
          <w:p w14:paraId="0C6BA907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Ramp /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1940385A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0/4</w:t>
            </w:r>
          </w:p>
        </w:tc>
      </w:tr>
      <w:tr w:rsidR="00930924" w:rsidRPr="00B40012" w14:paraId="55D097FB" w14:textId="77777777" w:rsidTr="002061AD">
        <w:tc>
          <w:tcPr>
            <w:tcW w:w="3152" w:type="pct"/>
            <w:shd w:val="clear" w:color="auto" w:fill="auto"/>
            <w:vAlign w:val="center"/>
          </w:tcPr>
          <w:p w14:paraId="5F380697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[mL·min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0361B104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924" w:rsidRPr="00B40012" w14:paraId="2CEC07FA" w14:textId="77777777" w:rsidTr="002061AD">
        <w:tc>
          <w:tcPr>
            <w:tcW w:w="3152" w:type="pct"/>
            <w:shd w:val="clear" w:color="auto" w:fill="auto"/>
            <w:vAlign w:val="center"/>
          </w:tcPr>
          <w:p w14:paraId="3E63547F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Step 4, °C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03AD5D96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30924" w:rsidRPr="00B40012" w14:paraId="2ACDEC79" w14:textId="77777777" w:rsidTr="002061AD">
        <w:tc>
          <w:tcPr>
            <w:tcW w:w="3152" w:type="pct"/>
            <w:shd w:val="clear" w:color="auto" w:fill="auto"/>
            <w:vAlign w:val="center"/>
          </w:tcPr>
          <w:p w14:paraId="75FADC68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Ramp/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33E672C6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930924" w:rsidRPr="00B40012" w14:paraId="59C60986" w14:textId="77777777" w:rsidTr="002061AD">
        <w:tc>
          <w:tcPr>
            <w:tcW w:w="3152" w:type="pct"/>
            <w:shd w:val="clear" w:color="auto" w:fill="auto"/>
            <w:vAlign w:val="center"/>
          </w:tcPr>
          <w:p w14:paraId="38F5AFEE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Gas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[mL·min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446B0C5C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30924" w:rsidRPr="00B40012" w14:paraId="12877BB1" w14:textId="77777777" w:rsidTr="002061AD">
        <w:tc>
          <w:tcPr>
            <w:tcW w:w="3152" w:type="pct"/>
            <w:shd w:val="clear" w:color="auto" w:fill="auto"/>
            <w:vAlign w:val="center"/>
          </w:tcPr>
          <w:p w14:paraId="1D684D4C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L’vov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456A1A80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930924" w:rsidRPr="00B40012" w14:paraId="2F793B07" w14:textId="77777777" w:rsidTr="002061AD">
        <w:tc>
          <w:tcPr>
            <w:tcW w:w="3152" w:type="pct"/>
            <w:shd w:val="clear" w:color="auto" w:fill="auto"/>
            <w:vAlign w:val="center"/>
          </w:tcPr>
          <w:p w14:paraId="72A0EAF2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Integration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22624837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924" w:rsidRPr="00B40012" w14:paraId="1C697DBA" w14:textId="77777777" w:rsidTr="002061AD">
        <w:tc>
          <w:tcPr>
            <w:tcW w:w="3152" w:type="pct"/>
            <w:shd w:val="clear" w:color="auto" w:fill="auto"/>
            <w:vAlign w:val="center"/>
          </w:tcPr>
          <w:p w14:paraId="58DA353D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Injection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, µL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463939C1" w14:textId="77777777" w:rsidR="00930924" w:rsidRPr="00B40012" w:rsidRDefault="00930924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2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14:paraId="5EC847F9" w14:textId="77777777" w:rsidR="00930924" w:rsidRPr="00AA2F87" w:rsidRDefault="00930924" w:rsidP="00A60B7E">
      <w:pPr>
        <w:pStyle w:val="Newparagraph"/>
        <w:ind w:firstLine="0"/>
        <w:jc w:val="both"/>
        <w:rPr>
          <w:lang w:val="en-US"/>
        </w:rPr>
      </w:pPr>
    </w:p>
    <w:p w14:paraId="6301EF9C" w14:textId="5A9AD544" w:rsidR="00A60B7E" w:rsidRPr="00AA2F87" w:rsidRDefault="00A60B7E" w:rsidP="00A60B7E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AA2F87">
        <w:rPr>
          <w:b/>
          <w:bCs/>
          <w:i/>
          <w:iCs/>
          <w:lang w:val="en-US"/>
        </w:rPr>
        <w:t xml:space="preserve">The calibration strategy and quality </w:t>
      </w:r>
      <w:r w:rsidR="005072D5">
        <w:rPr>
          <w:b/>
          <w:bCs/>
          <w:i/>
          <w:iCs/>
          <w:lang w:val="en-US"/>
        </w:rPr>
        <w:t>assessment.</w:t>
      </w:r>
    </w:p>
    <w:p w14:paraId="5C523020" w14:textId="6E3F670E" w:rsidR="00A60B7E" w:rsidRPr="00AA2F87" w:rsidRDefault="005072D5" w:rsidP="00A60B7E">
      <w:pPr>
        <w:pStyle w:val="Newparagraph"/>
        <w:ind w:firstLine="0"/>
        <w:jc w:val="both"/>
        <w:rPr>
          <w:lang w:val="en-US"/>
        </w:rPr>
      </w:pPr>
      <w:r>
        <w:rPr>
          <w:lang w:val="en-US"/>
        </w:rPr>
        <w:t>Calibration</w:t>
      </w:r>
      <w:r w:rsidR="00A60B7E" w:rsidRPr="00AA2F87">
        <w:rPr>
          <w:lang w:val="en-US"/>
        </w:rPr>
        <w:t xml:space="preserve"> solutions were made from 1.0 mg/L Merck. Five working solutions at concentration levels: 0.25, 0.5, 1.0, 2.5, 5.0 μg·L-1 were applied. It should be noted </w:t>
      </w:r>
      <w:proofErr w:type="spellStart"/>
      <w:r w:rsidR="00A60B7E" w:rsidRPr="00AA2F87">
        <w:rPr>
          <w:lang w:val="en-US"/>
        </w:rPr>
        <w:t>that</w:t>
      </w:r>
      <w:r>
        <w:rPr>
          <w:lang w:val="en-US"/>
        </w:rPr>
        <w:t>the</w:t>
      </w:r>
      <w:proofErr w:type="spellEnd"/>
      <w:r w:rsidR="00A60B7E" w:rsidRPr="00AA2F87">
        <w:rPr>
          <w:lang w:val="en-US"/>
        </w:rPr>
        <w:t xml:space="preserve">  correlation coefficient (R, not R2) is a good indicator of the linearity </w:t>
      </w:r>
      <w:r>
        <w:rPr>
          <w:lang w:val="en-US"/>
        </w:rPr>
        <w:t>for the</w:t>
      </w:r>
      <w:r w:rsidR="00A60B7E" w:rsidRPr="00AA2F87">
        <w:rPr>
          <w:lang w:val="en-US"/>
        </w:rPr>
        <w:t xml:space="preserve"> AAS instruments. In our calibration strategy, we obtained a very good value </w:t>
      </w:r>
      <w:r>
        <w:rPr>
          <w:lang w:val="en-US"/>
        </w:rPr>
        <w:t>of the</w:t>
      </w:r>
      <w:r w:rsidR="00A60B7E" w:rsidRPr="00AA2F87">
        <w:rPr>
          <w:lang w:val="en-US"/>
        </w:rPr>
        <w:t xml:space="preserve"> correlation coefficient</w:t>
      </w:r>
      <w:r w:rsidR="00220B3A">
        <w:rPr>
          <w:lang w:val="en-US"/>
        </w:rPr>
        <w:t xml:space="preserve"> </w:t>
      </w:r>
      <w:r w:rsidR="00A60B7E" w:rsidRPr="00AA2F87">
        <w:rPr>
          <w:lang w:val="en-US"/>
        </w:rPr>
        <w:t xml:space="preserve">(R = 0.999). </w:t>
      </w:r>
      <w:r>
        <w:rPr>
          <w:lang w:val="en-US"/>
        </w:rPr>
        <w:t>Recovery</w:t>
      </w:r>
      <w:r w:rsidR="00A60B7E" w:rsidRPr="00AA2F87">
        <w:rPr>
          <w:lang w:val="en-US"/>
        </w:rPr>
        <w:t xml:space="preserve"> was calculated as 99.6%). The obtained limit of detections (LOD) was</w:t>
      </w:r>
      <w:r w:rsidR="00A60B7E">
        <w:rPr>
          <w:lang w:val="en-US"/>
        </w:rPr>
        <w:t xml:space="preserve"> </w:t>
      </w:r>
      <w:r w:rsidR="00A60B7E" w:rsidRPr="00AA2F87">
        <w:rPr>
          <w:lang w:val="en-US"/>
        </w:rPr>
        <w:t xml:space="preserve">0.16 µg/L and the limit of quantification (LOQ) was 0.33 µg/L. </w:t>
      </w:r>
    </w:p>
    <w:p w14:paraId="580D3083" w14:textId="32DA0026" w:rsidR="00A60B7E" w:rsidRPr="00AA2F87" w:rsidRDefault="00A60B7E" w:rsidP="000B098A">
      <w:pPr>
        <w:pStyle w:val="Newparagraph"/>
        <w:jc w:val="both"/>
        <w:rPr>
          <w:lang w:val="en-US"/>
        </w:rPr>
      </w:pPr>
      <w:r w:rsidRPr="00AA2F87">
        <w:rPr>
          <w:lang w:val="en-US"/>
        </w:rPr>
        <w:t xml:space="preserve">In certified reference material ((BCR-482; IRMM, Belgium) the target value </w:t>
      </w:r>
      <w:r w:rsidR="005072D5">
        <w:rPr>
          <w:lang w:val="en-US"/>
        </w:rPr>
        <w:t>was</w:t>
      </w:r>
      <w:r w:rsidRPr="00AA2F87">
        <w:rPr>
          <w:lang w:val="en-US"/>
        </w:rPr>
        <w:t xml:space="preserve"> 0.560 ± 0.020 mg/kg </w:t>
      </w:r>
      <w:r w:rsidR="005072D5">
        <w:rPr>
          <w:lang w:val="en-US"/>
        </w:rPr>
        <w:t>and the</w:t>
      </w:r>
      <w:r w:rsidRPr="00AA2F87">
        <w:rPr>
          <w:lang w:val="en-US"/>
        </w:rPr>
        <w:t xml:space="preserve"> obtained value was 0.527 ± 0.013 mg/kg. </w:t>
      </w:r>
      <w:r w:rsidR="005072D5">
        <w:rPr>
          <w:color w:val="4472C4" w:themeColor="accent1"/>
          <w:lang w:val="en-US"/>
        </w:rPr>
        <w:t>Until</w:t>
      </w:r>
      <w:r w:rsidR="0047091B" w:rsidRPr="0047091B">
        <w:rPr>
          <w:color w:val="4472C4" w:themeColor="accent1"/>
          <w:lang w:val="en-US"/>
        </w:rPr>
        <w:t xml:space="preserve"> analysis, samples of certified reference material were dried at </w:t>
      </w:r>
      <w:r w:rsidR="0047091B">
        <w:rPr>
          <w:color w:val="4472C4" w:themeColor="accent1"/>
          <w:lang w:val="en-US"/>
        </w:rPr>
        <w:t>65</w:t>
      </w:r>
      <w:r w:rsidR="0047091B" w:rsidRPr="0047091B">
        <w:rPr>
          <w:color w:val="4472C4" w:themeColor="accent1"/>
          <w:lang w:val="en-US"/>
        </w:rPr>
        <w:t xml:space="preserve"> </w:t>
      </w:r>
      <w:r w:rsidR="005072D5">
        <w:rPr>
          <w:color w:val="4472C4" w:themeColor="accent1"/>
          <w:lang w:val="en-US"/>
        </w:rPr>
        <w:t>° C</w:t>
      </w:r>
      <w:r w:rsidR="0047091B" w:rsidRPr="0047091B">
        <w:rPr>
          <w:color w:val="4472C4" w:themeColor="accent1"/>
          <w:lang w:val="en-US"/>
        </w:rPr>
        <w:t xml:space="preserve"> for 24 h. After </w:t>
      </w:r>
      <w:r w:rsidR="0047091B">
        <w:rPr>
          <w:color w:val="4472C4" w:themeColor="accent1"/>
          <w:lang w:val="en-US"/>
        </w:rPr>
        <w:t xml:space="preserve">this </w:t>
      </w:r>
      <w:r w:rsidR="005072D5">
        <w:rPr>
          <w:color w:val="4472C4" w:themeColor="accent1"/>
          <w:lang w:val="en-US"/>
        </w:rPr>
        <w:t>step, the</w:t>
      </w:r>
      <w:r w:rsidR="0047091B" w:rsidRPr="0047091B">
        <w:rPr>
          <w:color w:val="4472C4" w:themeColor="accent1"/>
          <w:lang w:val="en-US"/>
        </w:rPr>
        <w:t xml:space="preserve"> samples were transferred for microwave digestion</w:t>
      </w:r>
      <w:r w:rsidR="00F12AA8">
        <w:rPr>
          <w:color w:val="4472C4" w:themeColor="accent1"/>
          <w:lang w:val="en-US"/>
        </w:rPr>
        <w:t xml:space="preserve">. The digestion step </w:t>
      </w:r>
      <w:r w:rsidR="0047091B" w:rsidRPr="0047091B">
        <w:rPr>
          <w:color w:val="4472C4" w:themeColor="accent1"/>
          <w:lang w:val="en-US"/>
        </w:rPr>
        <w:t xml:space="preserve">was carried out </w:t>
      </w:r>
      <w:r w:rsidR="005072D5">
        <w:rPr>
          <w:color w:val="4472C4" w:themeColor="accent1"/>
          <w:lang w:val="en-US"/>
        </w:rPr>
        <w:t>using a</w:t>
      </w:r>
      <w:r w:rsidR="00F12AA8">
        <w:rPr>
          <w:color w:val="4472C4" w:themeColor="accent1"/>
          <w:lang w:val="en-US"/>
        </w:rPr>
        <w:t xml:space="preserve"> </w:t>
      </w:r>
      <w:r w:rsidR="00F12AA8" w:rsidRPr="00F12AA8">
        <w:rPr>
          <w:color w:val="4472C4" w:themeColor="accent1"/>
          <w:lang w:val="en-US"/>
        </w:rPr>
        <w:t xml:space="preserve">programmable microwave oven (model MDS-2000; CEM Corp., Matthews, NC, USA). </w:t>
      </w:r>
      <w:r w:rsidR="00A15A24">
        <w:rPr>
          <w:color w:val="4472C4" w:themeColor="accent1"/>
          <w:lang w:val="en-US"/>
        </w:rPr>
        <w:t>Firstly</w:t>
      </w:r>
      <w:r w:rsidR="00F12AA8" w:rsidRPr="00F12AA8">
        <w:rPr>
          <w:color w:val="4472C4" w:themeColor="accent1"/>
          <w:lang w:val="en-US"/>
        </w:rPr>
        <w:t xml:space="preserve">, 5 mL of </w:t>
      </w:r>
      <w:r w:rsidR="00A15A24">
        <w:rPr>
          <w:color w:val="4472C4" w:themeColor="accent1"/>
          <w:lang w:val="en-US"/>
        </w:rPr>
        <w:t>HNO</w:t>
      </w:r>
      <w:r w:rsidR="00A15A24" w:rsidRPr="00A15A24">
        <w:rPr>
          <w:color w:val="4472C4" w:themeColor="accent1"/>
          <w:vertAlign w:val="subscript"/>
          <w:lang w:val="en-US"/>
        </w:rPr>
        <w:t>3</w:t>
      </w:r>
      <w:r w:rsidR="00F12AA8" w:rsidRPr="00F12AA8">
        <w:rPr>
          <w:color w:val="4472C4" w:themeColor="accent1"/>
          <w:lang w:val="en-US"/>
        </w:rPr>
        <w:t xml:space="preserve"> (concentration 65%) was added to 300 mg of the sample in Teflon reaction vessels and left to predigest for 24 h. In the </w:t>
      </w:r>
      <w:r w:rsidR="00A15A24">
        <w:rPr>
          <w:color w:val="4472C4" w:themeColor="accent1"/>
          <w:lang w:val="en-US"/>
        </w:rPr>
        <w:t>second</w:t>
      </w:r>
      <w:r w:rsidR="00F12AA8" w:rsidRPr="00F12AA8">
        <w:rPr>
          <w:color w:val="4472C4" w:themeColor="accent1"/>
          <w:lang w:val="en-US"/>
        </w:rPr>
        <w:t xml:space="preserve"> step, digestion was carried </w:t>
      </w:r>
      <w:r w:rsidR="005072D5">
        <w:rPr>
          <w:color w:val="4472C4" w:themeColor="accent1"/>
          <w:lang w:val="en-US"/>
        </w:rPr>
        <w:t>out</w:t>
      </w:r>
      <w:r w:rsidR="00F12AA8" w:rsidRPr="00F12AA8">
        <w:rPr>
          <w:color w:val="4472C4" w:themeColor="accent1"/>
          <w:lang w:val="en-US"/>
        </w:rPr>
        <w:t xml:space="preserve"> and after cooling the vessels, the extracts were transferred to </w:t>
      </w:r>
      <w:proofErr w:type="spellStart"/>
      <w:r w:rsidR="00F12AA8" w:rsidRPr="00F12AA8">
        <w:rPr>
          <w:color w:val="4472C4" w:themeColor="accent1"/>
          <w:lang w:val="en-US"/>
        </w:rPr>
        <w:t>Sarstedt</w:t>
      </w:r>
      <w:proofErr w:type="spellEnd"/>
      <w:r w:rsidR="00F12AA8" w:rsidRPr="00F12AA8">
        <w:rPr>
          <w:color w:val="4472C4" w:themeColor="accent1"/>
          <w:lang w:val="en-US"/>
        </w:rPr>
        <w:t xml:space="preserve"> vessels and completed with demineralized water to a total volume of 15 </w:t>
      </w:r>
      <w:r w:rsidR="005072D5">
        <w:rPr>
          <w:color w:val="4472C4" w:themeColor="accent1"/>
          <w:lang w:val="en-US"/>
        </w:rPr>
        <w:t>ml.</w:t>
      </w:r>
      <w:r w:rsidR="00F12AA8" w:rsidRPr="00F12AA8">
        <w:rPr>
          <w:color w:val="4472C4" w:themeColor="accent1"/>
          <w:lang w:val="en-US"/>
        </w:rPr>
        <w:t xml:space="preserve"> </w:t>
      </w:r>
      <w:r w:rsidR="005072D5">
        <w:rPr>
          <w:color w:val="4472C4" w:themeColor="accent1"/>
          <w:lang w:val="en-US"/>
        </w:rPr>
        <w:t>The</w:t>
      </w:r>
      <w:r w:rsidR="00F12AA8" w:rsidRPr="00F12AA8">
        <w:rPr>
          <w:color w:val="4472C4" w:themeColor="accent1"/>
          <w:lang w:val="en-US"/>
        </w:rPr>
        <w:t xml:space="preserve"> prepared were analyzed using a </w:t>
      </w:r>
      <w:r w:rsidR="005072D5">
        <w:rPr>
          <w:color w:val="4472C4" w:themeColor="accent1"/>
          <w:lang w:val="en-US"/>
        </w:rPr>
        <w:t>PerkinElmer</w:t>
      </w:r>
      <w:r w:rsidR="00F12AA8" w:rsidRPr="00F12AA8">
        <w:rPr>
          <w:color w:val="4472C4" w:themeColor="accent1"/>
          <w:lang w:val="en-US"/>
        </w:rPr>
        <w:t xml:space="preserve"> 5100 ZL atomic absorption spectrometer with a graphite furnace</w:t>
      </w:r>
      <w:r w:rsidR="00A15A24">
        <w:rPr>
          <w:color w:val="4472C4" w:themeColor="accent1"/>
          <w:lang w:val="en-US"/>
        </w:rPr>
        <w:t xml:space="preserve"> (in analogy </w:t>
      </w:r>
      <w:r w:rsidR="005072D5">
        <w:rPr>
          <w:color w:val="4472C4" w:themeColor="accent1"/>
          <w:lang w:val="en-US"/>
        </w:rPr>
        <w:t>to determine the impurities</w:t>
      </w:r>
      <w:r w:rsidR="00A15A24">
        <w:rPr>
          <w:color w:val="4472C4" w:themeColor="accent1"/>
          <w:lang w:val="en-US"/>
        </w:rPr>
        <w:t xml:space="preserve"> of </w:t>
      </w:r>
      <w:r w:rsidR="005072D5">
        <w:rPr>
          <w:color w:val="4472C4" w:themeColor="accent1"/>
          <w:lang w:val="en-US"/>
        </w:rPr>
        <w:t>Cd</w:t>
      </w:r>
      <w:r w:rsidR="00A15A24">
        <w:rPr>
          <w:color w:val="4472C4" w:themeColor="accent1"/>
          <w:lang w:val="en-US"/>
        </w:rPr>
        <w:t xml:space="preserve"> in samples)</w:t>
      </w:r>
      <w:r w:rsidR="00F12AA8" w:rsidRPr="00F12AA8">
        <w:rPr>
          <w:color w:val="4472C4" w:themeColor="accent1"/>
          <w:lang w:val="en-US"/>
        </w:rPr>
        <w:t xml:space="preserve">. The analysis of </w:t>
      </w:r>
      <w:r w:rsidR="005072D5">
        <w:rPr>
          <w:color w:val="4472C4" w:themeColor="accent1"/>
          <w:lang w:val="en-US"/>
        </w:rPr>
        <w:t>the</w:t>
      </w:r>
      <w:r w:rsidR="00F12AA8" w:rsidRPr="00F12AA8">
        <w:rPr>
          <w:color w:val="4472C4" w:themeColor="accent1"/>
          <w:lang w:val="en-US"/>
        </w:rPr>
        <w:t xml:space="preserve"> certified reference material was helpful </w:t>
      </w:r>
      <w:r w:rsidR="005072D5">
        <w:rPr>
          <w:color w:val="4472C4" w:themeColor="accent1"/>
          <w:lang w:val="en-US"/>
        </w:rPr>
        <w:t>to assess</w:t>
      </w:r>
      <w:r w:rsidR="00F12AA8" w:rsidRPr="00F12AA8">
        <w:rPr>
          <w:color w:val="4472C4" w:themeColor="accent1"/>
          <w:lang w:val="en-US"/>
        </w:rPr>
        <w:t xml:space="preserve"> </w:t>
      </w:r>
      <w:r w:rsidR="00F12AA8" w:rsidRPr="00F12AA8">
        <w:rPr>
          <w:color w:val="4472C4" w:themeColor="accent1"/>
          <w:lang w:val="en-US"/>
        </w:rPr>
        <w:lastRenderedPageBreak/>
        <w:t xml:space="preserve">the traceability of the results. </w:t>
      </w:r>
      <w:r w:rsidR="005072D5">
        <w:rPr>
          <w:lang w:val="en-US"/>
        </w:rPr>
        <w:t>Quality</w:t>
      </w:r>
      <w:r w:rsidRPr="00AA2F87">
        <w:rPr>
          <w:lang w:val="en-US"/>
        </w:rPr>
        <w:t xml:space="preserve"> assessment was also confirmed by </w:t>
      </w:r>
      <w:r w:rsidR="001E5936" w:rsidRPr="001E5936">
        <w:rPr>
          <w:color w:val="4472C4" w:themeColor="accent1"/>
          <w:lang w:val="en-US"/>
        </w:rPr>
        <w:t xml:space="preserve">our </w:t>
      </w:r>
      <w:r>
        <w:rPr>
          <w:lang w:val="en-US"/>
        </w:rPr>
        <w:t>previously published studies with</w:t>
      </w:r>
      <w:r w:rsidRPr="00AA2F87">
        <w:rPr>
          <w:lang w:val="en-US"/>
        </w:rPr>
        <w:t xml:space="preserve"> similar methodology and apparatus </w:t>
      </w:r>
      <w:r>
        <w:rPr>
          <w:lang w:val="en-US"/>
        </w:rPr>
        <w:t>(Jurowski et al. 2019 a), (Jurowski et al. 2019 b) and (Jurowski et al. 2022).</w:t>
      </w:r>
    </w:p>
    <w:p w14:paraId="0D0AF938" w14:textId="77777777" w:rsidR="00A60B7E" w:rsidRDefault="00A60B7E" w:rsidP="00A60B7E">
      <w:pPr>
        <w:pStyle w:val="Newparagraph"/>
        <w:ind w:firstLine="0"/>
        <w:jc w:val="both"/>
        <w:rPr>
          <w:lang w:val="en-US"/>
        </w:rPr>
      </w:pPr>
    </w:p>
    <w:p w14:paraId="790794D5" w14:textId="0F29FC13" w:rsidR="00A60B7E" w:rsidRPr="005369EE" w:rsidRDefault="00A60B7E" w:rsidP="00A60B7E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5369EE">
        <w:rPr>
          <w:b/>
          <w:bCs/>
          <w:i/>
          <w:iCs/>
          <w:lang w:val="en-US"/>
        </w:rPr>
        <w:t xml:space="preserve">Data </w:t>
      </w:r>
      <w:r w:rsidR="005072D5">
        <w:rPr>
          <w:b/>
          <w:bCs/>
          <w:i/>
          <w:iCs/>
          <w:lang w:val="en-US"/>
        </w:rPr>
        <w:t>Analysis / Statistics</w:t>
      </w:r>
    </w:p>
    <w:p w14:paraId="57E56A54" w14:textId="79039410" w:rsidR="006E34AA" w:rsidRPr="006E34AA" w:rsidRDefault="00A60B7E" w:rsidP="006E34AA">
      <w:pPr>
        <w:pStyle w:val="Newparagraph"/>
        <w:ind w:firstLine="0"/>
        <w:jc w:val="both"/>
        <w:rPr>
          <w:lang w:val="en-US"/>
        </w:rPr>
      </w:pPr>
      <w:r w:rsidRPr="00AA2F87">
        <w:rPr>
          <w:lang w:val="en-US"/>
        </w:rPr>
        <w:t xml:space="preserve">The results of five independent replicates were expressed </w:t>
      </w:r>
      <w:r w:rsidR="005072D5">
        <w:rPr>
          <w:lang w:val="en-US"/>
        </w:rPr>
        <w:t>as</w:t>
      </w:r>
      <w:r w:rsidRPr="00AA2F87">
        <w:rPr>
          <w:lang w:val="en-US"/>
        </w:rPr>
        <w:t xml:space="preserve"> mean ± standard deviation. </w:t>
      </w:r>
      <w:r w:rsidR="005072D5">
        <w:rPr>
          <w:lang w:val="en-US"/>
        </w:rPr>
        <w:t>The</w:t>
      </w:r>
      <w:r w:rsidRPr="00AA2F87">
        <w:rPr>
          <w:lang w:val="en-US"/>
        </w:rPr>
        <w:t xml:space="preserve"> results were </w:t>
      </w:r>
      <w:proofErr w:type="spellStart"/>
      <w:r w:rsidRPr="00AA2F87">
        <w:rPr>
          <w:lang w:val="en-US"/>
        </w:rPr>
        <w:t>analysed</w:t>
      </w:r>
      <w:proofErr w:type="spellEnd"/>
      <w:r w:rsidRPr="00AA2F87">
        <w:rPr>
          <w:lang w:val="en-US"/>
        </w:rPr>
        <w:t xml:space="preserve"> using the statistical software: Excel 2010 (Microsoft Office) and Origin 2021 Pro</w:t>
      </w:r>
      <w:r w:rsidR="00851B5F">
        <w:rPr>
          <w:lang w:val="en-US"/>
        </w:rPr>
        <w:t xml:space="preserve"> </w:t>
      </w:r>
      <w:r w:rsidR="00851B5F" w:rsidRPr="00851B5F">
        <w:rPr>
          <w:color w:val="4472C4" w:themeColor="accent1"/>
        </w:rPr>
        <w:t>the Ultimate Software for Graphing and Analysis (</w:t>
      </w:r>
      <w:proofErr w:type="spellStart"/>
      <w:r w:rsidR="00851B5F" w:rsidRPr="00851B5F">
        <w:rPr>
          <w:color w:val="4472C4" w:themeColor="accent1"/>
        </w:rPr>
        <w:t>OriginLab</w:t>
      </w:r>
      <w:proofErr w:type="spellEnd"/>
      <w:r w:rsidR="00851B5F" w:rsidRPr="00851B5F">
        <w:rPr>
          <w:color w:val="4472C4" w:themeColor="accent1"/>
        </w:rPr>
        <w:t xml:space="preserve"> Corporation, One Roundhouse Plaza, Suite 303, Northampton, MA 01060, USA) licensed </w:t>
      </w:r>
      <w:r w:rsidR="005072D5">
        <w:rPr>
          <w:color w:val="4472C4" w:themeColor="accent1"/>
        </w:rPr>
        <w:t>by</w:t>
      </w:r>
      <w:r w:rsidR="00851B5F" w:rsidRPr="00851B5F">
        <w:rPr>
          <w:color w:val="4472C4" w:themeColor="accent1"/>
        </w:rPr>
        <w:t xml:space="preserve"> Jagiellonian University in Krakow</w:t>
      </w:r>
      <w:r w:rsidRPr="00AA2F87">
        <w:rPr>
          <w:lang w:val="en-US"/>
        </w:rPr>
        <w:t>.</w:t>
      </w:r>
      <w:r w:rsidR="006E34AA">
        <w:rPr>
          <w:lang w:val="en-US"/>
        </w:rPr>
        <w:t xml:space="preserve"> </w:t>
      </w:r>
      <w:r w:rsidR="00851B5F" w:rsidRPr="00851B5F">
        <w:rPr>
          <w:color w:val="4472C4" w:themeColor="accent1"/>
        </w:rPr>
        <w:t xml:space="preserve">Data processing, all basic descriptive calculations, compilation, and storage </w:t>
      </w:r>
      <w:r w:rsidR="005072D5">
        <w:rPr>
          <w:color w:val="4472C4" w:themeColor="accent1"/>
        </w:rPr>
        <w:t>of the data</w:t>
      </w:r>
      <w:r w:rsidR="00851B5F" w:rsidRPr="00851B5F">
        <w:rPr>
          <w:color w:val="4472C4" w:themeColor="accent1"/>
        </w:rPr>
        <w:t xml:space="preserve"> obtained </w:t>
      </w:r>
      <w:r w:rsidR="005072D5">
        <w:rPr>
          <w:color w:val="4472C4" w:themeColor="accent1"/>
        </w:rPr>
        <w:t>in the</w:t>
      </w:r>
      <w:r w:rsidR="00851B5F" w:rsidRPr="00851B5F">
        <w:rPr>
          <w:color w:val="4472C4" w:themeColor="accent1"/>
        </w:rPr>
        <w:t xml:space="preserve"> laboratory stage were performed using Excel 2010 (Microsoft Office).</w:t>
      </w:r>
      <w:r w:rsidR="00851B5F">
        <w:t xml:space="preserve"> </w:t>
      </w:r>
      <w:r w:rsidR="005072D5">
        <w:t>The results</w:t>
      </w:r>
      <w:r w:rsidR="00851B5F" w:rsidRPr="00851B5F">
        <w:t xml:space="preserve"> </w:t>
      </w:r>
      <w:r w:rsidR="005072D5">
        <w:t>obtained</w:t>
      </w:r>
      <w:r w:rsidR="00851B5F" w:rsidRPr="00851B5F">
        <w:t xml:space="preserve"> were analysed applying Origin 2021 Pro. </w:t>
      </w:r>
      <w:r w:rsidR="006E34AA" w:rsidRPr="00D444C7">
        <w:t xml:space="preserve">The descriptive statistics </w:t>
      </w:r>
      <w:r w:rsidR="005072D5">
        <w:t>of the</w:t>
      </w:r>
      <w:r w:rsidR="006E34AA" w:rsidRPr="00D444C7">
        <w:t xml:space="preserve"> Cd impurities </w:t>
      </w:r>
      <w:r w:rsidR="005072D5">
        <w:t>in the</w:t>
      </w:r>
      <w:r w:rsidR="006E34AA" w:rsidRPr="00D444C7">
        <w:t xml:space="preserve"> THMP products (</w:t>
      </w:r>
      <w:proofErr w:type="spellStart"/>
      <w:r w:rsidR="006E34AA" w:rsidRPr="00D444C7">
        <w:t>μg</w:t>
      </w:r>
      <w:proofErr w:type="spellEnd"/>
      <w:r w:rsidR="006E34AA" w:rsidRPr="00D444C7">
        <w:t xml:space="preserve"> per L of THMP)</w:t>
      </w:r>
      <w:r w:rsidR="00672880">
        <w:t xml:space="preserve"> </w:t>
      </w:r>
      <w:r w:rsidR="00672880" w:rsidRPr="00672880">
        <w:rPr>
          <w:color w:val="4472C4" w:themeColor="accent1"/>
        </w:rPr>
        <w:t xml:space="preserve">were </w:t>
      </w:r>
      <w:r w:rsidR="005072D5">
        <w:rPr>
          <w:color w:val="4472C4" w:themeColor="accent1"/>
        </w:rPr>
        <w:t>performed</w:t>
      </w:r>
      <w:r w:rsidR="00672880" w:rsidRPr="00672880">
        <w:rPr>
          <w:color w:val="4472C4" w:themeColor="accent1"/>
        </w:rPr>
        <w:t xml:space="preserve"> applying Origin 2021 </w:t>
      </w:r>
      <w:r w:rsidR="005072D5">
        <w:rPr>
          <w:color w:val="4472C4" w:themeColor="accent1"/>
        </w:rPr>
        <w:t>Pro</w:t>
      </w:r>
      <w:r w:rsidR="00D363C9">
        <w:t xml:space="preserve"> </w:t>
      </w:r>
      <w:r w:rsidR="00672880">
        <w:t xml:space="preserve">- </w:t>
      </w:r>
      <w:r w:rsidR="00D363C9">
        <w:t>Table S3.</w:t>
      </w:r>
    </w:p>
    <w:p w14:paraId="172D09BC" w14:textId="77777777" w:rsidR="006E34AA" w:rsidRPr="006E34AA" w:rsidRDefault="006E34AA" w:rsidP="006E34AA">
      <w:pPr>
        <w:rPr>
          <w:lang w:val="en-GB"/>
        </w:rPr>
      </w:pPr>
    </w:p>
    <w:p w14:paraId="35DB3662" w14:textId="097061F1" w:rsidR="006E34AA" w:rsidRPr="00D444C7" w:rsidRDefault="006E34AA" w:rsidP="006E34AA">
      <w:pPr>
        <w:pStyle w:val="Newparagraph"/>
        <w:ind w:firstLine="0"/>
        <w:jc w:val="both"/>
      </w:pPr>
      <w:r w:rsidRPr="00D444C7">
        <w:rPr>
          <w:b/>
          <w:bCs/>
        </w:rPr>
        <w:t xml:space="preserve">Table </w:t>
      </w:r>
      <w:r w:rsidR="00D363C9">
        <w:rPr>
          <w:b/>
          <w:bCs/>
        </w:rPr>
        <w:t>S3</w:t>
      </w:r>
      <w:r w:rsidRPr="00D444C7">
        <w:rPr>
          <w:b/>
          <w:bCs/>
        </w:rPr>
        <w:t>.</w:t>
      </w:r>
      <w:r w:rsidRPr="00D444C7">
        <w:t xml:space="preserve"> The descriptive statistics of Cd impurities in THMP products </w:t>
      </w:r>
      <w:r w:rsidRPr="00D444C7">
        <w:br/>
        <w:t>(</w:t>
      </w:r>
      <w:proofErr w:type="spellStart"/>
      <w:r w:rsidRPr="00D444C7">
        <w:t>μg</w:t>
      </w:r>
      <w:proofErr w:type="spellEnd"/>
      <w:r w:rsidRPr="00D444C7">
        <w:t xml:space="preserve"> per L of THMP).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33"/>
        <w:gridCol w:w="1276"/>
        <w:gridCol w:w="1276"/>
        <w:gridCol w:w="993"/>
        <w:gridCol w:w="1856"/>
        <w:gridCol w:w="1022"/>
        <w:gridCol w:w="1506"/>
      </w:tblGrid>
      <w:tr w:rsidR="006E34AA" w:rsidRPr="00D444C7" w14:paraId="5AA1BECE" w14:textId="77777777" w:rsidTr="002061AD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35C21336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parameter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7167CEA3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Minimum, </w:t>
            </w: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μg</w:t>
            </w:r>
            <w:proofErr w:type="spellEnd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/L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66F431E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Maximum, </w:t>
            </w: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μg</w:t>
            </w:r>
            <w:proofErr w:type="spellEnd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/L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56EB222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Mean</w:t>
            </w:r>
            <w:proofErr w:type="spellEnd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, </w:t>
            </w: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μg</w:t>
            </w:r>
            <w:proofErr w:type="spellEnd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/L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62B4B331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standard </w:t>
            </w: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deviation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14:paraId="494B4DC5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Kurtosis</w:t>
            </w:r>
            <w:proofErr w:type="spellEnd"/>
          </w:p>
        </w:tc>
        <w:tc>
          <w:tcPr>
            <w:tcW w:w="831" w:type="pct"/>
            <w:shd w:val="clear" w:color="auto" w:fill="auto"/>
            <w:vAlign w:val="center"/>
          </w:tcPr>
          <w:p w14:paraId="68F358C7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D444C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Skewness</w:t>
            </w:r>
            <w:proofErr w:type="spellEnd"/>
          </w:p>
        </w:tc>
      </w:tr>
      <w:tr w:rsidR="006E34AA" w:rsidRPr="00D444C7" w14:paraId="5F313DD5" w14:textId="77777777" w:rsidTr="002061AD">
        <w:trPr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0A21CFFD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D444C7">
              <w:rPr>
                <w:rFonts w:ascii="Times New Roman" w:hAnsi="Times New Roman" w:cs="Times New Roman"/>
                <w:sz w:val="18"/>
                <w:szCs w:val="16"/>
              </w:rPr>
              <w:t>value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4E34C6A5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sz w:val="18"/>
                <w:szCs w:val="16"/>
              </w:rPr>
              <w:t>0.11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9B58873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sz w:val="18"/>
                <w:szCs w:val="16"/>
              </w:rPr>
              <w:t>1.29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4407BD2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sz w:val="18"/>
                <w:szCs w:val="16"/>
              </w:rPr>
              <w:t>0.61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58DAEB2C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sz w:val="18"/>
                <w:szCs w:val="16"/>
              </w:rPr>
              <w:t>0.08 – 0.22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17CE68D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sz w:val="18"/>
                <w:szCs w:val="16"/>
              </w:rPr>
              <w:t>2.75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FA59AD3" w14:textId="77777777" w:rsidR="006E34AA" w:rsidRPr="00D444C7" w:rsidRDefault="006E34AA" w:rsidP="002061AD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D444C7">
              <w:rPr>
                <w:rFonts w:ascii="Times New Roman" w:hAnsi="Times New Roman" w:cs="Times New Roman"/>
                <w:sz w:val="18"/>
                <w:szCs w:val="16"/>
              </w:rPr>
              <w:t>1.63</w:t>
            </w:r>
          </w:p>
        </w:tc>
      </w:tr>
    </w:tbl>
    <w:p w14:paraId="08D469A4" w14:textId="77777777" w:rsidR="006E34AA" w:rsidRDefault="006E34AA" w:rsidP="00A60B7E">
      <w:pPr>
        <w:pStyle w:val="Newparagraph"/>
        <w:ind w:firstLine="0"/>
        <w:jc w:val="both"/>
        <w:rPr>
          <w:lang w:val="en-US"/>
        </w:rPr>
      </w:pPr>
    </w:p>
    <w:p w14:paraId="24C11ABD" w14:textId="77777777" w:rsidR="00672880" w:rsidRDefault="00672880" w:rsidP="00A60B7E">
      <w:pPr>
        <w:pStyle w:val="Newparagraph"/>
        <w:ind w:firstLine="0"/>
        <w:jc w:val="both"/>
        <w:rPr>
          <w:b/>
          <w:bCs/>
          <w:i/>
          <w:iCs/>
          <w:lang w:val="en-US"/>
        </w:rPr>
      </w:pPr>
    </w:p>
    <w:p w14:paraId="63557144" w14:textId="21F3E5BC" w:rsidR="00A60B7E" w:rsidRPr="005369EE" w:rsidRDefault="00A60B7E" w:rsidP="00A60B7E">
      <w:pPr>
        <w:pStyle w:val="Newparagraph"/>
        <w:ind w:firstLine="0"/>
        <w:jc w:val="both"/>
        <w:rPr>
          <w:b/>
          <w:bCs/>
          <w:i/>
          <w:iCs/>
          <w:lang w:val="en-US"/>
        </w:rPr>
      </w:pPr>
      <w:r w:rsidRPr="005369EE">
        <w:rPr>
          <w:b/>
          <w:bCs/>
          <w:i/>
          <w:iCs/>
          <w:lang w:val="en-US"/>
        </w:rPr>
        <w:t>The applied toxicological risk assessment (TRA) strategy</w:t>
      </w:r>
    </w:p>
    <w:p w14:paraId="5FE73284" w14:textId="57F550C3" w:rsidR="00A60B7E" w:rsidRPr="00AA2F87" w:rsidRDefault="00A60B7E" w:rsidP="00A60B7E">
      <w:pPr>
        <w:pStyle w:val="Newparagraph"/>
        <w:ind w:firstLine="0"/>
        <w:jc w:val="both"/>
        <w:rPr>
          <w:lang w:val="en-US"/>
        </w:rPr>
      </w:pPr>
      <w:r w:rsidRPr="00AA2F87">
        <w:rPr>
          <w:lang w:val="en-US"/>
        </w:rPr>
        <w:t xml:space="preserve">The comprehensive TRA strategy for </w:t>
      </w:r>
      <w:r>
        <w:rPr>
          <w:lang w:val="en-US"/>
        </w:rPr>
        <w:t>Cd impurities</w:t>
      </w:r>
      <w:r w:rsidRPr="00AA2F87">
        <w:rPr>
          <w:lang w:val="en-US"/>
        </w:rPr>
        <w:t xml:space="preserve"> in final pharmaceutical products should</w:t>
      </w:r>
      <w:r>
        <w:rPr>
          <w:lang w:val="en-US"/>
        </w:rPr>
        <w:t xml:space="preserve"> </w:t>
      </w:r>
      <w:r w:rsidRPr="00AA2F87">
        <w:rPr>
          <w:lang w:val="en-US"/>
        </w:rPr>
        <w:t xml:space="preserve">include reliable sources and reliable benchmarks. For this purpose, very useful seems to be sourced </w:t>
      </w:r>
      <w:r w:rsidR="005072D5">
        <w:rPr>
          <w:lang w:val="en-US"/>
        </w:rPr>
        <w:t>from the</w:t>
      </w:r>
      <w:r w:rsidRPr="00AA2F87">
        <w:rPr>
          <w:lang w:val="en-US"/>
        </w:rPr>
        <w:t xml:space="preserve"> European Medicines Agency, i.e. ICH Q3D (R1) guideline on elemental impurities (International Council for Harmonization of Technical Requirements for </w:t>
      </w:r>
      <w:r w:rsidRPr="00AA2F87">
        <w:rPr>
          <w:lang w:val="en-US"/>
        </w:rPr>
        <w:lastRenderedPageBreak/>
        <w:t>Pharmaceuticals for Human Use)</w:t>
      </w:r>
      <w:r>
        <w:rPr>
          <w:lang w:val="en-US"/>
        </w:rPr>
        <w:t xml:space="preserve"> (</w:t>
      </w:r>
      <w:r w:rsidRPr="00C17133">
        <w:rPr>
          <w:lang w:val="en-US"/>
        </w:rPr>
        <w:t>ICH guideline Q3D (R1)</w:t>
      </w:r>
      <w:r>
        <w:rPr>
          <w:lang w:val="en-US"/>
        </w:rPr>
        <w:t>, 2019)</w:t>
      </w:r>
      <w:r w:rsidRPr="00AA2F87">
        <w:rPr>
          <w:lang w:val="en-US"/>
        </w:rPr>
        <w:t xml:space="preserve">. </w:t>
      </w:r>
      <w:r w:rsidR="005072D5">
        <w:rPr>
          <w:lang w:val="en-US"/>
        </w:rPr>
        <w:t>Therefore,</w:t>
      </w:r>
      <w:r w:rsidRPr="00AA2F87">
        <w:rPr>
          <w:lang w:val="en-US"/>
        </w:rPr>
        <w:t xml:space="preserve"> the applied TRA strategy consists of three crucial steps in analogy </w:t>
      </w:r>
      <w:r w:rsidR="005072D5">
        <w:rPr>
          <w:lang w:val="en-US"/>
        </w:rPr>
        <w:t>to the elements impurities</w:t>
      </w:r>
      <w:r w:rsidRPr="00AA2F87">
        <w:rPr>
          <w:lang w:val="en-US"/>
        </w:rPr>
        <w:t xml:space="preserve"> </w:t>
      </w:r>
      <w:r w:rsidR="005072D5">
        <w:rPr>
          <w:lang w:val="en-US"/>
        </w:rPr>
        <w:t>proposed</w:t>
      </w:r>
      <w:r w:rsidR="00803698">
        <w:rPr>
          <w:lang w:val="en-US"/>
        </w:rPr>
        <w:t xml:space="preserve"> </w:t>
      </w:r>
      <w:r w:rsidRPr="00AA2F87">
        <w:rPr>
          <w:lang w:val="en-US"/>
        </w:rPr>
        <w:t xml:space="preserve">by </w:t>
      </w:r>
      <w:r w:rsidR="00803698">
        <w:rPr>
          <w:lang w:val="en-US"/>
        </w:rPr>
        <w:br/>
      </w:r>
      <w:r w:rsidRPr="00AA2F87">
        <w:rPr>
          <w:lang w:val="en-US"/>
        </w:rPr>
        <w:t xml:space="preserve">ICH Q3D (R1) guideline on elemental impurities </w:t>
      </w:r>
      <w:r>
        <w:rPr>
          <w:lang w:val="en-US"/>
        </w:rPr>
        <w:t>(</w:t>
      </w:r>
      <w:r w:rsidRPr="00C17133">
        <w:rPr>
          <w:lang w:val="en-US"/>
        </w:rPr>
        <w:t>ICH guideline Q3D (R1)</w:t>
      </w:r>
      <w:r>
        <w:rPr>
          <w:lang w:val="en-US"/>
        </w:rPr>
        <w:t>, 2019):</w:t>
      </w:r>
    </w:p>
    <w:p w14:paraId="4389D29C" w14:textId="4C4CA056" w:rsidR="00A60B7E" w:rsidRPr="00AA2F87" w:rsidRDefault="005072D5" w:rsidP="00A60B7E">
      <w:pPr>
        <w:pStyle w:val="New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profile of</w:t>
      </w:r>
      <w:r w:rsidR="00A60B7E" w:rsidRPr="00AA2F87">
        <w:rPr>
          <w:lang w:val="en-US"/>
        </w:rPr>
        <w:t xml:space="preserve"> cadmium </w:t>
      </w:r>
      <w:r>
        <w:rPr>
          <w:lang w:val="en-US"/>
        </w:rPr>
        <w:t>impurities</w:t>
      </w:r>
      <w:r w:rsidR="00A60B7E" w:rsidRPr="00AA2F87">
        <w:rPr>
          <w:lang w:val="en-US"/>
        </w:rPr>
        <w:t xml:space="preserve"> (raw results) in THMP with </w:t>
      </w:r>
      <w:proofErr w:type="spellStart"/>
      <w:r w:rsidR="00A60B7E" w:rsidRPr="001D10F4">
        <w:rPr>
          <w:i/>
          <w:iCs/>
          <w:lang w:val="en-US"/>
        </w:rPr>
        <w:t>Thymi</w:t>
      </w:r>
      <w:proofErr w:type="spellEnd"/>
      <w:r w:rsidR="00A60B7E" w:rsidRPr="001D10F4">
        <w:rPr>
          <w:i/>
          <w:iCs/>
          <w:lang w:val="en-US"/>
        </w:rPr>
        <w:t xml:space="preserve"> </w:t>
      </w:r>
      <w:proofErr w:type="spellStart"/>
      <w:r w:rsidR="00A60B7E" w:rsidRPr="001D10F4">
        <w:rPr>
          <w:i/>
          <w:iCs/>
          <w:lang w:val="en-US"/>
        </w:rPr>
        <w:t>herba</w:t>
      </w:r>
      <w:proofErr w:type="spellEnd"/>
      <w:r w:rsidR="00A60B7E" w:rsidRPr="00AA2F87">
        <w:rPr>
          <w:lang w:val="en-US"/>
        </w:rPr>
        <w:t xml:space="preserve"> available in Polish pharmacies and comparison with the permissible limit set by FAO/WHO </w:t>
      </w:r>
      <w:r w:rsidR="00A60B7E">
        <w:rPr>
          <w:lang w:val="en-US"/>
        </w:rPr>
        <w:t>(WHO, 2006)</w:t>
      </w:r>
      <w:r w:rsidR="00A60B7E" w:rsidRPr="00AA2F87">
        <w:rPr>
          <w:lang w:val="en-US"/>
        </w:rPr>
        <w:t>;</w:t>
      </w:r>
    </w:p>
    <w:p w14:paraId="196190A7" w14:textId="26A60DAE" w:rsidR="00A60B7E" w:rsidRPr="00AA2F87" w:rsidRDefault="00A60B7E" w:rsidP="00A60B7E">
      <w:pPr>
        <w:pStyle w:val="Newparagraph"/>
        <w:numPr>
          <w:ilvl w:val="0"/>
          <w:numId w:val="1"/>
        </w:numPr>
        <w:jc w:val="both"/>
        <w:rPr>
          <w:lang w:val="en-US"/>
        </w:rPr>
      </w:pPr>
      <w:r w:rsidRPr="00AA2F87">
        <w:rPr>
          <w:lang w:val="en-US"/>
        </w:rPr>
        <w:t xml:space="preserve">Estimation of exposure </w:t>
      </w:r>
      <w:r w:rsidR="005072D5">
        <w:rPr>
          <w:lang w:val="en-US"/>
        </w:rPr>
        <w:t>with a</w:t>
      </w:r>
      <w:r w:rsidRPr="00AA2F87">
        <w:rPr>
          <w:lang w:val="en-US"/>
        </w:rPr>
        <w:t xml:space="preserve"> single oral </w:t>
      </w:r>
      <w:r w:rsidR="005072D5">
        <w:rPr>
          <w:lang w:val="en-US"/>
        </w:rPr>
        <w:t>dose,</w:t>
      </w:r>
      <w:r w:rsidRPr="00AA2F87">
        <w:rPr>
          <w:lang w:val="en-US"/>
        </w:rPr>
        <w:t xml:space="preserve"> </w:t>
      </w:r>
      <w:r w:rsidR="005072D5">
        <w:rPr>
          <w:lang w:val="en-US"/>
        </w:rPr>
        <w:t>including a</w:t>
      </w:r>
      <w:r w:rsidRPr="00AA2F87">
        <w:rPr>
          <w:lang w:val="en-US"/>
        </w:rPr>
        <w:t xml:space="preserve"> specific dosage;</w:t>
      </w:r>
    </w:p>
    <w:p w14:paraId="4EF7124F" w14:textId="025A7619" w:rsidR="00A60B7E" w:rsidRPr="00AA2F87" w:rsidRDefault="00A60B7E" w:rsidP="00A60B7E">
      <w:pPr>
        <w:pStyle w:val="Newparagraph"/>
        <w:numPr>
          <w:ilvl w:val="0"/>
          <w:numId w:val="1"/>
        </w:numPr>
        <w:jc w:val="both"/>
        <w:rPr>
          <w:lang w:val="en-US"/>
        </w:rPr>
      </w:pPr>
      <w:r w:rsidRPr="00AA2F87">
        <w:rPr>
          <w:lang w:val="en-US"/>
        </w:rPr>
        <w:t xml:space="preserve">Estimation of a daily oral dose and reference to PDE value (permitted daily exposure) based </w:t>
      </w:r>
      <w:r w:rsidR="005072D5">
        <w:rPr>
          <w:lang w:val="en-US"/>
        </w:rPr>
        <w:t>on the</w:t>
      </w:r>
      <w:r w:rsidRPr="00AA2F87">
        <w:rPr>
          <w:lang w:val="en-US"/>
        </w:rPr>
        <w:t xml:space="preserve"> values </w:t>
      </w:r>
      <w:r w:rsidR="005072D5">
        <w:rPr>
          <w:lang w:val="en-US"/>
        </w:rPr>
        <w:t>from the</w:t>
      </w:r>
      <w:r w:rsidRPr="00AA2F87">
        <w:rPr>
          <w:lang w:val="en-US"/>
        </w:rPr>
        <w:t xml:space="preserve"> ICH Q3D (R1) guideline on elemental impurities. </w:t>
      </w:r>
    </w:p>
    <w:p w14:paraId="53CD2852" w14:textId="1FBB89AF" w:rsidR="00540D9C" w:rsidRDefault="00540D9C" w:rsidP="00BE4B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9DB259" w14:textId="705BDB91" w:rsidR="00982940" w:rsidRPr="00BE4B9C" w:rsidRDefault="00803698" w:rsidP="00BE4B9C">
      <w:pPr>
        <w:spacing w:line="48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The </w:t>
      </w:r>
      <w:r w:rsid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summary of our studies </w:t>
      </w:r>
      <w:r w:rsidR="005072D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as a</w:t>
      </w:r>
      <w:r w:rsid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workflow of the applied toxicological </w:t>
      </w:r>
      <w:r w:rsidR="00BE4B9C"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risk assessment</w:t>
      </w: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of </w:t>
      </w:r>
      <w:r w:rsidR="00BE4B9C"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c</w:t>
      </w: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admium </w:t>
      </w:r>
      <w:r w:rsidR="00BE4B9C"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impurities </w:t>
      </w:r>
      <w:r w:rsidR="005072D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in the</w:t>
      </w: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investigated </w:t>
      </w:r>
      <w:r w:rsidR="005B34D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THMP </w:t>
      </w: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with</w:t>
      </w:r>
      <w:r w:rsidR="005B34D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5B34D1" w:rsidRPr="005B34D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n-US"/>
        </w:rPr>
        <w:t>Thymi</w:t>
      </w:r>
      <w:proofErr w:type="spellEnd"/>
      <w:r w:rsidR="005B34D1" w:rsidRPr="005B34D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5B34D1" w:rsidRPr="005B34D1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n-US"/>
        </w:rPr>
        <w:t>herba</w:t>
      </w:r>
      <w:proofErr w:type="spellEnd"/>
      <w:r w:rsidR="005B34D1" w:rsidRPr="005B34D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 </w:t>
      </w: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collected from </w:t>
      </w:r>
      <w:r w:rsidR="005B34D1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Polish </w:t>
      </w:r>
      <w:r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pharmacies </w:t>
      </w:r>
      <w:r w:rsidR="00BE4B9C" w:rsidRPr="00BE4B9C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is presented in Supplementary Figure 2 (Figure </w:t>
      </w:r>
      <w:r w:rsidR="005072D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S2).</w:t>
      </w:r>
    </w:p>
    <w:p w14:paraId="47E599CB" w14:textId="4E49DE68" w:rsidR="00982940" w:rsidRDefault="00982940" w:rsidP="00BE4B9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E61793" w14:textId="50230312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9AADF" w14:textId="415D1BFB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074666" w14:textId="2E248535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17070A" w14:textId="7075DABB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551870" w14:textId="7F977F17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F37FAD" w14:textId="25760676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E2A506" w14:textId="00E1ADF3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DB03CA" w14:textId="292D4549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C7CBEC" w14:textId="33E704BC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AD7EA2" w14:textId="5ADFDAA0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D31ACB" w14:textId="2A553A13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A1C259" w14:textId="32A982D6" w:rsidR="005B34D1" w:rsidRDefault="005B34D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0D0F8E" w14:textId="77777777" w:rsidR="005B34D1" w:rsidRDefault="005B34D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70F1AC" w14:textId="00ADC9C0" w:rsidR="00982940" w:rsidRPr="00AF6724" w:rsidRDefault="00AF6724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</w:pPr>
      <w:r w:rsidRPr="00AF672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lastRenderedPageBreak/>
        <w:t>Supplementary</w:t>
      </w:r>
      <w:r w:rsidR="00982940" w:rsidRPr="00AF672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en-US"/>
        </w:rPr>
        <w:t xml:space="preserve"> figures</w:t>
      </w:r>
    </w:p>
    <w:p w14:paraId="64DBA788" w14:textId="77777777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B16931" w14:textId="77777777" w:rsidR="00982940" w:rsidRDefault="00982940" w:rsidP="00982940">
      <w:r w:rsidRPr="00274152">
        <w:rPr>
          <w:noProof/>
        </w:rPr>
        <w:drawing>
          <wp:inline distT="0" distB="0" distL="0" distR="0" wp14:anchorId="041D5FA3" wp14:editId="75EA93CE">
            <wp:extent cx="5396865" cy="39329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9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6818" w14:textId="77777777" w:rsidR="00061BD8" w:rsidRPr="00AF6724" w:rsidRDefault="00061BD8" w:rsidP="00061BD8">
      <w:pPr>
        <w:pStyle w:val="Newparagraph"/>
        <w:ind w:firstLine="0"/>
        <w:rPr>
          <w:color w:val="4472C4" w:themeColor="accent1"/>
          <w:lang w:val="en-US"/>
        </w:rPr>
      </w:pPr>
      <w:r w:rsidRPr="00AF6724">
        <w:rPr>
          <w:b/>
          <w:bCs/>
          <w:color w:val="4472C4" w:themeColor="accent1"/>
          <w:lang w:val="en-US"/>
        </w:rPr>
        <w:t>Figure S1.</w:t>
      </w:r>
      <w:r w:rsidRPr="00AF6724">
        <w:rPr>
          <w:color w:val="4472C4" w:themeColor="accent1"/>
          <w:lang w:val="en-US"/>
        </w:rPr>
        <w:t xml:space="preserve"> The half violin plot for total Cd content in all </w:t>
      </w:r>
      <w:proofErr w:type="spellStart"/>
      <w:r w:rsidRPr="00AF6724">
        <w:rPr>
          <w:color w:val="4472C4" w:themeColor="accent1"/>
          <w:lang w:val="en-US"/>
        </w:rPr>
        <w:t>analysed</w:t>
      </w:r>
      <w:proofErr w:type="spellEnd"/>
      <w:r w:rsidRPr="00AF6724">
        <w:rPr>
          <w:color w:val="4472C4" w:themeColor="accent1"/>
          <w:lang w:val="en-US"/>
        </w:rPr>
        <w:t xml:space="preserve"> THMP (A – F) with </w:t>
      </w:r>
      <w:proofErr w:type="spellStart"/>
      <w:r w:rsidRPr="001D10F4">
        <w:rPr>
          <w:i/>
          <w:iCs/>
          <w:color w:val="4472C4" w:themeColor="accent1"/>
          <w:lang w:val="en-US"/>
        </w:rPr>
        <w:t>Thymi</w:t>
      </w:r>
      <w:proofErr w:type="spellEnd"/>
      <w:r w:rsidRPr="001D10F4">
        <w:rPr>
          <w:i/>
          <w:iCs/>
          <w:color w:val="4472C4" w:themeColor="accent1"/>
          <w:lang w:val="en-US"/>
        </w:rPr>
        <w:t xml:space="preserve"> </w:t>
      </w:r>
      <w:proofErr w:type="spellStart"/>
      <w:r w:rsidRPr="001D10F4">
        <w:rPr>
          <w:i/>
          <w:iCs/>
          <w:color w:val="4472C4" w:themeColor="accent1"/>
          <w:lang w:val="en-US"/>
        </w:rPr>
        <w:t>herba</w:t>
      </w:r>
      <w:proofErr w:type="spellEnd"/>
      <w:r w:rsidRPr="00AF6724">
        <w:rPr>
          <w:color w:val="4472C4" w:themeColor="accent1"/>
          <w:lang w:val="en-US"/>
        </w:rPr>
        <w:t xml:space="preserve"> (</w:t>
      </w:r>
      <w:r w:rsidRPr="00AF6724">
        <w:rPr>
          <w:i/>
          <w:iCs/>
          <w:color w:val="4472C4" w:themeColor="accent1"/>
          <w:lang w:val="en-US"/>
        </w:rPr>
        <w:t>Thymus vulgaris</w:t>
      </w:r>
      <w:r w:rsidRPr="00AF6724">
        <w:rPr>
          <w:color w:val="4472C4" w:themeColor="accent1"/>
          <w:lang w:val="en-US"/>
        </w:rPr>
        <w:t xml:space="preserve"> L. and </w:t>
      </w:r>
      <w:r w:rsidRPr="00AF6724">
        <w:rPr>
          <w:i/>
          <w:iCs/>
          <w:color w:val="4472C4" w:themeColor="accent1"/>
          <w:lang w:val="en-US"/>
        </w:rPr>
        <w:t xml:space="preserve">Thymus </w:t>
      </w:r>
      <w:proofErr w:type="spellStart"/>
      <w:r w:rsidRPr="00AF6724">
        <w:rPr>
          <w:i/>
          <w:iCs/>
          <w:color w:val="4472C4" w:themeColor="accent1"/>
          <w:lang w:val="en-US"/>
        </w:rPr>
        <w:t>zygis</w:t>
      </w:r>
      <w:proofErr w:type="spellEnd"/>
      <w:r w:rsidRPr="00AF6724">
        <w:rPr>
          <w:color w:val="4472C4" w:themeColor="accent1"/>
          <w:lang w:val="en-US"/>
        </w:rPr>
        <w:t xml:space="preserve"> L.) from Polish pharmacies.</w:t>
      </w:r>
    </w:p>
    <w:p w14:paraId="65AB9469" w14:textId="026969CC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0C6EEF" w14:textId="750886AA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230F4F" w14:textId="530F24BC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0134BD" w14:textId="5450F47A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BFC08A" w14:textId="174A4E45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A96245" w14:textId="352BA332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207C7E" w14:textId="0754EAFB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C766AA" w14:textId="7FBA6C88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E2A960" w14:textId="59B6FD06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15A93E" w14:textId="460A961A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2D3079" w14:textId="23A9614F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06D4E3" w14:textId="0C1A7CD3" w:rsidR="00982940" w:rsidRDefault="0098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F4600C" w14:textId="7E5B350D" w:rsidR="00061BD8" w:rsidRDefault="006E4138" w:rsidP="00061BD8">
      <w:pPr>
        <w:pStyle w:val="Newparagraph"/>
        <w:ind w:firstLine="0"/>
        <w:jc w:val="center"/>
        <w:rPr>
          <w:b/>
          <w:bCs/>
          <w:lang w:val="en-US"/>
        </w:rPr>
      </w:pPr>
      <w:r>
        <w:rPr>
          <w:noProof/>
          <w:color w:val="4472C4" w:themeColor="accent1"/>
          <w:lang w:val="en-US"/>
        </w:rPr>
        <w:lastRenderedPageBreak/>
        <w:drawing>
          <wp:inline distT="0" distB="0" distL="0" distR="0" wp14:anchorId="6A306C2B" wp14:editId="14E2C2FE">
            <wp:extent cx="5048250" cy="79695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50" cy="79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3AF7" w14:textId="77777777" w:rsidR="00061BD8" w:rsidRDefault="00061BD8" w:rsidP="00061BD8">
      <w:pPr>
        <w:pStyle w:val="Newparagraph"/>
        <w:ind w:firstLine="0"/>
        <w:rPr>
          <w:color w:val="4472C4" w:themeColor="accent1"/>
          <w:lang w:val="en-US"/>
        </w:rPr>
      </w:pPr>
      <w:r w:rsidRPr="00AF6724">
        <w:rPr>
          <w:b/>
          <w:bCs/>
          <w:color w:val="4472C4" w:themeColor="accent1"/>
          <w:lang w:val="en-US"/>
        </w:rPr>
        <w:t xml:space="preserve">Figure </w:t>
      </w:r>
      <w:r>
        <w:rPr>
          <w:b/>
          <w:bCs/>
          <w:color w:val="4472C4" w:themeColor="accent1"/>
          <w:lang w:val="en-US"/>
        </w:rPr>
        <w:t>S2</w:t>
      </w:r>
      <w:r w:rsidRPr="00AF6724">
        <w:rPr>
          <w:color w:val="4472C4" w:themeColor="accent1"/>
          <w:lang w:val="en-US"/>
        </w:rPr>
        <w:t xml:space="preserve"> The half violin plot for total Cd content in all </w:t>
      </w:r>
      <w:proofErr w:type="spellStart"/>
      <w:r w:rsidRPr="00AF6724">
        <w:rPr>
          <w:color w:val="4472C4" w:themeColor="accent1"/>
          <w:lang w:val="en-US"/>
        </w:rPr>
        <w:t>analysed</w:t>
      </w:r>
      <w:proofErr w:type="spellEnd"/>
      <w:r w:rsidRPr="00AF6724">
        <w:rPr>
          <w:color w:val="4472C4" w:themeColor="accent1"/>
          <w:lang w:val="en-US"/>
        </w:rPr>
        <w:t xml:space="preserve"> THMP (A – F) with </w:t>
      </w:r>
      <w:proofErr w:type="spellStart"/>
      <w:r w:rsidRPr="001D10F4">
        <w:rPr>
          <w:i/>
          <w:iCs/>
          <w:color w:val="4472C4" w:themeColor="accent1"/>
          <w:lang w:val="en-US"/>
        </w:rPr>
        <w:t>Thymi</w:t>
      </w:r>
      <w:proofErr w:type="spellEnd"/>
      <w:r w:rsidRPr="001D10F4">
        <w:rPr>
          <w:i/>
          <w:iCs/>
          <w:color w:val="4472C4" w:themeColor="accent1"/>
          <w:lang w:val="en-US"/>
        </w:rPr>
        <w:t xml:space="preserve"> </w:t>
      </w:r>
      <w:proofErr w:type="spellStart"/>
      <w:r w:rsidRPr="001D10F4">
        <w:rPr>
          <w:i/>
          <w:iCs/>
          <w:color w:val="4472C4" w:themeColor="accent1"/>
          <w:lang w:val="en-US"/>
        </w:rPr>
        <w:t>herba</w:t>
      </w:r>
      <w:proofErr w:type="spellEnd"/>
      <w:r w:rsidRPr="00AF6724">
        <w:rPr>
          <w:color w:val="4472C4" w:themeColor="accent1"/>
          <w:lang w:val="en-US"/>
        </w:rPr>
        <w:t xml:space="preserve"> (</w:t>
      </w:r>
      <w:r w:rsidRPr="00AF6724">
        <w:rPr>
          <w:i/>
          <w:iCs/>
          <w:color w:val="4472C4" w:themeColor="accent1"/>
          <w:lang w:val="en-US"/>
        </w:rPr>
        <w:t>Thymus vulgaris</w:t>
      </w:r>
      <w:r w:rsidRPr="00AF6724">
        <w:rPr>
          <w:color w:val="4472C4" w:themeColor="accent1"/>
          <w:lang w:val="en-US"/>
        </w:rPr>
        <w:t xml:space="preserve"> L. and </w:t>
      </w:r>
      <w:r w:rsidRPr="00AF6724">
        <w:rPr>
          <w:i/>
          <w:iCs/>
          <w:color w:val="4472C4" w:themeColor="accent1"/>
          <w:lang w:val="en-US"/>
        </w:rPr>
        <w:t xml:space="preserve">Thymus </w:t>
      </w:r>
      <w:proofErr w:type="spellStart"/>
      <w:r w:rsidRPr="00AF6724">
        <w:rPr>
          <w:i/>
          <w:iCs/>
          <w:color w:val="4472C4" w:themeColor="accent1"/>
          <w:lang w:val="en-US"/>
        </w:rPr>
        <w:t>zygis</w:t>
      </w:r>
      <w:proofErr w:type="spellEnd"/>
      <w:r w:rsidRPr="00AF6724">
        <w:rPr>
          <w:color w:val="4472C4" w:themeColor="accent1"/>
          <w:lang w:val="en-US"/>
        </w:rPr>
        <w:t xml:space="preserve"> L.) from Polish pharmacies.</w:t>
      </w:r>
    </w:p>
    <w:p w14:paraId="4B5C96E8" w14:textId="20A62C8D" w:rsidR="00540D9C" w:rsidRPr="00540D9C" w:rsidRDefault="00540D9C" w:rsidP="006E4138">
      <w:pPr>
        <w:pStyle w:val="Newparagraph"/>
        <w:ind w:firstLine="0"/>
        <w:rPr>
          <w:b/>
          <w:bCs/>
          <w:lang w:val="en-US"/>
        </w:rPr>
      </w:pPr>
      <w:r w:rsidRPr="00540D9C">
        <w:rPr>
          <w:b/>
          <w:bCs/>
          <w:lang w:val="en-US"/>
        </w:rPr>
        <w:lastRenderedPageBreak/>
        <w:t>Supplementary References</w:t>
      </w:r>
    </w:p>
    <w:p w14:paraId="4A228E14" w14:textId="221A55D7" w:rsidR="00A66F93" w:rsidRDefault="00A66F93" w:rsidP="00A66F93">
      <w:pPr>
        <w:pStyle w:val="Newparagraph"/>
        <w:ind w:firstLine="0"/>
        <w:jc w:val="both"/>
        <w:rPr>
          <w:lang w:val="en-US"/>
        </w:rPr>
      </w:pPr>
      <w:proofErr w:type="spellStart"/>
      <w:r w:rsidRPr="00F61581">
        <w:rPr>
          <w:lang w:val="en-US"/>
        </w:rPr>
        <w:t>Coufalík</w:t>
      </w:r>
      <w:proofErr w:type="spellEnd"/>
      <w:r w:rsidRPr="00F61581">
        <w:rPr>
          <w:lang w:val="en-US"/>
        </w:rPr>
        <w:t xml:space="preserve"> P, </w:t>
      </w:r>
      <w:proofErr w:type="spellStart"/>
      <w:r w:rsidRPr="00F61581">
        <w:rPr>
          <w:lang w:val="en-US"/>
        </w:rPr>
        <w:t>Uher</w:t>
      </w:r>
      <w:proofErr w:type="spellEnd"/>
      <w:r w:rsidRPr="00F61581">
        <w:rPr>
          <w:lang w:val="en-US"/>
        </w:rPr>
        <w:t xml:space="preserve"> A, </w:t>
      </w:r>
      <w:proofErr w:type="spellStart"/>
      <w:r w:rsidRPr="00F61581">
        <w:rPr>
          <w:lang w:val="en-US"/>
        </w:rPr>
        <w:t>Zvěřina</w:t>
      </w:r>
      <w:proofErr w:type="spellEnd"/>
      <w:r w:rsidRPr="00F61581">
        <w:rPr>
          <w:lang w:val="en-US"/>
        </w:rPr>
        <w:t xml:space="preserve"> O, </w:t>
      </w:r>
      <w:proofErr w:type="spellStart"/>
      <w:r w:rsidRPr="00F61581">
        <w:rPr>
          <w:lang w:val="en-US"/>
        </w:rPr>
        <w:t>Komárek</w:t>
      </w:r>
      <w:proofErr w:type="spellEnd"/>
      <w:r w:rsidRPr="00F61581">
        <w:rPr>
          <w:lang w:val="en-US"/>
        </w:rPr>
        <w:t xml:space="preserve"> J</w:t>
      </w:r>
      <w:r>
        <w:rPr>
          <w:lang w:val="en-US"/>
        </w:rPr>
        <w:t xml:space="preserve">. </w:t>
      </w:r>
      <w:r w:rsidRPr="00F61581">
        <w:rPr>
          <w:lang w:val="en-US"/>
        </w:rPr>
        <w:t>2020</w:t>
      </w:r>
      <w:r>
        <w:rPr>
          <w:lang w:val="en-US"/>
        </w:rPr>
        <w:t>.</w:t>
      </w:r>
      <w:r w:rsidRPr="00F61581">
        <w:rPr>
          <w:lang w:val="en-US"/>
        </w:rPr>
        <w:t xml:space="preserve"> Determination of cadmium in lichens by solid sampling graphite furnace atomic absorption spectrometry (SS-GF-AAS). </w:t>
      </w:r>
      <w:r w:rsidRPr="00800FDC">
        <w:rPr>
          <w:i/>
          <w:iCs/>
          <w:lang w:val="en-US"/>
        </w:rPr>
        <w:t xml:space="preserve">Environ </w:t>
      </w:r>
      <w:proofErr w:type="spellStart"/>
      <w:r w:rsidRPr="00800FDC">
        <w:rPr>
          <w:i/>
          <w:iCs/>
          <w:lang w:val="en-US"/>
        </w:rPr>
        <w:t>Monit</w:t>
      </w:r>
      <w:proofErr w:type="spellEnd"/>
      <w:r w:rsidRPr="00800FDC">
        <w:rPr>
          <w:i/>
          <w:iCs/>
          <w:lang w:val="en-US"/>
        </w:rPr>
        <w:t xml:space="preserve"> Assess</w:t>
      </w:r>
      <w:r>
        <w:rPr>
          <w:lang w:val="en-US"/>
        </w:rPr>
        <w:t>.</w:t>
      </w:r>
      <w:r w:rsidRPr="00F61581">
        <w:rPr>
          <w:lang w:val="en-US"/>
        </w:rPr>
        <w:t xml:space="preserve"> 192(4): 1-7. </w:t>
      </w:r>
    </w:p>
    <w:p w14:paraId="4C590D09" w14:textId="0860DA84" w:rsidR="00D63B2C" w:rsidRPr="00F61581" w:rsidRDefault="00D63B2C" w:rsidP="00D63B2C">
      <w:pPr>
        <w:pStyle w:val="Newparagraph"/>
        <w:ind w:firstLine="0"/>
        <w:jc w:val="both"/>
        <w:rPr>
          <w:lang w:val="en-US"/>
        </w:rPr>
      </w:pPr>
      <w:r w:rsidRPr="00F61581">
        <w:rPr>
          <w:lang w:val="en-US"/>
        </w:rPr>
        <w:t>ICH guideline Q3D (R1) on elemental impurities. 28 March 2019 EMA/CHMP/ICH/353369/2013 Committee for Human Medicinal Products. https://www.ema.europa.eu/en/ich-q3d-elementalimpurities.</w:t>
      </w:r>
      <w:r>
        <w:rPr>
          <w:lang w:val="en-US"/>
        </w:rPr>
        <w:t xml:space="preserve"> </w:t>
      </w:r>
      <w:r w:rsidRPr="00F61581">
        <w:rPr>
          <w:lang w:val="en-US"/>
        </w:rPr>
        <w:t xml:space="preserve">Accessed </w:t>
      </w:r>
      <w:r>
        <w:rPr>
          <w:lang w:val="en-US"/>
        </w:rPr>
        <w:t>20</w:t>
      </w:r>
      <w:r w:rsidRPr="00F61581">
        <w:rPr>
          <w:lang w:val="en-US"/>
        </w:rPr>
        <w:t>.</w:t>
      </w:r>
      <w:r>
        <w:rPr>
          <w:lang w:val="en-US"/>
        </w:rPr>
        <w:t>04</w:t>
      </w:r>
      <w:r w:rsidRPr="00F61581">
        <w:rPr>
          <w:lang w:val="en-US"/>
        </w:rPr>
        <w:t>.202</w:t>
      </w:r>
      <w:r>
        <w:rPr>
          <w:lang w:val="en-US"/>
        </w:rPr>
        <w:t>2</w:t>
      </w:r>
    </w:p>
    <w:p w14:paraId="6EF09FB4" w14:textId="77777777" w:rsidR="00D63B2C" w:rsidRPr="00F61581" w:rsidRDefault="00D63B2C" w:rsidP="00D63B2C">
      <w:pPr>
        <w:pStyle w:val="Newparagraph"/>
        <w:ind w:firstLine="0"/>
        <w:jc w:val="both"/>
        <w:rPr>
          <w:lang w:val="en-US"/>
        </w:rPr>
      </w:pPr>
      <w:r w:rsidRPr="00C12952">
        <w:rPr>
          <w:lang w:val="en-US"/>
        </w:rPr>
        <w:t xml:space="preserve">Jurowski K, </w:t>
      </w:r>
      <w:proofErr w:type="spellStart"/>
      <w:r w:rsidRPr="00C12952">
        <w:rPr>
          <w:lang w:val="en-US"/>
        </w:rPr>
        <w:t>Krośniak</w:t>
      </w:r>
      <w:proofErr w:type="spellEnd"/>
      <w:r w:rsidRPr="00C12952">
        <w:rPr>
          <w:lang w:val="en-US"/>
        </w:rPr>
        <w:t xml:space="preserve"> M, </w:t>
      </w:r>
      <w:proofErr w:type="spellStart"/>
      <w:r w:rsidRPr="00C12952">
        <w:rPr>
          <w:lang w:val="en-US"/>
        </w:rPr>
        <w:t>Fołta</w:t>
      </w:r>
      <w:proofErr w:type="spellEnd"/>
      <w:r w:rsidRPr="00C12952">
        <w:rPr>
          <w:lang w:val="en-US"/>
        </w:rPr>
        <w:t xml:space="preserve"> M, Cole M, </w:t>
      </w:r>
      <w:proofErr w:type="spellStart"/>
      <w:r w:rsidRPr="00C12952">
        <w:rPr>
          <w:lang w:val="en-US"/>
        </w:rPr>
        <w:t>Piekoszewski</w:t>
      </w:r>
      <w:proofErr w:type="spellEnd"/>
      <w:r w:rsidRPr="00C12952">
        <w:rPr>
          <w:lang w:val="en-US"/>
        </w:rPr>
        <w:t xml:space="preserve"> W. 2019 a. </w:t>
      </w:r>
      <w:r w:rsidRPr="00F61581">
        <w:rPr>
          <w:lang w:val="en-US"/>
        </w:rPr>
        <w:t xml:space="preserve">The toxicological analysis of Pb and Cd by ETAAS in local </w:t>
      </w:r>
      <w:proofErr w:type="spellStart"/>
      <w:r w:rsidRPr="00F61581">
        <w:rPr>
          <w:lang w:val="en-US"/>
        </w:rPr>
        <w:t>anaesthetics</w:t>
      </w:r>
      <w:proofErr w:type="spellEnd"/>
      <w:r w:rsidRPr="00F61581">
        <w:rPr>
          <w:lang w:val="en-US"/>
        </w:rPr>
        <w:t xml:space="preserve"> for teething (teething gels) based on herbs available in Polish pharmacies. </w:t>
      </w:r>
      <w:r w:rsidRPr="00800FDC">
        <w:rPr>
          <w:i/>
          <w:iCs/>
          <w:lang w:val="en-US"/>
        </w:rPr>
        <w:t>J Trace Elem Biol Med</w:t>
      </w:r>
      <w:r>
        <w:rPr>
          <w:i/>
          <w:iCs/>
          <w:lang w:val="en-US"/>
        </w:rPr>
        <w:t>.</w:t>
      </w:r>
      <w:r w:rsidRPr="00F61581">
        <w:rPr>
          <w:lang w:val="en-US"/>
        </w:rPr>
        <w:t xml:space="preserve"> 52:18–21.</w:t>
      </w:r>
    </w:p>
    <w:p w14:paraId="202BBF98" w14:textId="77777777" w:rsidR="00D63B2C" w:rsidRPr="005072D5" w:rsidRDefault="00D63B2C" w:rsidP="00D63B2C">
      <w:pPr>
        <w:pStyle w:val="Newparagraph"/>
        <w:ind w:firstLine="0"/>
        <w:jc w:val="both"/>
        <w:rPr>
          <w:lang w:val="en-US"/>
        </w:rPr>
      </w:pPr>
      <w:r w:rsidRPr="00F61581">
        <w:rPr>
          <w:lang w:val="en-US"/>
        </w:rPr>
        <w:t xml:space="preserve">Jurowski K, </w:t>
      </w:r>
      <w:proofErr w:type="spellStart"/>
      <w:r w:rsidRPr="00F61581">
        <w:rPr>
          <w:lang w:val="en-US"/>
        </w:rPr>
        <w:t>Krośniak</w:t>
      </w:r>
      <w:proofErr w:type="spellEnd"/>
      <w:r w:rsidRPr="00F61581">
        <w:rPr>
          <w:lang w:val="en-US"/>
        </w:rPr>
        <w:t xml:space="preserve"> M, </w:t>
      </w:r>
      <w:proofErr w:type="spellStart"/>
      <w:r w:rsidRPr="00F61581">
        <w:rPr>
          <w:lang w:val="en-US"/>
        </w:rPr>
        <w:t>Fołta</w:t>
      </w:r>
      <w:proofErr w:type="spellEnd"/>
      <w:r w:rsidRPr="00F61581">
        <w:rPr>
          <w:lang w:val="en-US"/>
        </w:rPr>
        <w:t xml:space="preserve"> M, Cole M, </w:t>
      </w:r>
      <w:proofErr w:type="spellStart"/>
      <w:r w:rsidRPr="00F61581">
        <w:rPr>
          <w:lang w:val="en-US"/>
        </w:rPr>
        <w:t>Piekoszewski</w:t>
      </w:r>
      <w:proofErr w:type="spellEnd"/>
      <w:r w:rsidRPr="00F61581">
        <w:rPr>
          <w:lang w:val="en-US"/>
        </w:rPr>
        <w:t xml:space="preserve"> W</w:t>
      </w:r>
      <w:r>
        <w:rPr>
          <w:lang w:val="en-US"/>
        </w:rPr>
        <w:t xml:space="preserve">. </w:t>
      </w:r>
      <w:r w:rsidRPr="00F61581">
        <w:rPr>
          <w:lang w:val="en-US"/>
        </w:rPr>
        <w:t>2019</w:t>
      </w:r>
      <w:r>
        <w:rPr>
          <w:lang w:val="en-US"/>
        </w:rPr>
        <w:t xml:space="preserve"> b.</w:t>
      </w:r>
      <w:r w:rsidRPr="00F61581">
        <w:rPr>
          <w:lang w:val="en-US"/>
        </w:rPr>
        <w:t xml:space="preserve"> The toxicological analysis of lead and cadmium in prescription food for special medical purposes and modified milk products for new-</w:t>
      </w:r>
      <w:proofErr w:type="spellStart"/>
      <w:r w:rsidRPr="00F61581">
        <w:rPr>
          <w:lang w:val="en-US"/>
        </w:rPr>
        <w:t>borns</w:t>
      </w:r>
      <w:proofErr w:type="spellEnd"/>
      <w:r w:rsidRPr="00F61581">
        <w:rPr>
          <w:lang w:val="en-US"/>
        </w:rPr>
        <w:t xml:space="preserve"> and infants available in Polish pharmacies. </w:t>
      </w:r>
      <w:r w:rsidRPr="005072D5">
        <w:rPr>
          <w:i/>
          <w:iCs/>
          <w:lang w:val="en-US"/>
        </w:rPr>
        <w:t>J Trace Elem Med Biol.</w:t>
      </w:r>
      <w:r w:rsidRPr="005072D5">
        <w:rPr>
          <w:lang w:val="en-US"/>
        </w:rPr>
        <w:t xml:space="preserve"> 51:73–78. </w:t>
      </w:r>
    </w:p>
    <w:p w14:paraId="78FF86B0" w14:textId="15132061" w:rsidR="00540D9C" w:rsidRDefault="00D63B2C" w:rsidP="00D63B2C">
      <w:pPr>
        <w:pStyle w:val="Newparagraph"/>
        <w:ind w:firstLine="0"/>
        <w:jc w:val="both"/>
        <w:rPr>
          <w:lang w:val="en-US"/>
        </w:rPr>
      </w:pPr>
      <w:r w:rsidRPr="005072D5">
        <w:rPr>
          <w:lang w:val="en-US"/>
        </w:rPr>
        <w:t xml:space="preserve">Jurowski K, </w:t>
      </w:r>
      <w:proofErr w:type="spellStart"/>
      <w:r w:rsidRPr="005072D5">
        <w:rPr>
          <w:lang w:val="en-US"/>
        </w:rPr>
        <w:t>Fołta</w:t>
      </w:r>
      <w:proofErr w:type="spellEnd"/>
      <w:r w:rsidRPr="005072D5">
        <w:rPr>
          <w:lang w:val="en-US"/>
        </w:rPr>
        <w:t xml:space="preserve"> M, Tatar B, </w:t>
      </w:r>
      <w:proofErr w:type="spellStart"/>
      <w:r w:rsidRPr="005072D5">
        <w:rPr>
          <w:lang w:val="en-US"/>
        </w:rPr>
        <w:t>Berkoz</w:t>
      </w:r>
      <w:proofErr w:type="spellEnd"/>
      <w:r w:rsidRPr="005072D5">
        <w:rPr>
          <w:lang w:val="en-US"/>
        </w:rPr>
        <w:t xml:space="preserve"> M, </w:t>
      </w:r>
      <w:proofErr w:type="spellStart"/>
      <w:r w:rsidRPr="005072D5">
        <w:rPr>
          <w:lang w:val="en-US"/>
        </w:rPr>
        <w:t>Krośniak</w:t>
      </w:r>
      <w:proofErr w:type="spellEnd"/>
      <w:r w:rsidRPr="005072D5">
        <w:rPr>
          <w:lang w:val="en-US"/>
        </w:rPr>
        <w:t xml:space="preserve"> M. 2022. </w:t>
      </w:r>
      <w:r w:rsidRPr="00F61581">
        <w:rPr>
          <w:lang w:val="en-US"/>
        </w:rPr>
        <w:t xml:space="preserve">The Toxicological Risk Assessment of Lead and Cadmium in </w:t>
      </w:r>
      <w:proofErr w:type="spellStart"/>
      <w:r w:rsidRPr="00DA52FE">
        <w:rPr>
          <w:i/>
          <w:iCs/>
          <w:lang w:val="en-US"/>
        </w:rPr>
        <w:t>Valeriana</w:t>
      </w:r>
      <w:proofErr w:type="spellEnd"/>
      <w:r w:rsidRPr="00DA52FE">
        <w:rPr>
          <w:i/>
          <w:iCs/>
          <w:lang w:val="en-US"/>
        </w:rPr>
        <w:t xml:space="preserve"> officinalis</w:t>
      </w:r>
      <w:r w:rsidRPr="00F61581">
        <w:rPr>
          <w:lang w:val="en-US"/>
        </w:rPr>
        <w:t xml:space="preserve"> L., radix (Valerian root) as Herbal Medicinal Product for the Relief of Mild Nervous Tension and Sleep Disorders Available in Polish Pharmacies. </w:t>
      </w:r>
      <w:bookmarkStart w:id="1" w:name="_Hlk103765064"/>
      <w:r w:rsidRPr="00DA52FE">
        <w:rPr>
          <w:i/>
          <w:iCs/>
          <w:lang w:val="en-US"/>
        </w:rPr>
        <w:t>Biol Trace Elem Res</w:t>
      </w:r>
      <w:r>
        <w:rPr>
          <w:lang w:val="en-US"/>
        </w:rPr>
        <w:t xml:space="preserve">. 200: </w:t>
      </w:r>
      <w:r w:rsidRPr="00DA52FE">
        <w:rPr>
          <w:lang w:val="en-US"/>
        </w:rPr>
        <w:t>904–909</w:t>
      </w:r>
      <w:r>
        <w:rPr>
          <w:lang w:val="en-US"/>
        </w:rPr>
        <w:t>.</w:t>
      </w:r>
    </w:p>
    <w:bookmarkEnd w:id="1"/>
    <w:p w14:paraId="19CDF478" w14:textId="77777777" w:rsidR="009B56DE" w:rsidRPr="00A60B7E" w:rsidRDefault="009B56DE" w:rsidP="00D63B2C">
      <w:pPr>
        <w:pStyle w:val="Newparagraph"/>
        <w:ind w:firstLine="0"/>
        <w:jc w:val="both"/>
        <w:rPr>
          <w:lang w:val="en-US"/>
        </w:rPr>
      </w:pPr>
    </w:p>
    <w:sectPr w:rsidR="009B56DE" w:rsidRPr="00A6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65AF9"/>
    <w:multiLevelType w:val="hybridMultilevel"/>
    <w:tmpl w:val="A3B03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7E"/>
    <w:rsid w:val="00061BD8"/>
    <w:rsid w:val="00094C11"/>
    <w:rsid w:val="000B098A"/>
    <w:rsid w:val="000F6A15"/>
    <w:rsid w:val="001D10F4"/>
    <w:rsid w:val="001E5936"/>
    <w:rsid w:val="00220B3A"/>
    <w:rsid w:val="002235B0"/>
    <w:rsid w:val="00315E10"/>
    <w:rsid w:val="003F7672"/>
    <w:rsid w:val="0047091B"/>
    <w:rsid w:val="005072D5"/>
    <w:rsid w:val="00540D9C"/>
    <w:rsid w:val="005B34D1"/>
    <w:rsid w:val="00672880"/>
    <w:rsid w:val="006E34AA"/>
    <w:rsid w:val="006E4138"/>
    <w:rsid w:val="007873A4"/>
    <w:rsid w:val="00803698"/>
    <w:rsid w:val="00812237"/>
    <w:rsid w:val="00851B5F"/>
    <w:rsid w:val="0087371A"/>
    <w:rsid w:val="008C0390"/>
    <w:rsid w:val="00930924"/>
    <w:rsid w:val="00971D8E"/>
    <w:rsid w:val="00982940"/>
    <w:rsid w:val="009B56DE"/>
    <w:rsid w:val="00A15A24"/>
    <w:rsid w:val="00A60B7E"/>
    <w:rsid w:val="00A66F93"/>
    <w:rsid w:val="00AF6724"/>
    <w:rsid w:val="00B15B5F"/>
    <w:rsid w:val="00B816E4"/>
    <w:rsid w:val="00BE4B9C"/>
    <w:rsid w:val="00D363C9"/>
    <w:rsid w:val="00D63B2C"/>
    <w:rsid w:val="00DF29EB"/>
    <w:rsid w:val="00E9631A"/>
    <w:rsid w:val="00F10B92"/>
    <w:rsid w:val="00F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834C"/>
  <w15:docId w15:val="{F0A8B341-2D63-4A4A-8937-7DF1F3A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Paragraph"/>
    <w:link w:val="Nagwek1Znak"/>
    <w:qFormat/>
    <w:rsid w:val="00A60B7E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0B7E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Paragraph">
    <w:name w:val="Paragraph"/>
    <w:basedOn w:val="Normalny"/>
    <w:next w:val="Newparagraph"/>
    <w:qFormat/>
    <w:rsid w:val="00A60B7E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ny"/>
    <w:qFormat/>
    <w:rsid w:val="00A60B7E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DPI41tablecaption">
    <w:name w:val="MDPI_4.1_table_caption"/>
    <w:qFormat/>
    <w:rsid w:val="0093092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Articletitle">
    <w:name w:val="Article title"/>
    <w:basedOn w:val="Normalny"/>
    <w:next w:val="Normalny"/>
    <w:qFormat/>
    <w:rsid w:val="007873A4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ny"/>
    <w:next w:val="Normalny"/>
    <w:qFormat/>
    <w:rsid w:val="007873A4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ny"/>
    <w:qFormat/>
    <w:rsid w:val="007873A4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ny"/>
    <w:qFormat/>
    <w:rsid w:val="007873A4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eywords">
    <w:name w:val="Keywords"/>
    <w:basedOn w:val="Normalny"/>
    <w:next w:val="Paragraph"/>
    <w:qFormat/>
    <w:rsid w:val="007873A4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Jurowski Kamil</dc:creator>
  <cp:keywords/>
  <dc:description/>
  <cp:lastModifiedBy>Kamil Jurowski</cp:lastModifiedBy>
  <cp:revision>12</cp:revision>
  <dcterms:created xsi:type="dcterms:W3CDTF">2022-04-20T07:57:00Z</dcterms:created>
  <dcterms:modified xsi:type="dcterms:W3CDTF">2022-05-18T11:27:00Z</dcterms:modified>
</cp:coreProperties>
</file>