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593FF" w14:textId="77777777" w:rsidR="004D2B2F" w:rsidRDefault="004D2B2F" w:rsidP="004D2B2F">
      <w:pPr>
        <w:rPr>
          <w:noProof/>
        </w:rPr>
      </w:pPr>
    </w:p>
    <w:p w14:paraId="09D0499D" w14:textId="0842C920" w:rsidR="004D2B2F" w:rsidRDefault="004D2B2F" w:rsidP="004D2B2F">
      <w:pPr>
        <w:rPr>
          <w:noProof/>
        </w:rPr>
      </w:pPr>
      <w:r>
        <w:rPr>
          <w:noProof/>
        </w:rPr>
        <w:drawing>
          <wp:inline distT="0" distB="0" distL="0" distR="0" wp14:anchorId="052A8F7E" wp14:editId="476FADA2">
            <wp:extent cx="5817660" cy="72038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b="5504"/>
                    <a:stretch/>
                  </pic:blipFill>
                  <pic:spPr bwMode="auto">
                    <a:xfrm>
                      <a:off x="0" y="0"/>
                      <a:ext cx="5817870" cy="72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D3291" w14:textId="77777777" w:rsidR="004D2B2F" w:rsidRDefault="004D2B2F" w:rsidP="004D2B2F">
      <w:pPr>
        <w:rPr>
          <w:noProof/>
        </w:rPr>
      </w:pPr>
    </w:p>
    <w:p w14:paraId="3FC6C507" w14:textId="1831A10C" w:rsidR="00187B12" w:rsidRPr="004D2B2F" w:rsidRDefault="00847294" w:rsidP="00931EB1">
      <w:pPr>
        <w:jc w:val="both"/>
        <w:rPr>
          <w:noProof/>
        </w:rPr>
      </w:pPr>
      <w:r w:rsidRPr="00A71A3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Figure S1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1EB1">
        <w:rPr>
          <w:rFonts w:ascii="Times New Roman" w:hAnsi="Times New Roman" w:cs="Times New Roman"/>
          <w:noProof/>
          <w:sz w:val="24"/>
          <w:szCs w:val="24"/>
        </w:rPr>
        <w:t xml:space="preserve">Synaptic stimulation </w:t>
      </w:r>
      <w:r w:rsidR="002A081F">
        <w:rPr>
          <w:rFonts w:ascii="Times New Roman" w:hAnsi="Times New Roman" w:cs="Times New Roman"/>
          <w:noProof/>
          <w:sz w:val="24"/>
          <w:szCs w:val="24"/>
        </w:rPr>
        <w:t xml:space="preserve">inhibited </w:t>
      </w:r>
      <w:r w:rsidR="00931EB1">
        <w:rPr>
          <w:rFonts w:ascii="Times New Roman" w:hAnsi="Times New Roman" w:cs="Times New Roman"/>
          <w:noProof/>
          <w:sz w:val="24"/>
          <w:szCs w:val="24"/>
        </w:rPr>
        <w:t xml:space="preserve">MTOR and </w:t>
      </w:r>
      <w:r w:rsidR="002A081F">
        <w:rPr>
          <w:rFonts w:ascii="Times New Roman" w:hAnsi="Times New Roman" w:cs="Times New Roman"/>
          <w:noProof/>
          <w:sz w:val="24"/>
          <w:szCs w:val="24"/>
        </w:rPr>
        <w:t xml:space="preserve">activated </w:t>
      </w:r>
      <w:r w:rsidR="00931EB1">
        <w:rPr>
          <w:rFonts w:ascii="Times New Roman" w:hAnsi="Times New Roman" w:cs="Times New Roman"/>
          <w:noProof/>
          <w:sz w:val="24"/>
          <w:szCs w:val="24"/>
        </w:rPr>
        <w:t>TFEB</w:t>
      </w:r>
      <w:r w:rsidR="009E24C8">
        <w:rPr>
          <w:rFonts w:ascii="Times New Roman" w:hAnsi="Times New Roman" w:cs="Times New Roman"/>
          <w:noProof/>
          <w:sz w:val="24"/>
          <w:szCs w:val="24"/>
        </w:rPr>
        <w:t xml:space="preserve"> in primary cultured neurons</w:t>
      </w:r>
      <w:r w:rsidRPr="00931EB1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87B12" w:rsidRPr="00931EB1">
        <w:rPr>
          <w:rFonts w:ascii="Times New Roman" w:hAnsi="Times New Roman" w:cs="Times New Roman"/>
          <w:sz w:val="24"/>
          <w:szCs w:val="24"/>
        </w:rPr>
        <w:t>(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, 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-stimulation increased levels (+50±9%) of TFE3 in the nucleus of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neurons</w:t>
      </w:r>
      <w:r w:rsidR="004D2B2F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compared to CTRL (n=3; two-tailed unpaired t-test **p&lt;0.01; scale bar: 10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(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87B12" w:rsidRPr="00187B12">
        <w:rPr>
          <w:rFonts w:ascii="Times New Roman" w:hAnsi="Times New Roman" w:cs="Times New Roman"/>
          <w:sz w:val="24"/>
          <w:szCs w:val="24"/>
        </w:rPr>
        <w:t>,</w:t>
      </w:r>
      <w:r w:rsidR="00187B12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-stimulation decreased levels (-40±10%) of MAPT/Tau oligomers in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neurons (n=5; two-tailed unpaired</w:t>
      </w:r>
      <w:r w:rsidR="00187B12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t-test *p&lt;0.05).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(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, 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) Inhibition of MTOR via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torin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1 treatment reduced phospho-TFEB (-78±6%) similarly to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stimulation</w:t>
      </w:r>
      <w:r w:rsidR="00187B12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(-74±10%) in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neurons (n=3; one-way ANOVA test, p=0.0121, followed by Tukey’s multiple comparison post-hoc test:</w:t>
      </w:r>
      <w:r w:rsidR="00187B12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CTRL vs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*p&lt;0.05; CTRL vs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gLTP+torin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1 *p&lt;0.05; CTRL vs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torin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1 *p&lt;0.05; scale bar: 10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(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G-J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) Western blot analyses revealed no changes in levels of ATP6V1H and ATP6V1D in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-stimulated compared to CTRL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 xml:space="preserve"> neurons (n=3; unpaired t-test, p&gt;0.05).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(</w:t>
      </w:r>
      <w:r w:rsidR="00187B12" w:rsidRPr="00187B12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87B12" w:rsidRPr="00187B12">
        <w:rPr>
          <w:rFonts w:ascii="Times New Roman" w:hAnsi="Times New Roman" w:cs="Times New Roman"/>
          <w:sz w:val="24"/>
          <w:szCs w:val="24"/>
        </w:rPr>
        <w:t xml:space="preserve">) Quantitative RT-PCR revealed no changes of TFEB transcripts in </w:t>
      </w:r>
      <w:proofErr w:type="spellStart"/>
      <w:r w:rsidR="00187B12" w:rsidRPr="00187B12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187B12" w:rsidRPr="00187B12">
        <w:rPr>
          <w:rFonts w:ascii="Times New Roman" w:hAnsi="Times New Roman" w:cs="Times New Roman"/>
          <w:sz w:val="24"/>
          <w:szCs w:val="24"/>
        </w:rPr>
        <w:t>-stimulated</w:t>
      </w:r>
      <w:r w:rsidR="004D2B2F">
        <w:rPr>
          <w:rFonts w:ascii="Times New Roman" w:hAnsi="Times New Roman" w:cs="Times New Roman"/>
          <w:sz w:val="24"/>
          <w:szCs w:val="24"/>
        </w:rPr>
        <w:t xml:space="preserve"> </w:t>
      </w:r>
      <w:r w:rsidR="00187B12" w:rsidRPr="00187B12">
        <w:rPr>
          <w:rFonts w:ascii="Times New Roman" w:hAnsi="Times New Roman" w:cs="Times New Roman"/>
          <w:sz w:val="24"/>
          <w:szCs w:val="24"/>
        </w:rPr>
        <w:t>compared to CTRL neurons (n=5, 6; two-tailed unpaired t-test; p&gt;0.05)</w:t>
      </w:r>
      <w:r w:rsidR="00F53676">
        <w:rPr>
          <w:rFonts w:ascii="Times New Roman" w:hAnsi="Times New Roman" w:cs="Times New Roman"/>
          <w:sz w:val="24"/>
          <w:szCs w:val="24"/>
        </w:rPr>
        <w:t>.</w:t>
      </w:r>
    </w:p>
    <w:p w14:paraId="13876666" w14:textId="3FCFE145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01ECA2" w14:textId="4F3ACDAF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F193D5" w14:textId="57C12360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770147" w14:textId="1B78CDBF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9E0C5" w14:textId="52B0AAE0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982DE3" w14:textId="0F25477E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346113" w14:textId="087CE781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C9EBEC" w14:textId="6F6C8F14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B9E402" w14:textId="206CF061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E6FF0" w14:textId="72291497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07CCDB" w14:textId="1F4ACBE5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CDDF8" w14:textId="385C3B66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5F9CC2" w14:textId="000D9D1D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5124D3" w14:textId="34FE6A7A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4797CC" w14:textId="18973FE8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7B761A" w14:textId="046EC6F3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3035D" w14:textId="4234CB45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66F0A7" w14:textId="4E2B27A9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9D54EF" w14:textId="76D04D28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2CECCC" w14:textId="46850BED" w:rsidR="00F53676" w:rsidRDefault="00F53676" w:rsidP="00187B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FEE5C" w14:textId="16436A2D" w:rsidR="00F53676" w:rsidRPr="00F53676" w:rsidRDefault="00F53676" w:rsidP="00187B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1B49D" w14:textId="40908D29" w:rsidR="00F53676" w:rsidRDefault="00F53676" w:rsidP="00187B1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4417A" wp14:editId="60D0A828">
            <wp:extent cx="5817553" cy="5906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" b="23870"/>
                    <a:stretch/>
                  </pic:blipFill>
                  <pic:spPr bwMode="auto">
                    <a:xfrm>
                      <a:off x="0" y="0"/>
                      <a:ext cx="5817870" cy="590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11223" w14:textId="12E17F63" w:rsidR="00F53676" w:rsidRDefault="00847294" w:rsidP="00F53676">
      <w:pPr>
        <w:jc w:val="both"/>
        <w:rPr>
          <w:rFonts w:ascii="Times New Roman" w:hAnsi="Times New Roman" w:cs="Times New Roman"/>
          <w:sz w:val="24"/>
          <w:szCs w:val="24"/>
        </w:rPr>
      </w:pPr>
      <w:r w:rsidRPr="00F53676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04F06">
        <w:rPr>
          <w:rFonts w:ascii="Times New Roman" w:hAnsi="Times New Roman" w:cs="Times New Roman"/>
          <w:color w:val="000000" w:themeColor="text1"/>
          <w:sz w:val="24"/>
          <w:szCs w:val="24"/>
        </w:rPr>
        <w:t>DBS</w:t>
      </w:r>
      <w:r w:rsidR="00D15FE0" w:rsidRPr="001A0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081F" w:rsidRPr="001A0524">
        <w:rPr>
          <w:rFonts w:ascii="Times New Roman" w:hAnsi="Times New Roman" w:cs="Times New Roman"/>
          <w:color w:val="000000" w:themeColor="text1"/>
          <w:sz w:val="24"/>
          <w:szCs w:val="24"/>
        </w:rPr>
        <w:t>restore</w:t>
      </w:r>
      <w:r w:rsidR="002A081F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2A081F" w:rsidRPr="001A0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5FE0" w:rsidRPr="001A0524">
        <w:rPr>
          <w:rFonts w:ascii="Times New Roman" w:hAnsi="Times New Roman" w:cs="Times New Roman"/>
          <w:color w:val="000000" w:themeColor="text1"/>
          <w:sz w:val="24"/>
          <w:szCs w:val="24"/>
        </w:rPr>
        <w:t>levels of</w:t>
      </w:r>
      <w:r w:rsidR="00D15F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LAMP1 in </w:t>
      </w:r>
      <w:proofErr w:type="spellStart"/>
      <w:r w:rsidR="00704F06" w:rsidRPr="0070739E">
        <w:rPr>
          <w:rFonts w:ascii="Times New Roman" w:hAnsi="Times New Roman" w:cs="Times New Roman"/>
          <w:color w:val="000000" w:themeColor="text1"/>
          <w:sz w:val="24"/>
          <w:szCs w:val="24"/>
        </w:rPr>
        <w:t>Tg</w:t>
      </w:r>
      <w:proofErr w:type="spellEnd"/>
      <w:r w:rsidR="00704F06" w:rsidRPr="0070739E">
        <w:rPr>
          <w:rFonts w:ascii="Times New Roman" w:hAnsi="Times New Roman" w:cs="Times New Roman"/>
          <w:color w:val="000000" w:themeColor="text1"/>
          <w:sz w:val="24"/>
          <w:szCs w:val="24"/>
        </w:rPr>
        <w:t>-S mice</w:t>
      </w:r>
      <w:r w:rsidR="00704F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4F06" w:rsidRPr="0070739E">
        <w:rPr>
          <w:rFonts w:ascii="Times New Roman" w:hAnsi="Times New Roman" w:cs="Times New Roman"/>
          <w:color w:val="000000" w:themeColor="text1"/>
          <w:sz w:val="24"/>
          <w:szCs w:val="24"/>
        </w:rPr>
        <w:t>back to WT-NS</w:t>
      </w:r>
      <w:r w:rsidRPr="00D15FE0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>(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A-F</w:t>
      </w:r>
      <w:r w:rsidR="00F53676" w:rsidRPr="00F53676">
        <w:rPr>
          <w:rFonts w:ascii="Times New Roman" w:hAnsi="Times New Roman" w:cs="Times New Roman"/>
          <w:sz w:val="24"/>
          <w:szCs w:val="24"/>
        </w:rPr>
        <w:t>) Levels of MCOLN1, ATP6V1H and ATP6V1D were measured by western blot analyses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-NS compared to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-S hippocampi. (n=4; two-tailed unpaired t-test; p&gt;0.05). (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, 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) DBS reduced of 46±3% LAMP1 levels 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-S compared to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-NS mice (n=4; two-tailed unpaired t-test *p&lt;0.05). (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, 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) A 49±9% increase of LAMP1 levels was measured 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-NS hippocampus compared to WT-NS;</w:t>
      </w:r>
      <w:r w:rsidR="00F53676"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-S mice levels of LAMP1 were restored back to WT levels (n=3, 4; one-way ANOVA test, p= 0.0173 followed by Tukey’s multiple comparison post-hoc test: WT-NS vs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-NS *p&lt;0.05;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-S vs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-NS #p&lt;0.05).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>(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, </w:t>
      </w:r>
      <w:r w:rsidR="00F53676" w:rsidRPr="00F53676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) Confocal immunofluorescence showing 11±3% increased levels of LAMP1 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-NS compared to WT-NS hippocampal neurons. In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-S mice,</w:t>
      </w:r>
      <w:r w:rsidR="00F53676"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>DBS was able to restore LAMP1 back to WT</w:t>
      </w:r>
      <w:r w:rsidR="00F53676"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(n=4,5; one-way ANOVA test, p=0.0187 followed by Tukey’s </w:t>
      </w:r>
      <w:r w:rsidR="00F53676" w:rsidRPr="00F53676">
        <w:rPr>
          <w:rFonts w:ascii="Times New Roman" w:hAnsi="Times New Roman" w:cs="Times New Roman"/>
          <w:sz w:val="24"/>
          <w:szCs w:val="24"/>
        </w:rPr>
        <w:lastRenderedPageBreak/>
        <w:t>multiple comparison</w:t>
      </w:r>
      <w:r w:rsidR="00F53676">
        <w:rPr>
          <w:rFonts w:ascii="Times New Roman" w:hAnsi="Times New Roman" w:cs="Times New Roman"/>
          <w:sz w:val="24"/>
          <w:szCs w:val="24"/>
        </w:rPr>
        <w:t xml:space="preserve"> </w:t>
      </w:r>
      <w:r w:rsidR="00F53676" w:rsidRPr="00F53676">
        <w:rPr>
          <w:rFonts w:ascii="Times New Roman" w:hAnsi="Times New Roman" w:cs="Times New Roman"/>
          <w:sz w:val="24"/>
          <w:szCs w:val="24"/>
        </w:rPr>
        <w:t xml:space="preserve">post-hoc test: WT-NS vs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-NS *p&lt;0.05;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-S vs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 xml:space="preserve">-NS #p&lt;0.05; scale bar 10 </w:t>
      </w:r>
      <w:proofErr w:type="spellStart"/>
      <w:r w:rsidR="00F53676" w:rsidRPr="00F5367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F53676" w:rsidRPr="00F53676">
        <w:rPr>
          <w:rFonts w:ascii="Times New Roman" w:hAnsi="Times New Roman" w:cs="Times New Roman"/>
          <w:sz w:val="24"/>
          <w:szCs w:val="24"/>
        </w:rPr>
        <w:t>).</w:t>
      </w:r>
      <w:r w:rsidR="00F53676" w:rsidRPr="00F53676">
        <w:rPr>
          <w:rFonts w:ascii="Times New Roman" w:hAnsi="Times New Roman" w:cs="Times New Roman"/>
          <w:sz w:val="24"/>
          <w:szCs w:val="24"/>
        </w:rPr>
        <w:cr/>
      </w:r>
    </w:p>
    <w:p w14:paraId="12517F0D" w14:textId="5B83E0B9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511297" w14:textId="5A430E95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36157" w14:textId="060A2013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7D27BB" w14:textId="556A1EED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315CD0" w14:textId="77C274EC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0C6802" w14:textId="48FF12AE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7C8416" w14:textId="4FE428E4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1980D" w14:textId="7B333A22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4A1DAA" w14:textId="7160F193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20871E" w14:textId="0DEC6756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451520" w14:textId="12484006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CCE005" w14:textId="66BB28B5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15A290" w14:textId="1A0A3CFD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2851D" w14:textId="48495CC9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96E26" w14:textId="6A838D8E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DA740D" w14:textId="7EA2ED09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6C7C10" w14:textId="1BE04D27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FC94C2" w14:textId="22E383CF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471EC" w14:textId="15D3166C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0FDCBD" w14:textId="21941EA5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686D91" w14:textId="23403469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2766B9" w14:textId="0F9CCB75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611E9" w14:textId="6E59D947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F17D7F" w14:textId="5668189F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858165" w14:textId="06C206A4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857A4C" w14:textId="07B1A2B5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DBE35" w14:textId="3C8A50C8" w:rsidR="00F53676" w:rsidRDefault="00F53676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49E665" w14:textId="57D31091" w:rsidR="009226F2" w:rsidRDefault="009226F2" w:rsidP="00F53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F7FB6" wp14:editId="00EC65F0">
            <wp:extent cx="5817438" cy="65195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" b="18744"/>
                    <a:stretch/>
                  </pic:blipFill>
                  <pic:spPr bwMode="auto">
                    <a:xfrm>
                      <a:off x="0" y="0"/>
                      <a:ext cx="5817870" cy="652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DA7E7" w14:textId="7807DD68" w:rsidR="009226F2" w:rsidRDefault="009226F2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C5D23E" w14:textId="34EEEA5D" w:rsidR="009226F2" w:rsidRDefault="00847294" w:rsidP="00F53676">
      <w:pPr>
        <w:jc w:val="both"/>
        <w:rPr>
          <w:rFonts w:ascii="Times New Roman" w:hAnsi="Times New Roman" w:cs="Times New Roman"/>
          <w:sz w:val="24"/>
          <w:szCs w:val="24"/>
        </w:rPr>
      </w:pPr>
      <w:r w:rsidRPr="00F53676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A08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081F" w:rsidRPr="009226F2">
        <w:rPr>
          <w:rFonts w:ascii="Times New Roman" w:hAnsi="Times New Roman" w:cs="Times New Roman"/>
          <w:sz w:val="24"/>
          <w:szCs w:val="24"/>
        </w:rPr>
        <w:t>CTRL and DBS PD patient</w:t>
      </w:r>
      <w:r w:rsidR="002A081F">
        <w:rPr>
          <w:rFonts w:ascii="Times New Roman" w:hAnsi="Times New Roman" w:cs="Times New Roman"/>
          <w:sz w:val="24"/>
          <w:szCs w:val="24"/>
        </w:rPr>
        <w:t xml:space="preserve"> groups had comparable levels of pathological MAPT/Tau and accumulated SQSTM1 in non-stimulated brain areas</w:t>
      </w:r>
      <w:r w:rsidRPr="00A849BE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(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, 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9226F2" w:rsidRPr="009226F2">
        <w:rPr>
          <w:rFonts w:ascii="Times New Roman" w:hAnsi="Times New Roman" w:cs="Times New Roman"/>
          <w:sz w:val="24"/>
          <w:szCs w:val="24"/>
        </w:rPr>
        <w:t>) Quantification of AT8 in the cortex of CTRL and DBS PD patients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(n=3; two-tailed unpaired t-test, p&gt;0.05; scale bar: 50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(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) Nissl staining combined with AT8 immunostaining of PD (CTRL and DBS)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GPi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 xml:space="preserve"> sections. Nissl staining was used to precisely locate the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GPi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 xml:space="preserve"> (yellow dotted lines).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(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) Quantification of </w:t>
      </w:r>
      <w:r w:rsidR="009226F2" w:rsidRPr="009226F2">
        <w:rPr>
          <w:rFonts w:ascii="Times New Roman" w:hAnsi="Times New Roman" w:cs="Times New Roman"/>
          <w:sz w:val="24"/>
          <w:szCs w:val="24"/>
        </w:rPr>
        <w:lastRenderedPageBreak/>
        <w:t xml:space="preserve">AT8 in neurites of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GPi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 xml:space="preserve"> of CTRL and DBS PD brains (n=3; two-tailed unpaired t-test, p&gt;0.05).</w:t>
      </w:r>
      <w:r w:rsidR="008D154C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(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E-G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) Quantification of SQSTM1 in the cortex of CTRL and DBS brains of PD patients (quantification in 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for puncta density,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and 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 for puncta size, respectively; n=3; two-tailed unpaired t-test, p&gt;0.05; scale bars: 100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(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, 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) Immunofluorescence of TFEB (green) and nuclei (DAPI, blue) in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GPi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 xml:space="preserve"> of PD controls (left panels)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and DBS (right panels; scale bar: 10 </w:t>
      </w:r>
      <w:proofErr w:type="spellStart"/>
      <w:r w:rsidR="009226F2" w:rsidRPr="009226F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226F2" w:rsidRPr="009226F2">
        <w:rPr>
          <w:rFonts w:ascii="Times New Roman" w:hAnsi="Times New Roman" w:cs="Times New Roman"/>
          <w:sz w:val="24"/>
          <w:szCs w:val="24"/>
        </w:rPr>
        <w:t>). Higher magnification panels (below) show a trend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>for increased immunostaining of TFEB in the nuclei of DBS-stimulated neurons</w:t>
      </w:r>
      <w:r w:rsidR="009226F2">
        <w:rPr>
          <w:rFonts w:ascii="Times New Roman" w:hAnsi="Times New Roman" w:cs="Times New Roman"/>
          <w:sz w:val="24"/>
          <w:szCs w:val="24"/>
        </w:rPr>
        <w:t xml:space="preserve"> </w:t>
      </w:r>
      <w:r w:rsidR="009226F2" w:rsidRPr="009226F2">
        <w:rPr>
          <w:rFonts w:ascii="Times New Roman" w:hAnsi="Times New Roman" w:cs="Times New Roman"/>
          <w:sz w:val="24"/>
          <w:szCs w:val="24"/>
        </w:rPr>
        <w:t xml:space="preserve">(quantification in </w:t>
      </w:r>
      <w:r w:rsidR="009226F2" w:rsidRPr="009226F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226F2" w:rsidRPr="009226F2">
        <w:rPr>
          <w:rFonts w:ascii="Times New Roman" w:hAnsi="Times New Roman" w:cs="Times New Roman"/>
          <w:sz w:val="24"/>
          <w:szCs w:val="24"/>
        </w:rPr>
        <w:t>; n=3; two-tailed unpaired t-test, p&gt;0.05).</w:t>
      </w:r>
    </w:p>
    <w:p w14:paraId="0A1DD57C" w14:textId="3593B6DC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AF454" w14:textId="30DC35A0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01FF63" w14:textId="66AF3EA5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033D4B" w14:textId="53536207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E48314" w14:textId="19857C9F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A97E2" w14:textId="7E7194CF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66D5FD" w14:textId="122C3071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4B173F" w14:textId="0FC7AE92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80D2FA" w14:textId="3B2ACD03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07C03B" w14:textId="686696F6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BA3B33" w14:textId="7D7DF994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C8BBD" w14:textId="7BE9BDEE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283F5B" w14:textId="1013757B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8EA6FB" w14:textId="5CA8C6F8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E6057D" w14:textId="006D6DBF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17E9FE" w14:textId="0D787232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C19AA0" w14:textId="7E55CEFD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F2C6C8" w14:textId="48C0BEB2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609CEA" w14:textId="06708637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D9B137" w14:textId="2B705E87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E728D4" w14:textId="0F1600F2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2EF2AB" w14:textId="56207125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08319" w14:textId="0CF5DA8A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CD9C73" w14:textId="1C30DAC0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44C335" wp14:editId="4F5C1C42">
            <wp:extent cx="5817168" cy="16777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b="74105"/>
                    <a:stretch/>
                  </pic:blipFill>
                  <pic:spPr bwMode="auto">
                    <a:xfrm>
                      <a:off x="0" y="0"/>
                      <a:ext cx="5817870" cy="167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6D74" w14:textId="10E78763" w:rsidR="000E5BCE" w:rsidRDefault="000E5BCE" w:rsidP="00F5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419B1D" w14:textId="62A8116D" w:rsidR="00FE5CB3" w:rsidRPr="00187B12" w:rsidRDefault="00847294" w:rsidP="00F53676">
      <w:pPr>
        <w:jc w:val="both"/>
        <w:rPr>
          <w:rFonts w:ascii="Times New Roman" w:hAnsi="Times New Roman" w:cs="Times New Roman"/>
          <w:sz w:val="24"/>
          <w:szCs w:val="24"/>
        </w:rPr>
      </w:pPr>
      <w:r w:rsidRPr="000E5BCE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47CD0">
        <w:rPr>
          <w:rFonts w:ascii="Times New Roman" w:hAnsi="Times New Roman" w:cs="Times New Roman"/>
          <w:sz w:val="24"/>
          <w:szCs w:val="24"/>
        </w:rPr>
        <w:t xml:space="preserve">Inhibition of </w:t>
      </w:r>
      <w:r w:rsidR="00E51BE1">
        <w:rPr>
          <w:rFonts w:ascii="Times New Roman" w:hAnsi="Times New Roman" w:cs="Times New Roman"/>
          <w:sz w:val="24"/>
          <w:szCs w:val="24"/>
        </w:rPr>
        <w:t>PPP3/</w:t>
      </w:r>
      <w:r w:rsidR="00247CD0">
        <w:rPr>
          <w:rFonts w:ascii="Times New Roman" w:hAnsi="Times New Roman" w:cs="Times New Roman"/>
          <w:sz w:val="24"/>
          <w:szCs w:val="24"/>
        </w:rPr>
        <w:t xml:space="preserve">calcineurin did not prevent dephosphorylation of TFEB during </w:t>
      </w:r>
      <w:proofErr w:type="spellStart"/>
      <w:r w:rsidR="00247CD0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Pr="00247C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CB3" w:rsidRPr="00FE5CB3">
        <w:rPr>
          <w:rFonts w:ascii="Times New Roman" w:hAnsi="Times New Roman" w:cs="Times New Roman"/>
          <w:sz w:val="24"/>
          <w:szCs w:val="24"/>
        </w:rPr>
        <w:t>(</w:t>
      </w:r>
      <w:r w:rsidR="00FE5CB3" w:rsidRPr="00FE5CB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E5CB3" w:rsidRPr="00FE5CB3">
        <w:rPr>
          <w:rFonts w:ascii="Times New Roman" w:hAnsi="Times New Roman" w:cs="Times New Roman"/>
          <w:sz w:val="24"/>
          <w:szCs w:val="24"/>
        </w:rPr>
        <w:t xml:space="preserve">, </w:t>
      </w:r>
      <w:r w:rsidR="00FE5CB3" w:rsidRPr="00FE5CB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FE5CB3" w:rsidRPr="00FE5CB3">
        <w:rPr>
          <w:rFonts w:ascii="Times New Roman" w:hAnsi="Times New Roman" w:cs="Times New Roman"/>
          <w:sz w:val="24"/>
          <w:szCs w:val="24"/>
        </w:rPr>
        <w:t>) Confocal immunofluorescence showing effects of cyclosporin A (</w:t>
      </w:r>
      <w:proofErr w:type="spellStart"/>
      <w:r w:rsidR="00FE5CB3" w:rsidRPr="00FE5CB3">
        <w:rPr>
          <w:rFonts w:ascii="Times New Roman" w:hAnsi="Times New Roman" w:cs="Times New Roman"/>
          <w:sz w:val="24"/>
          <w:szCs w:val="24"/>
        </w:rPr>
        <w:t>CsA</w:t>
      </w:r>
      <w:proofErr w:type="spellEnd"/>
      <w:r w:rsidR="00FE5CB3" w:rsidRPr="00FE5CB3">
        <w:rPr>
          <w:rFonts w:ascii="Times New Roman" w:hAnsi="Times New Roman" w:cs="Times New Roman"/>
          <w:sz w:val="24"/>
          <w:szCs w:val="24"/>
        </w:rPr>
        <w:t>) treatment on phospho-TFEB</w:t>
      </w:r>
      <w:r w:rsidR="00FE5CB3">
        <w:rPr>
          <w:rFonts w:ascii="Times New Roman" w:hAnsi="Times New Roman" w:cs="Times New Roman"/>
          <w:sz w:val="24"/>
          <w:szCs w:val="24"/>
        </w:rPr>
        <w:t xml:space="preserve"> </w:t>
      </w:r>
      <w:r w:rsidR="00FE5CB3" w:rsidRPr="00FE5CB3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E5CB3" w:rsidRPr="00FE5CB3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="00FE5CB3" w:rsidRPr="00FE5CB3">
        <w:rPr>
          <w:rFonts w:ascii="Times New Roman" w:hAnsi="Times New Roman" w:cs="Times New Roman"/>
          <w:sz w:val="24"/>
          <w:szCs w:val="24"/>
        </w:rPr>
        <w:t xml:space="preserve"> neurons, with or without </w:t>
      </w:r>
      <w:proofErr w:type="spellStart"/>
      <w:r w:rsidR="00FE5CB3" w:rsidRPr="00FE5CB3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FE5CB3" w:rsidRPr="00FE5CB3">
        <w:rPr>
          <w:rFonts w:ascii="Times New Roman" w:hAnsi="Times New Roman" w:cs="Times New Roman"/>
          <w:sz w:val="24"/>
          <w:szCs w:val="24"/>
        </w:rPr>
        <w:t xml:space="preserve"> (n=3; one-way ANOVA test, p=0.0066, followed by Tukey’s multiple comparison post-hoc test: CTRL vs </w:t>
      </w:r>
      <w:proofErr w:type="spellStart"/>
      <w:r w:rsidR="00FE5CB3" w:rsidRPr="00FE5CB3">
        <w:rPr>
          <w:rFonts w:ascii="Times New Roman" w:hAnsi="Times New Roman" w:cs="Times New Roman"/>
          <w:sz w:val="24"/>
          <w:szCs w:val="24"/>
        </w:rPr>
        <w:t>gLTP</w:t>
      </w:r>
      <w:proofErr w:type="spellEnd"/>
      <w:r w:rsidR="00FE5CB3" w:rsidRPr="00FE5CB3">
        <w:rPr>
          <w:rFonts w:ascii="Times New Roman" w:hAnsi="Times New Roman" w:cs="Times New Roman"/>
          <w:sz w:val="24"/>
          <w:szCs w:val="24"/>
        </w:rPr>
        <w:t xml:space="preserve"> **p&lt;0.01; CTRL vs </w:t>
      </w:r>
      <w:proofErr w:type="spellStart"/>
      <w:r w:rsidR="00FE5CB3" w:rsidRPr="00FE5CB3">
        <w:rPr>
          <w:rFonts w:ascii="Times New Roman" w:hAnsi="Times New Roman" w:cs="Times New Roman"/>
          <w:sz w:val="24"/>
          <w:szCs w:val="24"/>
        </w:rPr>
        <w:t>gLTP-CsA</w:t>
      </w:r>
      <w:proofErr w:type="spellEnd"/>
      <w:r w:rsidR="00FE5CB3" w:rsidRPr="00FE5CB3">
        <w:rPr>
          <w:rFonts w:ascii="Times New Roman" w:hAnsi="Times New Roman" w:cs="Times New Roman"/>
          <w:sz w:val="24"/>
          <w:szCs w:val="24"/>
        </w:rPr>
        <w:t xml:space="preserve"> p=0.052; scale bar: 10 µm).</w:t>
      </w:r>
    </w:p>
    <w:sectPr w:rsidR="00FE5CB3" w:rsidRPr="00187B12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B85D" w14:textId="77777777" w:rsidR="00A24889" w:rsidRDefault="00A24889" w:rsidP="009E24C8">
      <w:pPr>
        <w:spacing w:after="0" w:line="240" w:lineRule="auto"/>
      </w:pPr>
      <w:r>
        <w:separator/>
      </w:r>
    </w:p>
  </w:endnote>
  <w:endnote w:type="continuationSeparator" w:id="0">
    <w:p w14:paraId="469A27C4" w14:textId="77777777" w:rsidR="00A24889" w:rsidRDefault="00A24889" w:rsidP="009E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85EF8" w14:textId="77777777" w:rsidR="00A24889" w:rsidRDefault="00A24889" w:rsidP="009E24C8">
      <w:pPr>
        <w:spacing w:after="0" w:line="240" w:lineRule="auto"/>
      </w:pPr>
      <w:r>
        <w:separator/>
      </w:r>
    </w:p>
  </w:footnote>
  <w:footnote w:type="continuationSeparator" w:id="0">
    <w:p w14:paraId="5359E6E8" w14:textId="77777777" w:rsidR="00A24889" w:rsidRDefault="00A24889" w:rsidP="009E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B493" w14:textId="1DB0D7A9" w:rsidR="009E24C8" w:rsidRPr="0045219E" w:rsidRDefault="009E24C8" w:rsidP="009E24C8">
    <w:pPr>
      <w:pStyle w:val="Header"/>
      <w:rPr>
        <w:rFonts w:ascii="Times New Roman" w:hAnsi="Times New Roman" w:cs="Times New Roman"/>
      </w:rPr>
    </w:pPr>
    <w:r w:rsidRPr="00456E1B">
      <w:rPr>
        <w:rFonts w:ascii="Times New Roman" w:hAnsi="Times New Roman" w:cs="Times New Roman"/>
        <w:sz w:val="24"/>
        <w:szCs w:val="24"/>
      </w:rPr>
      <w:t>Tampellini-revised-</w:t>
    </w:r>
    <w:r>
      <w:rPr>
        <w:rFonts w:ascii="Times New Roman" w:hAnsi="Times New Roman" w:cs="Times New Roman"/>
        <w:sz w:val="24"/>
        <w:szCs w:val="24"/>
      </w:rPr>
      <w:t>supplementary-Figures</w:t>
    </w:r>
    <w:r w:rsidRPr="00456E1B">
      <w:rPr>
        <w:rFonts w:ascii="Times New Roman" w:hAnsi="Times New Roman" w:cs="Times New Roman"/>
        <w:sz w:val="24"/>
        <w:szCs w:val="24"/>
      </w:rPr>
      <w:t>-KAUP-2021-0737</w:t>
    </w:r>
    <w:r>
      <w:rPr>
        <w:rFonts w:ascii="Times New Roman" w:hAnsi="Times New Roman" w:cs="Times New Roman"/>
        <w:sz w:val="24"/>
        <w:szCs w:val="24"/>
      </w:rPr>
      <w:t xml:space="preserve"> R2</w:t>
    </w:r>
  </w:p>
  <w:p w14:paraId="35B03FB8" w14:textId="77777777" w:rsidR="009E24C8" w:rsidRDefault="009E24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B12"/>
    <w:rsid w:val="000E5BCE"/>
    <w:rsid w:val="00187B12"/>
    <w:rsid w:val="00247CD0"/>
    <w:rsid w:val="00284EF7"/>
    <w:rsid w:val="002A081F"/>
    <w:rsid w:val="004D2B2F"/>
    <w:rsid w:val="0058741F"/>
    <w:rsid w:val="00704F06"/>
    <w:rsid w:val="007E4ED6"/>
    <w:rsid w:val="00817696"/>
    <w:rsid w:val="0082621A"/>
    <w:rsid w:val="00847294"/>
    <w:rsid w:val="008D154C"/>
    <w:rsid w:val="009226F2"/>
    <w:rsid w:val="00931EB1"/>
    <w:rsid w:val="009E24C8"/>
    <w:rsid w:val="00A24889"/>
    <w:rsid w:val="00A71A39"/>
    <w:rsid w:val="00A849BE"/>
    <w:rsid w:val="00A84BDA"/>
    <w:rsid w:val="00C51614"/>
    <w:rsid w:val="00D15FE0"/>
    <w:rsid w:val="00E51BE1"/>
    <w:rsid w:val="00E723D0"/>
    <w:rsid w:val="00F4167B"/>
    <w:rsid w:val="00F53676"/>
    <w:rsid w:val="00FE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B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847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2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4C8"/>
  </w:style>
  <w:style w:type="paragraph" w:styleId="Footer">
    <w:name w:val="footer"/>
    <w:basedOn w:val="Normal"/>
    <w:link w:val="FooterChar"/>
    <w:uiPriority w:val="99"/>
    <w:unhideWhenUsed/>
    <w:rsid w:val="009E2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2022-06-22T07:10:00Z</dcterms:created>
  <dcterms:modified xsi:type="dcterms:W3CDTF">2022-06-24T16:15:00Z</dcterms:modified>
</cp:coreProperties>
</file>