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A8E6E" w14:textId="77777777" w:rsidR="00C21788" w:rsidRPr="0016692C" w:rsidRDefault="00C21788" w:rsidP="00C21788">
      <w:pPr>
        <w:widowControl w:val="0"/>
        <w:autoSpaceDE w:val="0"/>
        <w:autoSpaceDN w:val="0"/>
        <w:adjustRightInd w:val="0"/>
        <w:spacing w:line="240" w:lineRule="auto"/>
        <w:jc w:val="center"/>
        <w:rPr>
          <w:b/>
          <w:color w:val="000000" w:themeColor="text1"/>
          <w:sz w:val="28"/>
          <w:szCs w:val="28"/>
          <w:u w:val="single"/>
        </w:rPr>
      </w:pPr>
      <w:r w:rsidRPr="0016692C">
        <w:rPr>
          <w:b/>
          <w:color w:val="000000" w:themeColor="text1"/>
          <w:sz w:val="28"/>
          <w:szCs w:val="28"/>
          <w:u w:val="single"/>
        </w:rPr>
        <w:t>Supplementary Information</w:t>
      </w:r>
      <w:r w:rsidR="00BA5B1C">
        <w:rPr>
          <w:b/>
          <w:color w:val="000000" w:themeColor="text1"/>
          <w:sz w:val="28"/>
          <w:szCs w:val="28"/>
          <w:u w:val="single"/>
        </w:rPr>
        <w:t xml:space="preserve"> (SI)</w:t>
      </w:r>
      <w:r w:rsidRPr="0016692C">
        <w:rPr>
          <w:b/>
          <w:color w:val="000000" w:themeColor="text1"/>
          <w:sz w:val="28"/>
          <w:szCs w:val="28"/>
          <w:u w:val="single"/>
        </w:rPr>
        <w:t>:</w:t>
      </w:r>
    </w:p>
    <w:p w14:paraId="17C6BE2C" w14:textId="77777777" w:rsidR="00C21788" w:rsidRPr="0016692C" w:rsidRDefault="00C21788" w:rsidP="00C21788">
      <w:pPr>
        <w:pStyle w:val="Articletitle"/>
        <w:spacing w:line="276" w:lineRule="auto"/>
        <w:rPr>
          <w:color w:val="000000" w:themeColor="text1"/>
          <w:u w:val="single"/>
        </w:rPr>
      </w:pPr>
    </w:p>
    <w:p w14:paraId="3C0487E0" w14:textId="77777777" w:rsidR="00E42819" w:rsidRPr="00082A19" w:rsidRDefault="00E42819" w:rsidP="00E42819">
      <w:pPr>
        <w:pStyle w:val="Articletitle"/>
        <w:spacing w:line="276" w:lineRule="auto"/>
        <w:jc w:val="center"/>
        <w:rPr>
          <w:color w:val="000000" w:themeColor="text1"/>
        </w:rPr>
      </w:pPr>
      <w:r w:rsidRPr="00082A19">
        <w:rPr>
          <w:color w:val="000000" w:themeColor="text1"/>
        </w:rPr>
        <w:t xml:space="preserve">Numerical investigations on the difference between aiding and opposing flows </w:t>
      </w:r>
      <w:r>
        <w:rPr>
          <w:color w:val="000000" w:themeColor="text1"/>
        </w:rPr>
        <w:t xml:space="preserve">in the developing regime </w:t>
      </w:r>
      <w:r w:rsidRPr="00082A19">
        <w:rPr>
          <w:color w:val="000000" w:themeColor="text1"/>
        </w:rPr>
        <w:t>of laminar mixed convecti</w:t>
      </w:r>
      <w:r>
        <w:rPr>
          <w:color w:val="000000" w:themeColor="text1"/>
        </w:rPr>
        <w:t>on</w:t>
      </w:r>
      <w:r w:rsidRPr="00082A19">
        <w:rPr>
          <w:color w:val="000000" w:themeColor="text1"/>
        </w:rPr>
        <w:t xml:space="preserve"> in vertical tubes</w:t>
      </w:r>
    </w:p>
    <w:p w14:paraId="71AF8191" w14:textId="77777777" w:rsidR="001B1A67" w:rsidRPr="00082A19" w:rsidRDefault="001B1A67" w:rsidP="001B1A67">
      <w:pPr>
        <w:pStyle w:val="Authornames"/>
        <w:spacing w:line="276" w:lineRule="auto"/>
        <w:jc w:val="center"/>
        <w:rPr>
          <w:color w:val="000000" w:themeColor="text1"/>
        </w:rPr>
      </w:pPr>
      <w:r w:rsidRPr="00082A19">
        <w:rPr>
          <w:color w:val="000000" w:themeColor="text1"/>
        </w:rPr>
        <w:t xml:space="preserve">Somenath </w:t>
      </w:r>
      <w:proofErr w:type="spellStart"/>
      <w:proofErr w:type="gramStart"/>
      <w:r w:rsidRPr="00082A19">
        <w:rPr>
          <w:color w:val="000000" w:themeColor="text1"/>
        </w:rPr>
        <w:t>Gorai</w:t>
      </w:r>
      <w:r w:rsidRPr="00082A19">
        <w:rPr>
          <w:color w:val="000000" w:themeColor="text1"/>
          <w:vertAlign w:val="superscript"/>
        </w:rPr>
        <w:t>a,b</w:t>
      </w:r>
      <w:proofErr w:type="spellEnd"/>
      <w:proofErr w:type="gramEnd"/>
      <w:r w:rsidRPr="00082A19">
        <w:rPr>
          <w:color w:val="000000" w:themeColor="text1"/>
        </w:rPr>
        <w:t xml:space="preserve">, Sarit K. </w:t>
      </w:r>
      <w:proofErr w:type="spellStart"/>
      <w:r w:rsidRPr="00082A19">
        <w:rPr>
          <w:color w:val="000000" w:themeColor="text1"/>
        </w:rPr>
        <w:t>Das</w:t>
      </w:r>
      <w:r w:rsidRPr="00082A19">
        <w:rPr>
          <w:color w:val="000000" w:themeColor="text1"/>
          <w:vertAlign w:val="superscript"/>
        </w:rPr>
        <w:t>c</w:t>
      </w:r>
      <w:proofErr w:type="spellEnd"/>
      <w:r>
        <w:rPr>
          <w:color w:val="000000" w:themeColor="text1"/>
        </w:rPr>
        <w:t>*</w:t>
      </w:r>
      <w:r w:rsidRPr="00082A19">
        <w:rPr>
          <w:color w:val="000000" w:themeColor="text1"/>
        </w:rPr>
        <w:t xml:space="preserve"> and Devranjan </w:t>
      </w:r>
      <w:proofErr w:type="spellStart"/>
      <w:r w:rsidRPr="00082A19">
        <w:rPr>
          <w:color w:val="000000" w:themeColor="text1"/>
        </w:rPr>
        <w:t>Samanta</w:t>
      </w:r>
      <w:r w:rsidRPr="00082A19">
        <w:rPr>
          <w:color w:val="000000" w:themeColor="text1"/>
          <w:vertAlign w:val="superscript"/>
        </w:rPr>
        <w:t>a</w:t>
      </w:r>
      <w:proofErr w:type="spellEnd"/>
      <w:r>
        <w:rPr>
          <w:color w:val="000000" w:themeColor="text1"/>
        </w:rPr>
        <w:t>*</w:t>
      </w:r>
    </w:p>
    <w:p w14:paraId="750A849E" w14:textId="77777777" w:rsidR="001B1A67" w:rsidRPr="00082A19" w:rsidRDefault="001B1A67" w:rsidP="001B1A67">
      <w:pPr>
        <w:pStyle w:val="Affiliation"/>
        <w:spacing w:line="276" w:lineRule="auto"/>
        <w:jc w:val="center"/>
        <w:rPr>
          <w:color w:val="000000" w:themeColor="text1"/>
          <w:vertAlign w:val="superscript"/>
        </w:rPr>
      </w:pPr>
      <w:proofErr w:type="spellStart"/>
      <w:r w:rsidRPr="00082A19">
        <w:rPr>
          <w:color w:val="000000" w:themeColor="text1"/>
          <w:vertAlign w:val="superscript"/>
        </w:rPr>
        <w:t>a</w:t>
      </w:r>
      <w:r w:rsidRPr="00082A19">
        <w:rPr>
          <w:color w:val="000000" w:themeColor="text1"/>
        </w:rPr>
        <w:t>Department</w:t>
      </w:r>
      <w:proofErr w:type="spellEnd"/>
      <w:r w:rsidRPr="00082A19">
        <w:rPr>
          <w:color w:val="000000" w:themeColor="text1"/>
        </w:rPr>
        <w:t xml:space="preserve"> of Mechanical Engineering, Indian Institute of Technology Ropar, Rupnagar, India;</w:t>
      </w:r>
      <w:r w:rsidRPr="00082A19">
        <w:rPr>
          <w:color w:val="000000" w:themeColor="text1"/>
        </w:rPr>
        <w:br/>
      </w:r>
      <w:proofErr w:type="spellStart"/>
      <w:r w:rsidRPr="00082A19">
        <w:rPr>
          <w:color w:val="000000" w:themeColor="text1"/>
          <w:vertAlign w:val="superscript"/>
        </w:rPr>
        <w:t>b</w:t>
      </w:r>
      <w:r w:rsidRPr="00082A19">
        <w:rPr>
          <w:color w:val="000000" w:themeColor="text1"/>
        </w:rPr>
        <w:t>Department</w:t>
      </w:r>
      <w:proofErr w:type="spellEnd"/>
      <w:r w:rsidRPr="00082A19">
        <w:rPr>
          <w:color w:val="000000" w:themeColor="text1"/>
        </w:rPr>
        <w:t xml:space="preserve"> of Mechanical Engineering, Manipal University Jaipur, Jaipur, </w:t>
      </w:r>
      <w:proofErr w:type="gramStart"/>
      <w:r w:rsidRPr="00082A19">
        <w:rPr>
          <w:color w:val="000000" w:themeColor="text1"/>
        </w:rPr>
        <w:t>India;</w:t>
      </w:r>
      <w:proofErr w:type="gramEnd"/>
    </w:p>
    <w:p w14:paraId="2F8EA5CC" w14:textId="77777777" w:rsidR="001B1A67" w:rsidRPr="00082A19" w:rsidRDefault="001B1A67" w:rsidP="001B1A67">
      <w:pPr>
        <w:pStyle w:val="Affiliation"/>
        <w:spacing w:line="276" w:lineRule="auto"/>
        <w:jc w:val="center"/>
        <w:rPr>
          <w:color w:val="000000" w:themeColor="text1"/>
        </w:rPr>
      </w:pPr>
      <w:proofErr w:type="spellStart"/>
      <w:r w:rsidRPr="00082A19">
        <w:rPr>
          <w:color w:val="000000" w:themeColor="text1"/>
          <w:vertAlign w:val="superscript"/>
        </w:rPr>
        <w:t>c</w:t>
      </w:r>
      <w:r w:rsidRPr="00082A19">
        <w:rPr>
          <w:color w:val="000000" w:themeColor="text1"/>
        </w:rPr>
        <w:t>Department</w:t>
      </w:r>
      <w:proofErr w:type="spellEnd"/>
      <w:r w:rsidRPr="00082A19">
        <w:rPr>
          <w:color w:val="000000" w:themeColor="text1"/>
        </w:rPr>
        <w:t xml:space="preserve"> of Mechanical Engineering, Indian Institute of Technology Madras, Chennai, India</w:t>
      </w:r>
    </w:p>
    <w:p w14:paraId="0C92AACF" w14:textId="0E7B5B74" w:rsidR="001B1A67" w:rsidRPr="001B1A67" w:rsidRDefault="001B1A67" w:rsidP="001B1A67">
      <w:pPr>
        <w:jc w:val="center"/>
      </w:pPr>
      <w:r>
        <w:rPr>
          <w:color w:val="000000" w:themeColor="text1"/>
        </w:rPr>
        <w:t>*</w:t>
      </w:r>
      <w:r w:rsidRPr="00082A19">
        <w:rPr>
          <w:color w:val="000000" w:themeColor="text1"/>
        </w:rPr>
        <w:t xml:space="preserve">Corresponding author: </w:t>
      </w:r>
      <w:hyperlink r:id="rId7" w:history="1">
        <w:r w:rsidRPr="00082A19">
          <w:rPr>
            <w:rStyle w:val="Hyperlink"/>
            <w:color w:val="000000" w:themeColor="text1"/>
          </w:rPr>
          <w:t>devranjan.samanta@iitrpr.ac.in</w:t>
        </w:r>
      </w:hyperlink>
    </w:p>
    <w:p w14:paraId="1D40EB18" w14:textId="77777777" w:rsidR="00C21788" w:rsidRDefault="00C21788" w:rsidP="008A44D9">
      <w:pPr>
        <w:widowControl w:val="0"/>
        <w:autoSpaceDE w:val="0"/>
        <w:autoSpaceDN w:val="0"/>
        <w:adjustRightInd w:val="0"/>
        <w:spacing w:line="240" w:lineRule="auto"/>
        <w:jc w:val="both"/>
      </w:pPr>
    </w:p>
    <w:p w14:paraId="5E87BA41" w14:textId="30851F08" w:rsidR="00C21788" w:rsidRDefault="00C21788" w:rsidP="00C21788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 w:rsidRPr="00723E24">
        <w:t xml:space="preserve"> </w:t>
      </w:r>
      <w:r w:rsidR="006A3F27">
        <w:rPr>
          <w:noProof/>
        </w:rPr>
        <w:drawing>
          <wp:inline distT="0" distB="0" distL="0" distR="0" wp14:anchorId="5AB99DAB" wp14:editId="75D5DB6C">
            <wp:extent cx="5396865" cy="2204720"/>
            <wp:effectExtent l="0" t="0" r="0" b="5080"/>
            <wp:docPr id="11" name="Picture 1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134D8" w14:textId="77777777" w:rsidR="00C21788" w:rsidRDefault="00C21788" w:rsidP="00C21788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t>(a)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(b)</w:t>
      </w:r>
    </w:p>
    <w:p w14:paraId="01550529" w14:textId="1F988F7A" w:rsidR="00C21788" w:rsidRDefault="005E1738" w:rsidP="00C21788">
      <w:pPr>
        <w:widowControl w:val="0"/>
        <w:autoSpaceDE w:val="0"/>
        <w:autoSpaceDN w:val="0"/>
        <w:adjustRightInd w:val="0"/>
        <w:spacing w:line="240" w:lineRule="auto"/>
      </w:pPr>
      <w:r>
        <w:t>Fig. SI-</w:t>
      </w:r>
      <w:r w:rsidR="00DD164B">
        <w:t>1</w:t>
      </w:r>
      <w:r>
        <w:t>:</w:t>
      </w:r>
      <w:r w:rsidR="00264DBC">
        <w:t xml:space="preserve"> </w:t>
      </w:r>
      <w:r>
        <w:t>Magnified</w:t>
      </w:r>
      <w:r w:rsidR="00C21788">
        <w:t xml:space="preserve"> view of (a) Fig. 5b and (b) Fig. 16b within region </w:t>
      </w:r>
      <m:oMath>
        <m:r>
          <m:rPr>
            <m:sty m:val="p"/>
          </m:rPr>
          <w:rPr>
            <w:rFonts w:ascii="Cambria Math" w:hAnsi="Cambria Math"/>
          </w:rPr>
          <m:t>0.5≤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r</m:t>
            </m:r>
          </m:num>
          <m:den>
            <m:r>
              <w:rPr>
                <w:rFonts w:ascii="Cambria Math" w:hAnsi="Cambria Math"/>
              </w:rPr>
              <m:t>R</m:t>
            </m:r>
          </m:den>
        </m:f>
        <m:r>
          <m:rPr>
            <m:sty m:val="p"/>
          </m:rPr>
          <w:rPr>
            <w:rFonts w:ascii="Cambria Math" w:hAnsi="Cambria Math"/>
          </w:rPr>
          <m:t>≤0.70</m:t>
        </m:r>
      </m:oMath>
    </w:p>
    <w:p w14:paraId="6080439D" w14:textId="3CD7CF52" w:rsidR="00264DBC" w:rsidRDefault="00F93BDB" w:rsidP="00264DBC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  <w:rPr>
          <w:noProof/>
        </w:rPr>
      </w:pPr>
      <w:r>
        <w:rPr>
          <w:noProof/>
        </w:rPr>
        <w:drawing>
          <wp:inline distT="0" distB="0" distL="0" distR="0" wp14:anchorId="1E2398A3" wp14:editId="41A33302">
            <wp:extent cx="5396865" cy="21913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DBC" w:rsidRPr="003C3A1B">
        <w:rPr>
          <w:noProof/>
        </w:rPr>
        <w:t xml:space="preserve"> </w:t>
      </w:r>
    </w:p>
    <w:p w14:paraId="33AED09A" w14:textId="77777777" w:rsidR="00264DBC" w:rsidRDefault="00264DBC" w:rsidP="00264DBC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t>(a)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(b)</w:t>
      </w:r>
    </w:p>
    <w:p w14:paraId="5485735E" w14:textId="6ABFFFD5" w:rsidR="00264DBC" w:rsidRDefault="00264DBC" w:rsidP="00264DBC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t>Fig. SI-</w:t>
      </w:r>
      <w:r w:rsidR="00DD164B">
        <w:t>2</w:t>
      </w:r>
      <w:r>
        <w:t>: (a) Velocity profile and (b) magnified velocity near the walls (</w:t>
      </w:r>
      <m:oMath>
        <m:r>
          <w:rPr>
            <w:rFonts w:ascii="Cambria Math" w:hAnsi="Cambria Math"/>
          </w:rPr>
          <m:t>0.95≤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r</m:t>
            </m:r>
          </m:num>
          <m:den>
            <m:r>
              <w:rPr>
                <w:rFonts w:ascii="Cambria Math" w:hAnsi="Cambria Math"/>
              </w:rPr>
              <m:t>R</m:t>
            </m:r>
          </m:den>
        </m:f>
        <m:r>
          <w:rPr>
            <w:rFonts w:ascii="Cambria Math" w:hAnsi="Cambria Math"/>
          </w:rPr>
          <m:t>≤1</m:t>
        </m:r>
      </m:oMath>
      <w:r>
        <w:t xml:space="preserve">) at different </w:t>
      </w:r>
      <w:r>
        <w:lastRenderedPageBreak/>
        <w:t xml:space="preserve">axial length (for Fig. 5b at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</m:t>
            </m:r>
          </m:e>
        </m:acc>
        <m:r>
          <w:rPr>
            <w:rFonts w:ascii="Cambria Math" w:hAnsi="Cambria Math"/>
          </w:rPr>
          <m:t>=2 kW/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)</w:t>
      </w:r>
    </w:p>
    <w:p w14:paraId="61EF5E43" w14:textId="77777777" w:rsidR="006A3F27" w:rsidRDefault="006A3F27" w:rsidP="00C12E5D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rPr>
          <w:noProof/>
        </w:rPr>
        <w:drawing>
          <wp:inline distT="0" distB="0" distL="0" distR="0" wp14:anchorId="37987958" wp14:editId="0E7C0B6B">
            <wp:extent cx="5396865" cy="2193925"/>
            <wp:effectExtent l="0" t="0" r="0" b="0"/>
            <wp:docPr id="13" name="Picture 1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0CFE871" w14:textId="5FFC0241" w:rsidR="00C12E5D" w:rsidRDefault="00C12E5D" w:rsidP="00C12E5D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t>(a)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(b)</w:t>
      </w:r>
    </w:p>
    <w:p w14:paraId="0FB6524E" w14:textId="05FECB63" w:rsidR="00264DBC" w:rsidRDefault="00C12E5D" w:rsidP="00C12E5D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t>Fig. SI-</w:t>
      </w:r>
      <w:r w:rsidR="00062951">
        <w:t>3</w:t>
      </w:r>
      <w:r>
        <w:t xml:space="preserve">: Magnified view of (a) Fig. 5b and (b) Fig. 16b adjacent to the wall i.e., </w:t>
      </w:r>
      <m:oMath>
        <m:r>
          <m:rPr>
            <m:sty m:val="p"/>
          </m:rPr>
          <w:rPr>
            <w:rFonts w:ascii="Cambria Math" w:hAnsi="Cambria Math"/>
          </w:rPr>
          <m:t>0.7≤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r</m:t>
            </m:r>
          </m:num>
          <m:den>
            <m:r>
              <w:rPr>
                <w:rFonts w:ascii="Cambria Math" w:hAnsi="Cambria Math"/>
              </w:rPr>
              <m:t>R</m:t>
            </m:r>
          </m:den>
        </m:f>
        <m:r>
          <m:rPr>
            <m:sty m:val="p"/>
          </m:rPr>
          <w:rPr>
            <w:rFonts w:ascii="Cambria Math" w:hAnsi="Cambria Math"/>
          </w:rPr>
          <m:t>≤1</m:t>
        </m:r>
      </m:oMath>
      <w:r>
        <w:t>, based upon which the friction factor is defined</w:t>
      </w:r>
    </w:p>
    <w:p w14:paraId="5104C15A" w14:textId="452F9DA2" w:rsidR="00174FD2" w:rsidRDefault="006A3F27" w:rsidP="00174FD2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rPr>
          <w:noProof/>
        </w:rPr>
        <w:drawing>
          <wp:inline distT="0" distB="0" distL="0" distR="0" wp14:anchorId="268656BB" wp14:editId="1E3FF4A0">
            <wp:extent cx="5396865" cy="2191385"/>
            <wp:effectExtent l="0" t="0" r="0" b="0"/>
            <wp:docPr id="14" name="Picture 14" descr="Chart, line 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line 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A6E5D" w14:textId="77777777" w:rsidR="00174FD2" w:rsidRDefault="00174FD2" w:rsidP="00174FD2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t>(a)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(b)</w:t>
      </w:r>
    </w:p>
    <w:p w14:paraId="1ACD4CB7" w14:textId="622C05AE" w:rsidR="00174FD2" w:rsidRDefault="00174FD2" w:rsidP="006A3F27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t>Fig. SI-4: Wall temperature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>
        <w:t>) and mean temperature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>
        <w:t xml:space="preserve">) variation at different axial length (for Fig. 7b and 18b at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</m:t>
            </m:r>
          </m:e>
        </m:acc>
        <m:r>
          <w:rPr>
            <w:rFonts w:ascii="Cambria Math" w:hAnsi="Cambria Math"/>
          </w:rPr>
          <m:t>=2 kW/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) for (a) assisting and (b) opposing flow</w:t>
      </w:r>
    </w:p>
    <w:p w14:paraId="35B39C55" w14:textId="77777777" w:rsidR="00C21788" w:rsidRDefault="00C21788" w:rsidP="00C21788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</w:p>
    <w:p w14:paraId="468149B0" w14:textId="10173DD6" w:rsidR="00C21788" w:rsidRDefault="006A3F27" w:rsidP="00C21788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rPr>
          <w:noProof/>
        </w:rPr>
        <w:drawing>
          <wp:inline distT="0" distB="0" distL="0" distR="0" wp14:anchorId="4D9C424A" wp14:editId="5C3E6EC3">
            <wp:extent cx="5396865" cy="2204720"/>
            <wp:effectExtent l="0" t="0" r="0" b="5080"/>
            <wp:docPr id="15" name="Picture 1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788" w:rsidRPr="004323C7">
        <w:t xml:space="preserve"> </w:t>
      </w:r>
    </w:p>
    <w:p w14:paraId="68F4BDF3" w14:textId="77777777" w:rsidR="00C21788" w:rsidRPr="00992361" w:rsidRDefault="00C21788" w:rsidP="00C21788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t>(a)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(b)</w:t>
      </w:r>
    </w:p>
    <w:p w14:paraId="6B49B552" w14:textId="2F5298E3" w:rsidR="00C21788" w:rsidRDefault="00C21788" w:rsidP="006A3F27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t>Fig. SI-</w:t>
      </w:r>
      <w:r w:rsidR="008A2524">
        <w:t>5</w:t>
      </w:r>
      <w:r>
        <w:t xml:space="preserve">: </w:t>
      </w:r>
      <w:r w:rsidR="00BD5C82">
        <w:t>Magnified</w:t>
      </w:r>
      <w:r>
        <w:t xml:space="preserve"> view of (a) Fig. 8b and (b) Fig. 19b</w:t>
      </w:r>
    </w:p>
    <w:p w14:paraId="05BDFB43" w14:textId="1539126B" w:rsidR="00C21788" w:rsidRDefault="006A3F27" w:rsidP="00C21788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rPr>
          <w:noProof/>
        </w:rPr>
        <w:lastRenderedPageBreak/>
        <w:drawing>
          <wp:inline distT="0" distB="0" distL="0" distR="0" wp14:anchorId="78581AED" wp14:editId="305E5E40">
            <wp:extent cx="5396865" cy="2191385"/>
            <wp:effectExtent l="0" t="0" r="0" b="0"/>
            <wp:docPr id="16" name="Picture 16" descr="Chart, diagram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diagram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788" w:rsidRPr="00FB05ED">
        <w:t xml:space="preserve"> </w:t>
      </w:r>
    </w:p>
    <w:p w14:paraId="645CDF2D" w14:textId="77777777" w:rsidR="00C21788" w:rsidRDefault="00C21788" w:rsidP="00C21788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t>(a)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(b)</w:t>
      </w:r>
    </w:p>
    <w:p w14:paraId="59EAB722" w14:textId="55D457CD" w:rsidR="00C21788" w:rsidRDefault="00C21788" w:rsidP="00C21788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t>Fig. SI-</w:t>
      </w:r>
      <w:r w:rsidR="0019040F">
        <w:t>6</w:t>
      </w:r>
      <w:r>
        <w:t xml:space="preserve">: </w:t>
      </w:r>
      <w:r w:rsidR="00000002">
        <w:t>Magnified</w:t>
      </w:r>
      <w:r>
        <w:t xml:space="preserve"> view of (a) Fig. 12b and (b) Fig. 23b</w:t>
      </w:r>
    </w:p>
    <w:p w14:paraId="1C8081E0" w14:textId="77777777" w:rsidR="00C21788" w:rsidRDefault="00C21788" w:rsidP="00C21788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</w:p>
    <w:p w14:paraId="09031EC8" w14:textId="248CBB40" w:rsidR="00C21788" w:rsidRDefault="006A3F27" w:rsidP="00C21788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rPr>
          <w:noProof/>
        </w:rPr>
        <w:drawing>
          <wp:inline distT="0" distB="0" distL="0" distR="0" wp14:anchorId="428B7D33" wp14:editId="2BCF0B71">
            <wp:extent cx="5396865" cy="2191385"/>
            <wp:effectExtent l="0" t="0" r="0" b="0"/>
            <wp:docPr id="17" name="Picture 17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788" w:rsidRPr="00D23C1B">
        <w:t xml:space="preserve"> </w:t>
      </w:r>
    </w:p>
    <w:p w14:paraId="57C09F2B" w14:textId="77777777" w:rsidR="00C21788" w:rsidRDefault="00C21788" w:rsidP="00C21788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t>(a)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(b)</w:t>
      </w:r>
    </w:p>
    <w:p w14:paraId="13A71D86" w14:textId="524967FF" w:rsidR="00C21788" w:rsidRDefault="00C21788" w:rsidP="00C21788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t>Fig. SI-</w:t>
      </w:r>
      <w:r w:rsidR="00D45130">
        <w:t>7</w:t>
      </w:r>
      <w:r>
        <w:t xml:space="preserve">: </w:t>
      </w:r>
      <w:r w:rsidR="00000002">
        <w:t>Magnified</w:t>
      </w:r>
      <w:r>
        <w:t xml:space="preserve"> view of (a) Fig. 14 and (b) Fig. 25</w:t>
      </w:r>
    </w:p>
    <w:p w14:paraId="39B84676" w14:textId="5F76069F" w:rsidR="005960B0" w:rsidRDefault="006A3F27" w:rsidP="005960B0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  <w:rPr>
          <w:noProof/>
        </w:rPr>
      </w:pPr>
      <w:r>
        <w:rPr>
          <w:noProof/>
        </w:rPr>
        <w:drawing>
          <wp:inline distT="0" distB="0" distL="0" distR="0" wp14:anchorId="3B4C9C5B" wp14:editId="3379A041">
            <wp:extent cx="5396865" cy="2193925"/>
            <wp:effectExtent l="0" t="0" r="0" b="0"/>
            <wp:docPr id="18" name="Picture 18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0B0" w:rsidRPr="006A7A5D">
        <w:rPr>
          <w:noProof/>
        </w:rPr>
        <w:t xml:space="preserve"> </w:t>
      </w:r>
    </w:p>
    <w:p w14:paraId="6D740278" w14:textId="77777777" w:rsidR="005960B0" w:rsidRDefault="005960B0" w:rsidP="005960B0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t>(a)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(b)</w:t>
      </w:r>
    </w:p>
    <w:p w14:paraId="168F9B20" w14:textId="345EFEFB" w:rsidR="005960B0" w:rsidRPr="008B6360" w:rsidRDefault="005960B0" w:rsidP="005960B0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t>Fig. SI-8: Enlarged view of (a) Fig. 15b and (b) Fig. 26b</w:t>
      </w:r>
    </w:p>
    <w:p w14:paraId="65278F7B" w14:textId="77777777" w:rsidR="005960B0" w:rsidRDefault="005960B0" w:rsidP="00C21788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</w:p>
    <w:p w14:paraId="598E6A08" w14:textId="19D7BF01" w:rsidR="00000002" w:rsidRDefault="009229F3" w:rsidP="00000002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BEE23C4" wp14:editId="64DF1973">
            <wp:extent cx="5396865" cy="22225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2" w:rsidRPr="00415645">
        <w:rPr>
          <w:noProof/>
        </w:rPr>
        <w:t xml:space="preserve"> </w:t>
      </w:r>
    </w:p>
    <w:p w14:paraId="7A76EA5C" w14:textId="75DE2A8E" w:rsidR="008B6360" w:rsidRDefault="008B6360" w:rsidP="008B6360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t>(a)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(b)</w:t>
      </w:r>
    </w:p>
    <w:p w14:paraId="47868F7F" w14:textId="38400DDC" w:rsidR="00000002" w:rsidRDefault="00000002" w:rsidP="00000002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t>Fig. SI-</w:t>
      </w:r>
      <w:r w:rsidR="005960B0">
        <w:t>9</w:t>
      </w:r>
      <w:r>
        <w:t>: (a) Velocity profile and (b) magnified velocity near the walls (</w:t>
      </w:r>
      <m:oMath>
        <m:r>
          <w:rPr>
            <w:rFonts w:ascii="Cambria Math" w:hAnsi="Cambria Math"/>
          </w:rPr>
          <m:t>0.95≤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r</m:t>
            </m:r>
          </m:num>
          <m:den>
            <m:r>
              <w:rPr>
                <w:rFonts w:ascii="Cambria Math" w:hAnsi="Cambria Math"/>
              </w:rPr>
              <m:t>R</m:t>
            </m:r>
          </m:den>
        </m:f>
        <m:r>
          <w:rPr>
            <w:rFonts w:ascii="Cambria Math" w:hAnsi="Cambria Math"/>
          </w:rPr>
          <m:t>≤1</m:t>
        </m:r>
      </m:oMath>
      <w:r>
        <w:t xml:space="preserve">) at different axial length (for Fig. 16b at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</m:t>
            </m:r>
          </m:e>
        </m:acc>
        <m:r>
          <w:rPr>
            <w:rFonts w:ascii="Cambria Math" w:hAnsi="Cambria Math"/>
          </w:rPr>
          <m:t>=2 kW/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)</w:t>
      </w:r>
    </w:p>
    <w:p w14:paraId="1D215FBF" w14:textId="77777777" w:rsidR="00C21788" w:rsidRDefault="00C21788" w:rsidP="008B6360">
      <w:pPr>
        <w:widowControl w:val="0"/>
        <w:autoSpaceDE w:val="0"/>
        <w:autoSpaceDN w:val="0"/>
        <w:adjustRightInd w:val="0"/>
        <w:spacing w:line="240" w:lineRule="auto"/>
      </w:pPr>
    </w:p>
    <w:p w14:paraId="2462E91F" w14:textId="541D5ECA" w:rsidR="00C21788" w:rsidRDefault="00512ED4" w:rsidP="00C21788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  <w:rPr>
          <w:noProof/>
        </w:rPr>
      </w:pPr>
      <w:r>
        <w:rPr>
          <w:noProof/>
        </w:rPr>
        <w:drawing>
          <wp:inline distT="0" distB="0" distL="0" distR="0" wp14:anchorId="05CA5110" wp14:editId="6E3DB337">
            <wp:extent cx="5396865" cy="45631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788" w:rsidRPr="00E0424B">
        <w:rPr>
          <w:noProof/>
        </w:rPr>
        <w:t xml:space="preserve"> </w:t>
      </w:r>
    </w:p>
    <w:p w14:paraId="22A91492" w14:textId="6E2700C2" w:rsidR="00C21788" w:rsidRDefault="00C21788" w:rsidP="00512ED4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t>Fig. SI-1</w:t>
      </w:r>
      <w:r w:rsidR="00B0284B">
        <w:t>0</w:t>
      </w:r>
      <w:r>
        <w:t xml:space="preserve">: Local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t xml:space="preserve"> and </w:t>
      </w:r>
      <m:oMath>
        <m:r>
          <w:rPr>
            <w:rFonts w:ascii="Cambria Math" w:hAnsi="Cambria Math"/>
          </w:rPr>
          <m:t>Nu</m:t>
        </m:r>
      </m:oMath>
      <w:r>
        <w:t xml:space="preserve"> plot corresponding to different </w:t>
      </w:r>
      <m:oMath>
        <m:r>
          <w:rPr>
            <w:rFonts w:ascii="Cambria Math" w:hAnsi="Cambria Math"/>
          </w:rPr>
          <m:t>Ri</m:t>
        </m:r>
      </m:oMath>
      <w:r>
        <w:t xml:space="preserve"> at </w:t>
      </w:r>
      <m:oMath>
        <m:r>
          <w:rPr>
            <w:rFonts w:ascii="Cambria Math" w:hAnsi="Cambria Math"/>
          </w:rPr>
          <m:t>Re=350</m:t>
        </m:r>
      </m:oMath>
      <w:r>
        <w:t xml:space="preserve"> for (a</w:t>
      </w:r>
      <w:r w:rsidR="00711C6C">
        <w:t>, c</w:t>
      </w:r>
      <w:r>
        <w:t>) assisting and (b</w:t>
      </w:r>
      <w:r w:rsidR="00711C6C">
        <w:t>, d</w:t>
      </w:r>
      <w:r>
        <w:t>) opposing flow</w:t>
      </w:r>
      <w:r w:rsidR="00893569">
        <w:t xml:space="preserve"> (numerical instability observed after </w:t>
      </w:r>
      <m:oMath>
        <m:r>
          <w:rPr>
            <w:rFonts w:ascii="Cambria Math" w:hAnsi="Cambria Math"/>
          </w:rPr>
          <m:t>Ri=1.0</m:t>
        </m:r>
      </m:oMath>
      <w:r w:rsidR="00893569">
        <w:t>)</w:t>
      </w:r>
    </w:p>
    <w:p w14:paraId="7DAC668C" w14:textId="77777777" w:rsidR="00512ED4" w:rsidRDefault="00512ED4" w:rsidP="00C21788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rPr>
          <w:noProof/>
        </w:rPr>
        <w:lastRenderedPageBreak/>
        <w:drawing>
          <wp:inline distT="0" distB="0" distL="0" distR="0" wp14:anchorId="194A9517" wp14:editId="6DCEA06D">
            <wp:extent cx="5396865" cy="44811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448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C1435" w14:textId="695504F7" w:rsidR="00C21788" w:rsidRDefault="00C21788" w:rsidP="00C21788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t>Fig. SI-</w:t>
      </w:r>
      <w:r w:rsidR="00B0284B">
        <w:t>11</w:t>
      </w:r>
      <w:r>
        <w:t xml:space="preserve">: Local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t xml:space="preserve"> and </w:t>
      </w:r>
      <m:oMath>
        <m:r>
          <w:rPr>
            <w:rFonts w:ascii="Cambria Math" w:hAnsi="Cambria Math"/>
          </w:rPr>
          <m:t>Nu</m:t>
        </m:r>
      </m:oMath>
      <w:r>
        <w:t xml:space="preserve"> plot corresponding to different </w:t>
      </w:r>
      <m:oMath>
        <m:r>
          <w:rPr>
            <w:rFonts w:ascii="Cambria Math" w:hAnsi="Cambria Math"/>
          </w:rPr>
          <m:t>Ri</m:t>
        </m:r>
      </m:oMath>
      <w:r>
        <w:t xml:space="preserve"> at </w:t>
      </w:r>
      <m:oMath>
        <m:r>
          <w:rPr>
            <w:rFonts w:ascii="Cambria Math" w:hAnsi="Cambria Math"/>
          </w:rPr>
          <m:t>Re=500</m:t>
        </m:r>
      </m:oMath>
      <w:r>
        <w:t xml:space="preserve"> for (a</w:t>
      </w:r>
      <w:r w:rsidR="00E76F2D">
        <w:t>, c</w:t>
      </w:r>
      <w:r>
        <w:t>) assisting and (b</w:t>
      </w:r>
      <w:r w:rsidR="00E76F2D">
        <w:t>, d</w:t>
      </w:r>
      <w:r>
        <w:t>) opposing flow</w:t>
      </w:r>
      <w:r w:rsidR="006C157A">
        <w:t xml:space="preserve"> (numerical instability observed after </w:t>
      </w:r>
      <m:oMath>
        <m:r>
          <w:rPr>
            <w:rFonts w:ascii="Cambria Math" w:hAnsi="Cambria Math"/>
          </w:rPr>
          <m:t>Ri=0.75</m:t>
        </m:r>
      </m:oMath>
      <w:r w:rsidR="006C157A">
        <w:t>)</w:t>
      </w:r>
    </w:p>
    <w:p w14:paraId="31FA12E9" w14:textId="77777777" w:rsidR="00512ED4" w:rsidRDefault="00512ED4" w:rsidP="001E206A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rPr>
          <w:noProof/>
        </w:rPr>
        <w:lastRenderedPageBreak/>
        <w:drawing>
          <wp:inline distT="0" distB="0" distL="0" distR="0" wp14:anchorId="5EC47218" wp14:editId="36EFCC63">
            <wp:extent cx="5396865" cy="45548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FD4A6" w14:textId="46F4A210" w:rsidR="00C21788" w:rsidRDefault="00DE2924" w:rsidP="001E206A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t>Fig. SI-1</w:t>
      </w:r>
      <w:r w:rsidR="00CA4C9C">
        <w:t>2</w:t>
      </w:r>
      <w:r>
        <w:t xml:space="preserve">: Local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t xml:space="preserve"> and </w:t>
      </w:r>
      <m:oMath>
        <m:r>
          <w:rPr>
            <w:rFonts w:ascii="Cambria Math" w:hAnsi="Cambria Math"/>
          </w:rPr>
          <m:t>Nu</m:t>
        </m:r>
      </m:oMath>
      <w:r>
        <w:t xml:space="preserve"> plot corresponding to different </w:t>
      </w:r>
      <m:oMath>
        <m:r>
          <w:rPr>
            <w:rFonts w:ascii="Cambria Math" w:hAnsi="Cambria Math"/>
          </w:rPr>
          <m:t>Ri</m:t>
        </m:r>
      </m:oMath>
      <w:r>
        <w:t xml:space="preserve"> at </w:t>
      </w:r>
      <m:oMath>
        <m:r>
          <w:rPr>
            <w:rFonts w:ascii="Cambria Math" w:hAnsi="Cambria Math"/>
          </w:rPr>
          <m:t>Re=750</m:t>
        </m:r>
      </m:oMath>
      <w:r>
        <w:t xml:space="preserve"> for (a</w:t>
      </w:r>
      <w:r w:rsidR="00C95C27">
        <w:t>, c</w:t>
      </w:r>
      <w:r>
        <w:t>) assisting and (b</w:t>
      </w:r>
      <w:r w:rsidR="00C95C27">
        <w:t>, d</w:t>
      </w:r>
      <w:r>
        <w:t xml:space="preserve">) opposing flow (numerical instability observed after </w:t>
      </w:r>
      <m:oMath>
        <m:r>
          <w:rPr>
            <w:rFonts w:ascii="Cambria Math" w:hAnsi="Cambria Math"/>
          </w:rPr>
          <m:t>Ri=0.5</m:t>
        </m:r>
      </m:oMath>
      <w:r>
        <w:t>)</w:t>
      </w:r>
    </w:p>
    <w:p w14:paraId="57BB1E0B" w14:textId="77777777" w:rsidR="001E206A" w:rsidRDefault="001E206A" w:rsidP="00BA1E26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rPr>
          <w:noProof/>
        </w:rPr>
        <w:lastRenderedPageBreak/>
        <w:drawing>
          <wp:inline distT="0" distB="0" distL="0" distR="0" wp14:anchorId="5EF02D57" wp14:editId="30A6C56C">
            <wp:extent cx="5396865" cy="63214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632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AD50A" w14:textId="3BC2EE9B" w:rsidR="00EC79FF" w:rsidRDefault="005C5716" w:rsidP="00B8720F">
      <w:pPr>
        <w:widowControl w:val="0"/>
        <w:autoSpaceDE w:val="0"/>
        <w:autoSpaceDN w:val="0"/>
        <w:adjustRightInd w:val="0"/>
        <w:spacing w:line="240" w:lineRule="auto"/>
        <w:ind w:hanging="640"/>
        <w:jc w:val="center"/>
      </w:pPr>
      <w:r>
        <w:t xml:space="preserve">Fig. SI-13: Fully developed </w:t>
      </w:r>
      <m:oMath>
        <m:r>
          <w:rPr>
            <w:rFonts w:ascii="Cambria Math" w:hAnsi="Cambria Math"/>
          </w:rPr>
          <m:t>f</m:t>
        </m:r>
      </m:oMath>
      <w:r>
        <w:t xml:space="preserve"> Vs </w:t>
      </w:r>
      <m:oMath>
        <m:r>
          <w:rPr>
            <w:rFonts w:ascii="Cambria Math" w:hAnsi="Cambria Math"/>
          </w:rPr>
          <m:t>Ri</m:t>
        </m:r>
      </m:oMath>
      <w:r>
        <w:t xml:space="preserve"> and </w:t>
      </w:r>
      <m:oMath>
        <m:r>
          <w:rPr>
            <w:rFonts w:ascii="Cambria Math" w:hAnsi="Cambria Math"/>
          </w:rPr>
          <m:t>Nu</m:t>
        </m:r>
      </m:oMath>
      <w:r>
        <w:t xml:space="preserve"> Vs </w:t>
      </w:r>
      <m:oMath>
        <m:r>
          <w:rPr>
            <w:rFonts w:ascii="Cambria Math" w:hAnsi="Cambria Math"/>
          </w:rPr>
          <m:t>Ri</m:t>
        </m:r>
      </m:oMath>
      <w:r>
        <w:t xml:space="preserve"> plots corresponding to (a, b) </w:t>
      </w:r>
      <m:oMath>
        <m:r>
          <w:rPr>
            <w:rFonts w:ascii="Cambria Math" w:hAnsi="Cambria Math"/>
          </w:rPr>
          <m:t>Re=350</m:t>
        </m:r>
      </m:oMath>
      <w:r>
        <w:t xml:space="preserve"> (c, d) </w:t>
      </w:r>
      <m:oMath>
        <m:r>
          <w:rPr>
            <w:rFonts w:ascii="Cambria Math" w:hAnsi="Cambria Math"/>
          </w:rPr>
          <m:t>500</m:t>
        </m:r>
      </m:oMath>
      <w:r>
        <w:t xml:space="preserve"> and (e, f) </w:t>
      </w:r>
      <m:oMath>
        <m:r>
          <w:rPr>
            <w:rFonts w:ascii="Cambria Math" w:hAnsi="Cambria Math"/>
          </w:rPr>
          <m:t>750</m:t>
        </m:r>
      </m:oMath>
      <w:r>
        <w:t xml:space="preserve"> for assisting and opposing flow (numerical instability observed after </w:t>
      </w:r>
      <m:oMath>
        <m:r>
          <w:rPr>
            <w:rFonts w:ascii="Cambria Math" w:hAnsi="Cambria Math"/>
          </w:rPr>
          <m:t>Ri=1.0</m:t>
        </m:r>
      </m:oMath>
      <w:r>
        <w:t xml:space="preserve"> for </w:t>
      </w:r>
      <m:oMath>
        <m:r>
          <w:rPr>
            <w:rFonts w:ascii="Cambria Math" w:hAnsi="Cambria Math"/>
          </w:rPr>
          <m:t>Re=350</m:t>
        </m:r>
      </m:oMath>
      <w:r>
        <w:t xml:space="preserve">, after </w:t>
      </w:r>
      <m:oMath>
        <m:r>
          <w:rPr>
            <w:rFonts w:ascii="Cambria Math" w:hAnsi="Cambria Math"/>
          </w:rPr>
          <m:t>Ri=0.75</m:t>
        </m:r>
      </m:oMath>
      <w:r>
        <w:t xml:space="preserve"> for </w:t>
      </w:r>
      <m:oMath>
        <m:r>
          <w:rPr>
            <w:rFonts w:ascii="Cambria Math" w:hAnsi="Cambria Math"/>
          </w:rPr>
          <m:t>Re=500</m:t>
        </m:r>
      </m:oMath>
      <w:r>
        <w:t xml:space="preserve"> and after </w:t>
      </w:r>
      <m:oMath>
        <m:r>
          <w:rPr>
            <w:rFonts w:ascii="Cambria Math" w:hAnsi="Cambria Math"/>
          </w:rPr>
          <m:t>Ri=0.5</m:t>
        </m:r>
      </m:oMath>
      <w:r>
        <w:t xml:space="preserve"> for </w:t>
      </w:r>
      <m:oMath>
        <m:r>
          <w:rPr>
            <w:rFonts w:ascii="Cambria Math" w:hAnsi="Cambria Math"/>
          </w:rPr>
          <m:t>Re=750</m:t>
        </m:r>
      </m:oMath>
    </w:p>
    <w:sectPr w:rsidR="00EC79FF" w:rsidSect="000579CF">
      <w:footerReference w:type="default" r:id="rId21"/>
      <w:pgSz w:w="11901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62603" w14:textId="77777777" w:rsidR="00A82C1C" w:rsidRDefault="00A82C1C" w:rsidP="00C86706">
      <w:pPr>
        <w:spacing w:line="240" w:lineRule="auto"/>
      </w:pPr>
      <w:r>
        <w:separator/>
      </w:r>
    </w:p>
  </w:endnote>
  <w:endnote w:type="continuationSeparator" w:id="0">
    <w:p w14:paraId="5DDF4527" w14:textId="77777777" w:rsidR="00A82C1C" w:rsidRDefault="00A82C1C" w:rsidP="00C867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76242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83148F" w14:textId="77777777" w:rsidR="005E4ACB" w:rsidRDefault="00C86706">
        <w:pPr>
          <w:pStyle w:val="Footer"/>
          <w:jc w:val="right"/>
        </w:pPr>
        <w:r>
          <w:fldChar w:fldCharType="begin"/>
        </w:r>
        <w:r w:rsidR="00C21788">
          <w:instrText xml:space="preserve"> PAGE   \* MERGEFORMAT </w:instrText>
        </w:r>
        <w:r>
          <w:fldChar w:fldCharType="separate"/>
        </w:r>
        <w:r w:rsidR="00BA5B1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1B8A185" w14:textId="77777777" w:rsidR="005E4ACB" w:rsidRDefault="00A82C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39F54" w14:textId="77777777" w:rsidR="00A82C1C" w:rsidRDefault="00A82C1C" w:rsidP="00C86706">
      <w:pPr>
        <w:spacing w:line="240" w:lineRule="auto"/>
      </w:pPr>
      <w:r>
        <w:separator/>
      </w:r>
    </w:p>
  </w:footnote>
  <w:footnote w:type="continuationSeparator" w:id="0">
    <w:p w14:paraId="23866276" w14:textId="77777777" w:rsidR="00A82C1C" w:rsidRDefault="00A82C1C" w:rsidP="00C8670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D6B0F"/>
    <w:multiLevelType w:val="hybridMultilevel"/>
    <w:tmpl w:val="04B4C7CA"/>
    <w:lvl w:ilvl="0" w:tplc="E018AA40">
      <w:start w:val="1"/>
      <w:numFmt w:val="lowerLetter"/>
      <w:lvlText w:val="(%1)"/>
      <w:lvlJc w:val="left"/>
      <w:pPr>
        <w:ind w:left="4325" w:hanging="496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440" w:hanging="360"/>
      </w:pPr>
    </w:lvl>
    <w:lvl w:ilvl="2" w:tplc="4009001B" w:tentative="1">
      <w:start w:val="1"/>
      <w:numFmt w:val="lowerRoman"/>
      <w:lvlText w:val="%3."/>
      <w:lvlJc w:val="right"/>
      <w:pPr>
        <w:ind w:left="1160" w:hanging="180"/>
      </w:pPr>
    </w:lvl>
    <w:lvl w:ilvl="3" w:tplc="4009000F" w:tentative="1">
      <w:start w:val="1"/>
      <w:numFmt w:val="decimal"/>
      <w:lvlText w:val="%4."/>
      <w:lvlJc w:val="left"/>
      <w:pPr>
        <w:ind w:left="1880" w:hanging="360"/>
      </w:pPr>
    </w:lvl>
    <w:lvl w:ilvl="4" w:tplc="40090019" w:tentative="1">
      <w:start w:val="1"/>
      <w:numFmt w:val="lowerLetter"/>
      <w:lvlText w:val="%5."/>
      <w:lvlJc w:val="left"/>
      <w:pPr>
        <w:ind w:left="2600" w:hanging="360"/>
      </w:pPr>
    </w:lvl>
    <w:lvl w:ilvl="5" w:tplc="4009001B" w:tentative="1">
      <w:start w:val="1"/>
      <w:numFmt w:val="lowerRoman"/>
      <w:lvlText w:val="%6."/>
      <w:lvlJc w:val="right"/>
      <w:pPr>
        <w:ind w:left="3320" w:hanging="180"/>
      </w:pPr>
    </w:lvl>
    <w:lvl w:ilvl="6" w:tplc="4009000F" w:tentative="1">
      <w:start w:val="1"/>
      <w:numFmt w:val="decimal"/>
      <w:lvlText w:val="%7."/>
      <w:lvlJc w:val="left"/>
      <w:pPr>
        <w:ind w:left="4040" w:hanging="360"/>
      </w:pPr>
    </w:lvl>
    <w:lvl w:ilvl="7" w:tplc="40090019" w:tentative="1">
      <w:start w:val="1"/>
      <w:numFmt w:val="lowerLetter"/>
      <w:lvlText w:val="%8."/>
      <w:lvlJc w:val="left"/>
      <w:pPr>
        <w:ind w:left="4760" w:hanging="360"/>
      </w:pPr>
    </w:lvl>
    <w:lvl w:ilvl="8" w:tplc="4009001B" w:tentative="1">
      <w:start w:val="1"/>
      <w:numFmt w:val="lowerRoman"/>
      <w:lvlText w:val="%9."/>
      <w:lvlJc w:val="right"/>
      <w:pPr>
        <w:ind w:left="5480" w:hanging="180"/>
      </w:pPr>
    </w:lvl>
  </w:abstractNum>
  <w:num w:numId="1" w16cid:durableId="1963338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788"/>
    <w:rsid w:val="00000002"/>
    <w:rsid w:val="0005327B"/>
    <w:rsid w:val="000579CF"/>
    <w:rsid w:val="00062951"/>
    <w:rsid w:val="000F4337"/>
    <w:rsid w:val="0016692C"/>
    <w:rsid w:val="00174FD2"/>
    <w:rsid w:val="0019040F"/>
    <w:rsid w:val="001A0363"/>
    <w:rsid w:val="001B1A67"/>
    <w:rsid w:val="001E206A"/>
    <w:rsid w:val="001F386A"/>
    <w:rsid w:val="00217F81"/>
    <w:rsid w:val="0024202A"/>
    <w:rsid w:val="002621A5"/>
    <w:rsid w:val="0026444F"/>
    <w:rsid w:val="00264DBC"/>
    <w:rsid w:val="00265DD5"/>
    <w:rsid w:val="00266D07"/>
    <w:rsid w:val="00297136"/>
    <w:rsid w:val="002E26CC"/>
    <w:rsid w:val="00341DCD"/>
    <w:rsid w:val="0036417B"/>
    <w:rsid w:val="00382BD4"/>
    <w:rsid w:val="003A6B35"/>
    <w:rsid w:val="00481969"/>
    <w:rsid w:val="004A5485"/>
    <w:rsid w:val="00512ED4"/>
    <w:rsid w:val="0054405A"/>
    <w:rsid w:val="00547EFA"/>
    <w:rsid w:val="005779EF"/>
    <w:rsid w:val="00586C40"/>
    <w:rsid w:val="005960B0"/>
    <w:rsid w:val="005A69BE"/>
    <w:rsid w:val="005C5716"/>
    <w:rsid w:val="005D154D"/>
    <w:rsid w:val="005E1738"/>
    <w:rsid w:val="00625CD0"/>
    <w:rsid w:val="00690EA7"/>
    <w:rsid w:val="006A3F27"/>
    <w:rsid w:val="006C157A"/>
    <w:rsid w:val="006D0FBC"/>
    <w:rsid w:val="006F329B"/>
    <w:rsid w:val="006F3DB4"/>
    <w:rsid w:val="006F6F61"/>
    <w:rsid w:val="00711C6C"/>
    <w:rsid w:val="00743203"/>
    <w:rsid w:val="007D401F"/>
    <w:rsid w:val="007E6876"/>
    <w:rsid w:val="008127D0"/>
    <w:rsid w:val="00831E9E"/>
    <w:rsid w:val="008404A3"/>
    <w:rsid w:val="0084473F"/>
    <w:rsid w:val="00893569"/>
    <w:rsid w:val="008A2524"/>
    <w:rsid w:val="008A44D9"/>
    <w:rsid w:val="008B6360"/>
    <w:rsid w:val="008D292B"/>
    <w:rsid w:val="008F564C"/>
    <w:rsid w:val="00916609"/>
    <w:rsid w:val="009229F3"/>
    <w:rsid w:val="00931D3F"/>
    <w:rsid w:val="00967AD4"/>
    <w:rsid w:val="0097202E"/>
    <w:rsid w:val="009A7FDB"/>
    <w:rsid w:val="009C68D1"/>
    <w:rsid w:val="009F0620"/>
    <w:rsid w:val="00A162FD"/>
    <w:rsid w:val="00A72E18"/>
    <w:rsid w:val="00A82C1C"/>
    <w:rsid w:val="00A96B52"/>
    <w:rsid w:val="00AC2F4E"/>
    <w:rsid w:val="00AD5BAD"/>
    <w:rsid w:val="00AE1161"/>
    <w:rsid w:val="00B0284B"/>
    <w:rsid w:val="00B04472"/>
    <w:rsid w:val="00B62BE8"/>
    <w:rsid w:val="00B71E5E"/>
    <w:rsid w:val="00B8720F"/>
    <w:rsid w:val="00BA0D40"/>
    <w:rsid w:val="00BA1E26"/>
    <w:rsid w:val="00BA2F47"/>
    <w:rsid w:val="00BA5B1C"/>
    <w:rsid w:val="00BD5C82"/>
    <w:rsid w:val="00BD7D86"/>
    <w:rsid w:val="00C07FD7"/>
    <w:rsid w:val="00C12E5D"/>
    <w:rsid w:val="00C21788"/>
    <w:rsid w:val="00C47AD5"/>
    <w:rsid w:val="00C517A6"/>
    <w:rsid w:val="00C54AD5"/>
    <w:rsid w:val="00C80E4A"/>
    <w:rsid w:val="00C80F5F"/>
    <w:rsid w:val="00C86706"/>
    <w:rsid w:val="00C95C27"/>
    <w:rsid w:val="00CA4C9C"/>
    <w:rsid w:val="00D41269"/>
    <w:rsid w:val="00D449F3"/>
    <w:rsid w:val="00D45130"/>
    <w:rsid w:val="00D45673"/>
    <w:rsid w:val="00D8335F"/>
    <w:rsid w:val="00DB38C0"/>
    <w:rsid w:val="00DC3013"/>
    <w:rsid w:val="00DD164B"/>
    <w:rsid w:val="00DD73D1"/>
    <w:rsid w:val="00DE233A"/>
    <w:rsid w:val="00DE2924"/>
    <w:rsid w:val="00E42819"/>
    <w:rsid w:val="00E44B77"/>
    <w:rsid w:val="00E55ACD"/>
    <w:rsid w:val="00E76F2D"/>
    <w:rsid w:val="00EC79FF"/>
    <w:rsid w:val="00EF22C8"/>
    <w:rsid w:val="00F15C4A"/>
    <w:rsid w:val="00F2549C"/>
    <w:rsid w:val="00F45F09"/>
    <w:rsid w:val="00F4748F"/>
    <w:rsid w:val="00F5023D"/>
    <w:rsid w:val="00F87A46"/>
    <w:rsid w:val="00F93BDB"/>
    <w:rsid w:val="00FA2DA0"/>
    <w:rsid w:val="00FF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0AD9F"/>
  <w15:docId w15:val="{2DDF13B8-18FD-4C52-9C71-951EFD488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788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icletitle">
    <w:name w:val="Article title"/>
    <w:basedOn w:val="Normal"/>
    <w:next w:val="Normal"/>
    <w:qFormat/>
    <w:rsid w:val="00C21788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Normal"/>
    <w:next w:val="Normal"/>
    <w:qFormat/>
    <w:rsid w:val="00C21788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Normal"/>
    <w:qFormat/>
    <w:rsid w:val="00C21788"/>
    <w:pPr>
      <w:spacing w:before="240" w:line="360" w:lineRule="auto"/>
    </w:pPr>
    <w:rPr>
      <w:i/>
    </w:rPr>
  </w:style>
  <w:style w:type="paragraph" w:styleId="Footer">
    <w:name w:val="footer"/>
    <w:basedOn w:val="Normal"/>
    <w:link w:val="FooterChar"/>
    <w:uiPriority w:val="99"/>
    <w:rsid w:val="00C21788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C21788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rsid w:val="00C2178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17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788"/>
    <w:rPr>
      <w:rFonts w:ascii="Tahoma" w:eastAsia="Times New Roman" w:hAnsi="Tahoma" w:cs="Tahoma"/>
      <w:sz w:val="16"/>
      <w:szCs w:val="16"/>
      <w:lang w:val="en-GB" w:eastAsia="en-GB"/>
    </w:rPr>
  </w:style>
  <w:style w:type="paragraph" w:customStyle="1" w:styleId="Paragraph">
    <w:name w:val="Paragraph"/>
    <w:basedOn w:val="Normal"/>
    <w:next w:val="Newparagraph"/>
    <w:qFormat/>
    <w:rsid w:val="00EC79FF"/>
    <w:pPr>
      <w:widowControl w:val="0"/>
      <w:spacing w:before="240"/>
    </w:pPr>
  </w:style>
  <w:style w:type="paragraph" w:customStyle="1" w:styleId="Newparagraph">
    <w:name w:val="New paragraph"/>
    <w:basedOn w:val="Normal"/>
    <w:qFormat/>
    <w:rsid w:val="00EC79FF"/>
    <w:pPr>
      <w:ind w:firstLine="720"/>
    </w:pPr>
  </w:style>
  <w:style w:type="table" w:styleId="TableGrid">
    <w:name w:val="Table Grid"/>
    <w:basedOn w:val="TableNormal"/>
    <w:rsid w:val="00EC79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444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D15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D15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D154D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15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154D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devranjan.samanta@iitrpr.ac.i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79586E31F79D4692FC8A743C1C8584" ma:contentTypeVersion="12" ma:contentTypeDescription="Create a new document." ma:contentTypeScope="" ma:versionID="f67bb203870f52b7fced5ada5ef16b4c">
  <xsd:schema xmlns:xsd="http://www.w3.org/2001/XMLSchema" xmlns:xs="http://www.w3.org/2001/XMLSchema" xmlns:p="http://schemas.microsoft.com/office/2006/metadata/properties" xmlns:ns2="908ee6de-0759-45ff-8459-b6cb3535e26b" xmlns:ns3="c45411ee-6540-449c-b8e1-94052218f865" targetNamespace="http://schemas.microsoft.com/office/2006/metadata/properties" ma:root="true" ma:fieldsID="284dc7ed36c7f0cb2c82ab995c848536" ns2:_="" ns3:_="">
    <xsd:import namespace="908ee6de-0759-45ff-8459-b6cb3535e26b"/>
    <xsd:import namespace="c45411ee-6540-449c-b8e1-94052218f8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ee6de-0759-45ff-8459-b6cb3535e2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dc0606b-8e5a-4aee-a68c-f4efcab0e8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411ee-6540-449c-b8e1-94052218f865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105bf7a-7df2-45d5-9e5a-8751694df6cd}" ma:internalName="TaxCatchAll" ma:showField="CatchAllData" ma:web="c45411ee-6540-449c-b8e1-94052218f8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E1E8A9-F3F7-4742-BFF5-793E143EB27A}"/>
</file>

<file path=customXml/itemProps2.xml><?xml version="1.0" encoding="utf-8"?>
<ds:datastoreItem xmlns:ds="http://schemas.openxmlformats.org/officeDocument/2006/customXml" ds:itemID="{1064AF25-0537-4F00-91FF-5954A4126F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newadmin</dc:creator>
  <cp:lastModifiedBy>Somenath Gorai [MU - Jaipur]</cp:lastModifiedBy>
  <cp:revision>9</cp:revision>
  <cp:lastPrinted>2022-04-27T07:52:00Z</cp:lastPrinted>
  <dcterms:created xsi:type="dcterms:W3CDTF">2022-04-21T07:18:00Z</dcterms:created>
  <dcterms:modified xsi:type="dcterms:W3CDTF">2022-04-27T08:01:00Z</dcterms:modified>
</cp:coreProperties>
</file>