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4802D0" w14:textId="77777777" w:rsidR="007B1472" w:rsidRDefault="007B1472" w:rsidP="00EA7BF9">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SUPPORTING INFORMATION</w:t>
      </w:r>
    </w:p>
    <w:p w14:paraId="2360352A" w14:textId="6D03F614" w:rsidR="007B1472" w:rsidRDefault="007B1472" w:rsidP="00EA7BF9">
      <w:pPr>
        <w:spacing w:after="0" w:line="240" w:lineRule="auto"/>
        <w:jc w:val="both"/>
        <w:rPr>
          <w:rFonts w:ascii="Times New Roman" w:hAnsi="Times New Roman" w:cs="Times New Roman"/>
          <w:b/>
          <w:bCs/>
          <w:sz w:val="20"/>
          <w:szCs w:val="20"/>
        </w:rPr>
      </w:pPr>
    </w:p>
    <w:p w14:paraId="5BD95510" w14:textId="6CF70212" w:rsidR="007B1472" w:rsidRDefault="007B1472" w:rsidP="007B1472">
      <w:pPr>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Pineapple fiber hybrids </w:t>
      </w:r>
      <w:r w:rsidRPr="00F0166F">
        <w:rPr>
          <w:rFonts w:ascii="Times New Roman" w:hAnsi="Times New Roman" w:cs="Times New Roman"/>
          <w:b/>
          <w:bCs/>
          <w:sz w:val="20"/>
          <w:szCs w:val="20"/>
        </w:rPr>
        <w:t xml:space="preserve">prepared by the fusion of radiation-induced graft polymerization and </w:t>
      </w:r>
      <w:r>
        <w:rPr>
          <w:rFonts w:ascii="Times New Roman" w:hAnsi="Times New Roman" w:cs="Times New Roman"/>
          <w:b/>
          <w:bCs/>
          <w:sz w:val="20"/>
          <w:szCs w:val="20"/>
        </w:rPr>
        <w:t>Kabachnik-Fields three-component reaction (RIG</w:t>
      </w:r>
      <w:r w:rsidRPr="00F0166F">
        <w:rPr>
          <w:rFonts w:ascii="Times New Roman" w:hAnsi="Times New Roman" w:cs="Times New Roman"/>
          <w:b/>
          <w:bCs/>
          <w:sz w:val="20"/>
          <w:szCs w:val="20"/>
        </w:rPr>
        <w:t>P-</w:t>
      </w:r>
      <w:r>
        <w:rPr>
          <w:rFonts w:ascii="Times New Roman" w:hAnsi="Times New Roman" w:cs="Times New Roman"/>
          <w:b/>
          <w:bCs/>
          <w:sz w:val="20"/>
          <w:szCs w:val="20"/>
        </w:rPr>
        <w:t>KF3CR</w:t>
      </w:r>
      <w:r w:rsidRPr="00F0166F">
        <w:rPr>
          <w:rFonts w:ascii="Times New Roman" w:hAnsi="Times New Roman" w:cs="Times New Roman"/>
          <w:b/>
          <w:bCs/>
          <w:sz w:val="20"/>
          <w:szCs w:val="20"/>
        </w:rPr>
        <w:t>)</w:t>
      </w:r>
    </w:p>
    <w:p w14:paraId="3BA13FBF" w14:textId="77777777" w:rsidR="007B1472" w:rsidRDefault="007B1472" w:rsidP="007B1472">
      <w:pPr>
        <w:spacing w:after="0" w:line="240" w:lineRule="auto"/>
        <w:jc w:val="center"/>
        <w:rPr>
          <w:rFonts w:ascii="Times New Roman" w:hAnsi="Times New Roman" w:cs="Times New Roman"/>
          <w:b/>
          <w:bCs/>
          <w:sz w:val="20"/>
          <w:szCs w:val="20"/>
        </w:rPr>
      </w:pPr>
    </w:p>
    <w:p w14:paraId="341762AC" w14:textId="44319AB9" w:rsidR="007B1472" w:rsidRPr="00F0166F" w:rsidRDefault="007B1472" w:rsidP="007B1472">
      <w:pPr>
        <w:spacing w:after="0" w:line="240" w:lineRule="auto"/>
        <w:jc w:val="center"/>
        <w:rPr>
          <w:rFonts w:ascii="Times New Roman" w:hAnsi="Times New Roman" w:cs="Times New Roman"/>
          <w:sz w:val="20"/>
          <w:szCs w:val="20"/>
        </w:rPr>
      </w:pPr>
      <w:bookmarkStart w:id="0" w:name="_GoBack"/>
      <w:bookmarkEnd w:id="0"/>
    </w:p>
    <w:p w14:paraId="1C6515D9" w14:textId="77777777" w:rsidR="007B1472" w:rsidRDefault="007B1472" w:rsidP="00EA7BF9">
      <w:pPr>
        <w:spacing w:after="0" w:line="240" w:lineRule="auto"/>
        <w:jc w:val="both"/>
        <w:rPr>
          <w:rFonts w:ascii="Times New Roman" w:hAnsi="Times New Roman" w:cs="Times New Roman"/>
          <w:b/>
          <w:bCs/>
          <w:sz w:val="20"/>
          <w:szCs w:val="20"/>
        </w:rPr>
      </w:pPr>
    </w:p>
    <w:p w14:paraId="34EF5BEE" w14:textId="3CE4462E" w:rsidR="00EA7BF9" w:rsidRDefault="00EA7BF9" w:rsidP="00EA7BF9">
      <w:pPr>
        <w:spacing w:after="0" w:line="240" w:lineRule="auto"/>
        <w:jc w:val="both"/>
        <w:rPr>
          <w:rFonts w:ascii="Times New Roman" w:hAnsi="Times New Roman" w:cs="Times New Roman"/>
          <w:b/>
          <w:bCs/>
          <w:sz w:val="20"/>
          <w:szCs w:val="20"/>
        </w:rPr>
      </w:pPr>
      <w:r>
        <w:rPr>
          <w:rFonts w:ascii="Times New Roman" w:hAnsi="Times New Roman" w:cs="Times New Roman"/>
          <w:b/>
          <w:bCs/>
          <w:sz w:val="20"/>
          <w:szCs w:val="20"/>
        </w:rPr>
        <w:t xml:space="preserve"> </w:t>
      </w:r>
      <w:r w:rsidRPr="00F0166F">
        <w:rPr>
          <w:rFonts w:ascii="Times New Roman" w:hAnsi="Times New Roman" w:cs="Times New Roman"/>
          <w:b/>
          <w:bCs/>
          <w:sz w:val="20"/>
          <w:szCs w:val="20"/>
        </w:rPr>
        <w:t>Synthesis of vanillin methacrylate</w:t>
      </w:r>
    </w:p>
    <w:p w14:paraId="09E9866A" w14:textId="77777777" w:rsidR="00183D21" w:rsidRDefault="00183D21" w:rsidP="00BD2C3B">
      <w:pPr>
        <w:spacing w:after="0" w:line="240" w:lineRule="auto"/>
        <w:ind w:firstLine="360"/>
        <w:jc w:val="both"/>
        <w:rPr>
          <w:rFonts w:ascii="Times New Roman" w:hAnsi="Times New Roman" w:cs="Times New Roman"/>
          <w:b/>
          <w:bCs/>
          <w:sz w:val="20"/>
          <w:szCs w:val="20"/>
        </w:rPr>
      </w:pPr>
      <w:bookmarkStart w:id="1" w:name="_Hlk93569238"/>
    </w:p>
    <w:p w14:paraId="1051CE2F" w14:textId="43E6D797" w:rsidR="00BD2C3B" w:rsidRPr="00BD2C3B" w:rsidRDefault="00BD2C3B" w:rsidP="00BD2C3B">
      <w:pPr>
        <w:spacing w:after="0" w:line="240" w:lineRule="auto"/>
        <w:ind w:firstLine="360"/>
        <w:jc w:val="both"/>
        <w:rPr>
          <w:rFonts w:ascii="Times New Roman" w:hAnsi="Times New Roman" w:cs="Times New Roman"/>
          <w:sz w:val="20"/>
          <w:szCs w:val="20"/>
        </w:rPr>
      </w:pPr>
      <w:r>
        <w:rPr>
          <w:rFonts w:ascii="Times New Roman" w:hAnsi="Times New Roman" w:cs="Times New Roman"/>
          <w:sz w:val="20"/>
          <w:szCs w:val="20"/>
        </w:rPr>
        <w:t>Vanillin</w:t>
      </w:r>
      <w:r w:rsidRPr="00F0166F">
        <w:rPr>
          <w:rFonts w:ascii="Times New Roman" w:hAnsi="Times New Roman" w:cs="Times New Roman"/>
          <w:sz w:val="20"/>
          <w:szCs w:val="20"/>
        </w:rPr>
        <w:t xml:space="preserve"> </w:t>
      </w:r>
      <w:r>
        <w:rPr>
          <w:rFonts w:ascii="Times New Roman" w:hAnsi="Times New Roman" w:cs="Times New Roman"/>
          <w:sz w:val="20"/>
          <w:szCs w:val="20"/>
        </w:rPr>
        <w:t xml:space="preserve">(99%) </w:t>
      </w:r>
      <w:r w:rsidRPr="00F0166F">
        <w:rPr>
          <w:rFonts w:ascii="Times New Roman" w:hAnsi="Times New Roman" w:cs="Times New Roman"/>
          <w:sz w:val="20"/>
          <w:szCs w:val="20"/>
        </w:rPr>
        <w:t xml:space="preserve">was purchased from </w:t>
      </w:r>
      <w:proofErr w:type="spellStart"/>
      <w:r w:rsidRPr="00F0166F">
        <w:rPr>
          <w:rFonts w:ascii="Times New Roman" w:hAnsi="Times New Roman" w:cs="Times New Roman"/>
          <w:sz w:val="20"/>
          <w:szCs w:val="20"/>
        </w:rPr>
        <w:t>Loba</w:t>
      </w:r>
      <w:proofErr w:type="spellEnd"/>
      <w:r w:rsidRPr="00F0166F">
        <w:rPr>
          <w:rFonts w:ascii="Times New Roman" w:hAnsi="Times New Roman" w:cs="Times New Roman"/>
          <w:sz w:val="20"/>
          <w:szCs w:val="20"/>
        </w:rPr>
        <w:t xml:space="preserve"> </w:t>
      </w:r>
      <w:proofErr w:type="spellStart"/>
      <w:r w:rsidRPr="00F0166F">
        <w:rPr>
          <w:rFonts w:ascii="Times New Roman" w:hAnsi="Times New Roman" w:cs="Times New Roman"/>
          <w:sz w:val="20"/>
          <w:szCs w:val="20"/>
        </w:rPr>
        <w:t>Chemie</w:t>
      </w:r>
      <w:proofErr w:type="spellEnd"/>
      <w:r w:rsidRPr="00F0166F">
        <w:rPr>
          <w:rFonts w:ascii="Times New Roman" w:hAnsi="Times New Roman" w:cs="Times New Roman"/>
          <w:sz w:val="20"/>
          <w:szCs w:val="20"/>
        </w:rPr>
        <w:t xml:space="preserve"> while </w:t>
      </w:r>
      <w:bookmarkStart w:id="2" w:name="_Hlk93569652"/>
      <w:r w:rsidRPr="00F0166F">
        <w:rPr>
          <w:rFonts w:ascii="Times New Roman" w:hAnsi="Times New Roman" w:cs="Times New Roman"/>
          <w:sz w:val="20"/>
          <w:szCs w:val="20"/>
        </w:rPr>
        <w:t>4-dimethylaminopyridine (DMAP</w:t>
      </w:r>
      <w:r>
        <w:rPr>
          <w:rFonts w:ascii="Times New Roman" w:hAnsi="Times New Roman" w:cs="Times New Roman"/>
          <w:sz w:val="20"/>
          <w:szCs w:val="20"/>
        </w:rPr>
        <w:t xml:space="preserve">, </w:t>
      </w:r>
      <w:r>
        <w:rPr>
          <w:rFonts w:ascii="Times New Roman" w:hAnsi="Times New Roman" w:cs="Times New Roman"/>
          <w:sz w:val="20"/>
          <w:szCs w:val="20"/>
        </w:rPr>
        <w:sym w:font="Symbol" w:char="F0B3"/>
      </w:r>
      <w:r>
        <w:rPr>
          <w:rFonts w:ascii="Times New Roman" w:hAnsi="Times New Roman" w:cs="Times New Roman"/>
          <w:sz w:val="20"/>
          <w:szCs w:val="20"/>
        </w:rPr>
        <w:t>99%</w:t>
      </w:r>
      <w:r w:rsidRPr="00F0166F">
        <w:rPr>
          <w:rFonts w:ascii="Times New Roman" w:hAnsi="Times New Roman" w:cs="Times New Roman"/>
          <w:sz w:val="20"/>
          <w:szCs w:val="20"/>
        </w:rPr>
        <w:t xml:space="preserve">) </w:t>
      </w:r>
      <w:bookmarkEnd w:id="2"/>
      <w:r w:rsidRPr="00F0166F">
        <w:rPr>
          <w:rFonts w:ascii="Times New Roman" w:hAnsi="Times New Roman" w:cs="Times New Roman"/>
          <w:sz w:val="20"/>
          <w:szCs w:val="20"/>
        </w:rPr>
        <w:t>and methacrylic anhydride (MA</w:t>
      </w:r>
      <w:r>
        <w:rPr>
          <w:rFonts w:ascii="Times New Roman" w:hAnsi="Times New Roman" w:cs="Times New Roman"/>
          <w:sz w:val="20"/>
          <w:szCs w:val="20"/>
        </w:rPr>
        <w:t>, 94%, with 2000 ppm Topanol A</w:t>
      </w:r>
      <w:r w:rsidRPr="00F0166F">
        <w:rPr>
          <w:rFonts w:ascii="Times New Roman" w:hAnsi="Times New Roman" w:cs="Times New Roman"/>
          <w:sz w:val="20"/>
          <w:szCs w:val="20"/>
        </w:rPr>
        <w:t xml:space="preserve">) were purchased from Sigma Aldrich. </w:t>
      </w:r>
      <w:r w:rsidR="00183D21">
        <w:rPr>
          <w:rFonts w:ascii="Times New Roman" w:hAnsi="Times New Roman" w:cs="Times New Roman"/>
          <w:sz w:val="20"/>
          <w:szCs w:val="20"/>
        </w:rPr>
        <w:t>V</w:t>
      </w:r>
      <w:r w:rsidR="00EA7BF9" w:rsidRPr="00F0166F">
        <w:rPr>
          <w:rFonts w:ascii="Times New Roman" w:hAnsi="Times New Roman" w:cs="Times New Roman"/>
          <w:sz w:val="20"/>
          <w:szCs w:val="20"/>
        </w:rPr>
        <w:t>anillin, DMAP (2 mol% of MA)</w:t>
      </w:r>
      <w:r w:rsidR="00EA7BF9">
        <w:rPr>
          <w:rFonts w:ascii="Times New Roman" w:hAnsi="Times New Roman" w:cs="Times New Roman"/>
          <w:sz w:val="20"/>
          <w:szCs w:val="20"/>
        </w:rPr>
        <w:t>,</w:t>
      </w:r>
      <w:r w:rsidR="00EA7BF9" w:rsidRPr="00F0166F">
        <w:rPr>
          <w:rFonts w:ascii="Times New Roman" w:hAnsi="Times New Roman" w:cs="Times New Roman"/>
          <w:sz w:val="20"/>
          <w:szCs w:val="20"/>
        </w:rPr>
        <w:t xml:space="preserve"> and MA (1.2 </w:t>
      </w:r>
      <w:proofErr w:type="spellStart"/>
      <w:r w:rsidR="00EA7BF9" w:rsidRPr="00F0166F">
        <w:rPr>
          <w:rFonts w:ascii="Times New Roman" w:hAnsi="Times New Roman" w:cs="Times New Roman"/>
          <w:sz w:val="20"/>
          <w:szCs w:val="20"/>
        </w:rPr>
        <w:t>meq</w:t>
      </w:r>
      <w:proofErr w:type="spellEnd"/>
      <w:r w:rsidR="00EA7BF9" w:rsidRPr="00F0166F">
        <w:rPr>
          <w:rFonts w:ascii="Times New Roman" w:hAnsi="Times New Roman" w:cs="Times New Roman"/>
          <w:sz w:val="20"/>
          <w:szCs w:val="20"/>
        </w:rPr>
        <w:t xml:space="preserve"> vanillin) </w:t>
      </w:r>
      <w:r w:rsidR="00EA7BF9">
        <w:rPr>
          <w:rFonts w:ascii="Times New Roman" w:hAnsi="Times New Roman" w:cs="Times New Roman"/>
          <w:sz w:val="20"/>
          <w:szCs w:val="20"/>
        </w:rPr>
        <w:t>were</w:t>
      </w:r>
      <w:r w:rsidR="00EA7BF9" w:rsidRPr="00F0166F">
        <w:rPr>
          <w:rFonts w:ascii="Times New Roman" w:hAnsi="Times New Roman" w:cs="Times New Roman"/>
          <w:sz w:val="20"/>
          <w:szCs w:val="20"/>
        </w:rPr>
        <w:t xml:space="preserve"> placed in a round bottom flask and placed under nitrogen atmosphere. The solution was kept at 45 °C for 24 h with stirring. The solution was then diluted with ethyl acetate followed by workup using saturated sodium bicarbonate, sodium hydroxide, hydrochloric acid, and water. The solvent was evaporated, and the crude product was recrystallized. The crystals were finally dried in a vacuum oven at 35 °C to constant weight. </w:t>
      </w:r>
      <w:bookmarkEnd w:id="1"/>
      <w:r w:rsidR="00EA7BF9" w:rsidRPr="00F0166F">
        <w:rPr>
          <w:rFonts w:ascii="Times New Roman" w:hAnsi="Times New Roman" w:cs="Times New Roman"/>
          <w:sz w:val="20"/>
          <w:szCs w:val="20"/>
        </w:rPr>
        <w:t>This method yield</w:t>
      </w:r>
      <w:r>
        <w:rPr>
          <w:rFonts w:ascii="Times New Roman" w:hAnsi="Times New Roman" w:cs="Times New Roman"/>
          <w:sz w:val="20"/>
          <w:szCs w:val="20"/>
        </w:rPr>
        <w:t>ed</w:t>
      </w:r>
      <w:r w:rsidR="00EA7BF9" w:rsidRPr="00F0166F">
        <w:rPr>
          <w:rFonts w:ascii="Times New Roman" w:hAnsi="Times New Roman" w:cs="Times New Roman"/>
          <w:sz w:val="20"/>
          <w:szCs w:val="20"/>
        </w:rPr>
        <w:t xml:space="preserve"> a white crystalline solid at 60% yield</w:t>
      </w:r>
      <w:r>
        <w:rPr>
          <w:rFonts w:ascii="Times New Roman" w:hAnsi="Times New Roman" w:cs="Times New Roman"/>
          <w:sz w:val="20"/>
          <w:szCs w:val="20"/>
        </w:rPr>
        <w:t xml:space="preserve">. </w:t>
      </w:r>
      <w:r w:rsidR="00EA7BF9" w:rsidRPr="00F0166F">
        <w:rPr>
          <w:rFonts w:ascii="Times New Roman" w:hAnsi="Times New Roman" w:cs="Times New Roman"/>
          <w:sz w:val="20"/>
          <w:szCs w:val="20"/>
        </w:rPr>
        <w:t xml:space="preserve">Unlike vanillin, the product was insoluble in water. </w:t>
      </w:r>
      <w:r w:rsidRPr="00BD2C3B">
        <w:rPr>
          <w:rFonts w:ascii="Times New Roman" w:hAnsi="Times New Roman" w:cs="Times New Roman"/>
          <w:sz w:val="20"/>
          <w:szCs w:val="20"/>
        </w:rPr>
        <w:t>Synthesized vanillin methacrylate showed distinct peaks of vanillin at 2845, 2750 and 1689 cm</w:t>
      </w:r>
      <w:r w:rsidRPr="00BD2C3B">
        <w:rPr>
          <w:rFonts w:ascii="Times New Roman" w:hAnsi="Times New Roman" w:cs="Times New Roman"/>
          <w:sz w:val="20"/>
          <w:szCs w:val="20"/>
          <w:vertAlign w:val="superscript"/>
        </w:rPr>
        <w:t>-1</w:t>
      </w:r>
      <w:r w:rsidRPr="00BD2C3B">
        <w:rPr>
          <w:rFonts w:ascii="Times New Roman" w:hAnsi="Times New Roman" w:cs="Times New Roman"/>
          <w:sz w:val="20"/>
          <w:szCs w:val="20"/>
        </w:rPr>
        <w:t xml:space="preserve"> corresponding to aldehydic C-H and C=O stretching, as well as peaks at 1597 and 1505 cm</w:t>
      </w:r>
      <w:r w:rsidRPr="00BD2C3B">
        <w:rPr>
          <w:rFonts w:ascii="Times New Roman" w:hAnsi="Times New Roman" w:cs="Times New Roman"/>
          <w:sz w:val="20"/>
          <w:szCs w:val="20"/>
          <w:vertAlign w:val="superscript"/>
        </w:rPr>
        <w:t>-1</w:t>
      </w:r>
      <w:r w:rsidRPr="00BD2C3B">
        <w:rPr>
          <w:rFonts w:ascii="Times New Roman" w:hAnsi="Times New Roman" w:cs="Times New Roman"/>
          <w:sz w:val="20"/>
          <w:szCs w:val="20"/>
        </w:rPr>
        <w:t xml:space="preserve"> corresponding to C=C and C-C stretches of the aromatic ring (</w:t>
      </w:r>
      <w:r w:rsidRPr="00BD2C3B">
        <w:rPr>
          <w:rFonts w:ascii="Times New Roman" w:hAnsi="Times New Roman" w:cs="Times New Roman"/>
          <w:b/>
          <w:sz w:val="20"/>
          <w:szCs w:val="20"/>
        </w:rPr>
        <w:t>SD1a</w:t>
      </w:r>
      <w:r w:rsidRPr="00BD2C3B">
        <w:rPr>
          <w:rFonts w:ascii="Times New Roman" w:hAnsi="Times New Roman" w:cs="Times New Roman"/>
          <w:sz w:val="20"/>
          <w:szCs w:val="20"/>
        </w:rPr>
        <w:t>). Additionally, the product spectrum showed the absence of O-H peak at 3157 cm</w:t>
      </w:r>
      <w:r w:rsidRPr="00BD2C3B">
        <w:rPr>
          <w:rFonts w:ascii="Times New Roman" w:hAnsi="Times New Roman" w:cs="Times New Roman"/>
          <w:sz w:val="20"/>
          <w:szCs w:val="20"/>
          <w:vertAlign w:val="superscript"/>
        </w:rPr>
        <w:t>-1</w:t>
      </w:r>
      <w:r w:rsidRPr="00BD2C3B">
        <w:rPr>
          <w:rFonts w:ascii="Times New Roman" w:hAnsi="Times New Roman" w:cs="Times New Roman"/>
          <w:sz w:val="20"/>
          <w:szCs w:val="20"/>
        </w:rPr>
        <w:t xml:space="preserve"> and the appearance of peaks for ester C=O and vinyl C=C at 1730 and 1634 cm</w:t>
      </w:r>
      <w:r w:rsidRPr="00BD2C3B">
        <w:rPr>
          <w:rFonts w:ascii="Times New Roman" w:hAnsi="Times New Roman" w:cs="Times New Roman"/>
          <w:sz w:val="20"/>
          <w:szCs w:val="20"/>
          <w:vertAlign w:val="superscript"/>
        </w:rPr>
        <w:t>-1</w:t>
      </w:r>
      <w:r w:rsidRPr="00BD2C3B">
        <w:rPr>
          <w:rFonts w:ascii="Times New Roman" w:hAnsi="Times New Roman" w:cs="Times New Roman"/>
          <w:sz w:val="20"/>
          <w:szCs w:val="20"/>
        </w:rPr>
        <w:t xml:space="preserve"> respectively, indicating successful methacrylation. The importance of recrystallization can be seen in the presence of small anhydride contaminants at 1810 and 1782 cm</w:t>
      </w:r>
      <w:r w:rsidRPr="00BD2C3B">
        <w:rPr>
          <w:rFonts w:ascii="Times New Roman" w:hAnsi="Times New Roman" w:cs="Times New Roman"/>
          <w:sz w:val="20"/>
          <w:szCs w:val="20"/>
          <w:vertAlign w:val="superscript"/>
        </w:rPr>
        <w:t>-1</w:t>
      </w:r>
      <w:r w:rsidRPr="00BD2C3B">
        <w:rPr>
          <w:rFonts w:ascii="Times New Roman" w:hAnsi="Times New Roman" w:cs="Times New Roman"/>
          <w:sz w:val="20"/>
          <w:szCs w:val="20"/>
        </w:rPr>
        <w:t xml:space="preserve"> in the crude product. Meanwhile, the </w:t>
      </w:r>
      <w:r w:rsidRPr="00BD2C3B">
        <w:rPr>
          <w:rFonts w:ascii="Times New Roman" w:hAnsi="Times New Roman" w:cs="Times New Roman"/>
          <w:sz w:val="20"/>
          <w:szCs w:val="20"/>
          <w:vertAlign w:val="superscript"/>
        </w:rPr>
        <w:t>1</w:t>
      </w:r>
      <w:r w:rsidRPr="00BD2C3B">
        <w:rPr>
          <w:rFonts w:ascii="Times New Roman" w:hAnsi="Times New Roman" w:cs="Times New Roman"/>
          <w:sz w:val="20"/>
          <w:szCs w:val="20"/>
        </w:rPr>
        <w:t xml:space="preserve">H-NMR spectra of the compounds are shown in </w:t>
      </w:r>
      <w:r w:rsidRPr="00BD2C3B">
        <w:rPr>
          <w:rFonts w:ascii="Times New Roman" w:hAnsi="Times New Roman" w:cs="Times New Roman"/>
          <w:b/>
          <w:bCs/>
          <w:sz w:val="20"/>
          <w:szCs w:val="20"/>
        </w:rPr>
        <w:t>SD1b</w:t>
      </w:r>
      <w:r w:rsidRPr="00BD2C3B">
        <w:rPr>
          <w:rFonts w:ascii="Times New Roman" w:hAnsi="Times New Roman" w:cs="Times New Roman"/>
          <w:sz w:val="20"/>
          <w:szCs w:val="20"/>
        </w:rPr>
        <w:t>.  VM showed chemical shifts from both vanillin [δ=9.98 (s, 1H), 7.65–7.30 (bm, 3H), 3.81 (s, 3H)] and MA [6.27 (s, 1H), 5.89 (t, 1H), 1.96 ppm (s, 3H)], some of which slightly shifted downfield due to the combined presence of pi conjugation from the aromatic ring and vinyl ester functional groups. The synthesized VM had extraneous peaks indicating the presence of contaminants, most likely from methacrylic anhydride (94% purity with 2000 ppm Topanol A). Recrystallization reduced the amount of contaminant, but some residue remained. Further purification may be considered in future works, but for this study, the r-VM was used as-is.</w:t>
      </w:r>
    </w:p>
    <w:p w14:paraId="24BC625E" w14:textId="77777777" w:rsidR="00EA7BF9" w:rsidRDefault="00EA7BF9" w:rsidP="003532F0">
      <w:pPr>
        <w:jc w:val="center"/>
        <w:rPr>
          <w:rFonts w:ascii="Arial" w:hAnsi="Arial" w:cs="Arial"/>
          <w:sz w:val="20"/>
          <w:szCs w:val="20"/>
        </w:rPr>
      </w:pPr>
    </w:p>
    <w:p w14:paraId="5B3B281F" w14:textId="27E5F617" w:rsidR="003532F0" w:rsidRDefault="004E4350" w:rsidP="003532F0">
      <w:pPr>
        <w:jc w:val="center"/>
        <w:rPr>
          <w:rFonts w:ascii="Arial" w:hAnsi="Arial" w:cs="Arial"/>
          <w:sz w:val="20"/>
          <w:szCs w:val="20"/>
        </w:rPr>
      </w:pPr>
      <w:r>
        <w:rPr>
          <w:rFonts w:ascii="Times New Roman" w:hAnsi="Times New Roman" w:cs="Times New Roman"/>
          <w:noProof/>
          <w:sz w:val="20"/>
          <w:szCs w:val="20"/>
          <w:lang w:eastAsia="en-PH"/>
        </w:rPr>
        <w:lastRenderedPageBreak/>
        <w:drawing>
          <wp:inline distT="0" distB="0" distL="0" distR="0" wp14:anchorId="57D20759" wp14:editId="75202B4E">
            <wp:extent cx="4270206" cy="5892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94885" cy="5926856"/>
                    </a:xfrm>
                    <a:prstGeom prst="rect">
                      <a:avLst/>
                    </a:prstGeom>
                    <a:noFill/>
                    <a:ln>
                      <a:noFill/>
                    </a:ln>
                  </pic:spPr>
                </pic:pic>
              </a:graphicData>
            </a:graphic>
          </wp:inline>
        </w:drawing>
      </w:r>
    </w:p>
    <w:p w14:paraId="7E1D9EBF" w14:textId="5F24AADD" w:rsidR="003532F0" w:rsidRPr="003532F0" w:rsidRDefault="003532F0" w:rsidP="003532F0">
      <w:pPr>
        <w:rPr>
          <w:rFonts w:ascii="Arial" w:hAnsi="Arial" w:cs="Arial"/>
          <w:sz w:val="20"/>
          <w:szCs w:val="20"/>
        </w:rPr>
      </w:pPr>
      <w:r>
        <w:rPr>
          <w:rFonts w:ascii="Arial" w:hAnsi="Arial" w:cs="Arial"/>
          <w:b/>
          <w:bCs/>
          <w:sz w:val="20"/>
          <w:szCs w:val="20"/>
        </w:rPr>
        <w:t>Supplementary Data 1</w:t>
      </w:r>
      <w:r w:rsidRPr="00D20F8F">
        <w:rPr>
          <w:rFonts w:ascii="Arial" w:hAnsi="Arial" w:cs="Arial"/>
          <w:b/>
          <w:bCs/>
          <w:sz w:val="20"/>
          <w:szCs w:val="20"/>
        </w:rPr>
        <w:t>.</w:t>
      </w:r>
      <w:r w:rsidRPr="00F0166F">
        <w:rPr>
          <w:rFonts w:ascii="Times New Roman" w:hAnsi="Times New Roman" w:cs="Times New Roman"/>
          <w:sz w:val="20"/>
          <w:szCs w:val="20"/>
        </w:rPr>
        <w:t xml:space="preserve"> </w:t>
      </w:r>
      <w:r w:rsidRPr="003532F0">
        <w:rPr>
          <w:rFonts w:ascii="Arial" w:hAnsi="Arial" w:cs="Arial"/>
          <w:sz w:val="20"/>
          <w:szCs w:val="20"/>
        </w:rPr>
        <w:t>(</w:t>
      </w:r>
      <w:r>
        <w:rPr>
          <w:rFonts w:ascii="Arial" w:hAnsi="Arial" w:cs="Arial"/>
          <w:b/>
          <w:bCs/>
          <w:sz w:val="20"/>
          <w:szCs w:val="20"/>
        </w:rPr>
        <w:t>a</w:t>
      </w:r>
      <w:r w:rsidRPr="003532F0">
        <w:rPr>
          <w:rFonts w:ascii="Arial" w:hAnsi="Arial" w:cs="Arial"/>
          <w:sz w:val="20"/>
          <w:szCs w:val="20"/>
        </w:rPr>
        <w:t>) ATR-FTIR and (</w:t>
      </w:r>
      <w:r>
        <w:rPr>
          <w:rFonts w:ascii="Arial" w:hAnsi="Arial" w:cs="Arial"/>
          <w:b/>
          <w:bCs/>
          <w:sz w:val="20"/>
          <w:szCs w:val="20"/>
        </w:rPr>
        <w:t>b</w:t>
      </w:r>
      <w:r w:rsidRPr="003532F0">
        <w:rPr>
          <w:rFonts w:ascii="Arial" w:hAnsi="Arial" w:cs="Arial"/>
          <w:sz w:val="20"/>
          <w:szCs w:val="20"/>
        </w:rPr>
        <w:t xml:space="preserve">) </w:t>
      </w:r>
      <w:r w:rsidRPr="003532F0">
        <w:rPr>
          <w:rFonts w:ascii="Arial" w:hAnsi="Arial" w:cs="Arial"/>
          <w:sz w:val="20"/>
          <w:szCs w:val="20"/>
          <w:vertAlign w:val="superscript"/>
        </w:rPr>
        <w:t>1</w:t>
      </w:r>
      <w:r w:rsidRPr="003532F0">
        <w:rPr>
          <w:rFonts w:ascii="Arial" w:hAnsi="Arial" w:cs="Arial"/>
          <w:sz w:val="20"/>
          <w:szCs w:val="20"/>
        </w:rPr>
        <w:t>H-NMR spectra with peak assignment for vanillin, methacrylic anhydride (MA), crude VM (c-VM), and recrystallized VM (r-VM).</w:t>
      </w:r>
    </w:p>
    <w:p w14:paraId="66FB2128" w14:textId="77777777" w:rsidR="007B1472" w:rsidRDefault="007B1472">
      <w:pPr>
        <w:rPr>
          <w:rFonts w:ascii="Arial" w:hAnsi="Arial" w:cs="Arial"/>
          <w:b/>
          <w:bCs/>
          <w:sz w:val="20"/>
          <w:szCs w:val="20"/>
        </w:rPr>
      </w:pPr>
      <w:r>
        <w:rPr>
          <w:rFonts w:ascii="Arial" w:hAnsi="Arial" w:cs="Arial"/>
          <w:b/>
          <w:bCs/>
          <w:sz w:val="20"/>
          <w:szCs w:val="20"/>
        </w:rPr>
        <w:br w:type="page"/>
      </w:r>
    </w:p>
    <w:p w14:paraId="5D3D71DF" w14:textId="6E2A4738" w:rsidR="003532F0" w:rsidRPr="00183D21" w:rsidRDefault="00183D21" w:rsidP="00183D21">
      <w:pPr>
        <w:rPr>
          <w:rFonts w:ascii="Arial" w:hAnsi="Arial" w:cs="Arial"/>
          <w:b/>
          <w:bCs/>
          <w:sz w:val="20"/>
          <w:szCs w:val="20"/>
        </w:rPr>
      </w:pPr>
      <w:r w:rsidRPr="00183D21">
        <w:rPr>
          <w:rFonts w:ascii="Arial" w:hAnsi="Arial" w:cs="Arial"/>
          <w:b/>
          <w:bCs/>
          <w:sz w:val="20"/>
          <w:szCs w:val="20"/>
        </w:rPr>
        <w:lastRenderedPageBreak/>
        <w:t>Additional characterization data</w:t>
      </w:r>
    </w:p>
    <w:p w14:paraId="4A93DFBA" w14:textId="29A5EB37" w:rsidR="00BC6718" w:rsidRPr="00D20F8F" w:rsidRDefault="00874CF8" w:rsidP="00BC6718">
      <w:pPr>
        <w:jc w:val="center"/>
        <w:rPr>
          <w:rFonts w:ascii="Arial" w:hAnsi="Arial" w:cs="Arial"/>
          <w:sz w:val="20"/>
          <w:szCs w:val="20"/>
        </w:rPr>
      </w:pPr>
      <w:r w:rsidRPr="00D20F8F">
        <w:rPr>
          <w:rFonts w:ascii="Arial" w:hAnsi="Arial" w:cs="Arial"/>
          <w:noProof/>
          <w:sz w:val="20"/>
          <w:szCs w:val="20"/>
          <w:lang w:eastAsia="en-PH"/>
        </w:rPr>
        <w:drawing>
          <wp:inline distT="0" distB="0" distL="0" distR="0" wp14:anchorId="6EE057AC" wp14:editId="2E87368E">
            <wp:extent cx="5093079" cy="5748866"/>
            <wp:effectExtent l="0" t="0" r="0" b="4445"/>
            <wp:docPr id="1" name="Picture 1" descr="A picture containing text, window, indoor,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window, indoor, glass&#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5457"/>
                    <a:stretch/>
                  </pic:blipFill>
                  <pic:spPr bwMode="auto">
                    <a:xfrm>
                      <a:off x="0" y="0"/>
                      <a:ext cx="5101171" cy="5758000"/>
                    </a:xfrm>
                    <a:prstGeom prst="rect">
                      <a:avLst/>
                    </a:prstGeom>
                    <a:noFill/>
                    <a:ln>
                      <a:noFill/>
                    </a:ln>
                    <a:extLst>
                      <a:ext uri="{53640926-AAD7-44D8-BBD7-CCE9431645EC}">
                        <a14:shadowObscured xmlns:a14="http://schemas.microsoft.com/office/drawing/2010/main"/>
                      </a:ext>
                    </a:extLst>
                  </pic:spPr>
                </pic:pic>
              </a:graphicData>
            </a:graphic>
          </wp:inline>
        </w:drawing>
      </w:r>
    </w:p>
    <w:p w14:paraId="37205818" w14:textId="02C2C2C8" w:rsidR="00874CF8" w:rsidRPr="00D20F8F" w:rsidRDefault="003532F0" w:rsidP="00874CF8">
      <w:pPr>
        <w:jc w:val="both"/>
        <w:rPr>
          <w:rFonts w:ascii="Arial" w:hAnsi="Arial" w:cs="Arial"/>
          <w:sz w:val="20"/>
          <w:szCs w:val="20"/>
        </w:rPr>
      </w:pPr>
      <w:r>
        <w:rPr>
          <w:rFonts w:ascii="Arial" w:hAnsi="Arial" w:cs="Arial"/>
          <w:b/>
          <w:bCs/>
          <w:sz w:val="20"/>
          <w:szCs w:val="20"/>
        </w:rPr>
        <w:t>Supplementary Data 2</w:t>
      </w:r>
      <w:r w:rsidR="00874CF8" w:rsidRPr="00D20F8F">
        <w:rPr>
          <w:rFonts w:ascii="Arial" w:hAnsi="Arial" w:cs="Arial"/>
          <w:b/>
          <w:bCs/>
          <w:sz w:val="20"/>
          <w:szCs w:val="20"/>
        </w:rPr>
        <w:t xml:space="preserve">. </w:t>
      </w:r>
      <w:r w:rsidR="00874CF8" w:rsidRPr="00D20F8F">
        <w:rPr>
          <w:rFonts w:ascii="Arial" w:hAnsi="Arial" w:cs="Arial"/>
          <w:sz w:val="20"/>
          <w:szCs w:val="20"/>
        </w:rPr>
        <w:t xml:space="preserve">SEM images of pineapple nonwoven fabric: (a) pristine; (b) grafted, DG 100%; and functionalized with </w:t>
      </w:r>
      <w:proofErr w:type="spellStart"/>
      <w:r w:rsidR="00874CF8" w:rsidRPr="00D20F8F">
        <w:rPr>
          <w:rFonts w:ascii="Arial" w:hAnsi="Arial" w:cs="Arial"/>
          <w:sz w:val="20"/>
          <w:szCs w:val="20"/>
        </w:rPr>
        <w:t>diisopropyl</w:t>
      </w:r>
      <w:proofErr w:type="spellEnd"/>
      <w:r w:rsidR="00874CF8" w:rsidRPr="00D20F8F">
        <w:rPr>
          <w:rFonts w:ascii="Arial" w:hAnsi="Arial" w:cs="Arial"/>
          <w:sz w:val="20"/>
          <w:szCs w:val="20"/>
        </w:rPr>
        <w:t xml:space="preserve"> </w:t>
      </w:r>
      <w:proofErr w:type="spellStart"/>
      <w:r w:rsidR="00874CF8" w:rsidRPr="00D20F8F">
        <w:rPr>
          <w:rFonts w:ascii="Arial" w:hAnsi="Arial" w:cs="Arial"/>
          <w:sz w:val="20"/>
          <w:szCs w:val="20"/>
        </w:rPr>
        <w:t>phosphite</w:t>
      </w:r>
      <w:proofErr w:type="spellEnd"/>
      <w:r w:rsidR="00874CF8" w:rsidRPr="00D20F8F">
        <w:rPr>
          <w:rFonts w:ascii="Arial" w:hAnsi="Arial" w:cs="Arial"/>
          <w:sz w:val="20"/>
          <w:szCs w:val="20"/>
        </w:rPr>
        <w:t xml:space="preserve"> with (c) p-anisidine, (d) 4-chloroaniline, (e) 4-bromoaniline, </w:t>
      </w:r>
      <w:r w:rsidR="00E70D8E">
        <w:rPr>
          <w:rFonts w:ascii="Arial" w:hAnsi="Arial" w:cs="Arial"/>
          <w:sz w:val="20"/>
          <w:szCs w:val="20"/>
        </w:rPr>
        <w:t xml:space="preserve">and </w:t>
      </w:r>
      <w:r w:rsidR="00874CF8" w:rsidRPr="00D20F8F">
        <w:rPr>
          <w:rFonts w:ascii="Arial" w:hAnsi="Arial" w:cs="Arial"/>
          <w:sz w:val="20"/>
          <w:szCs w:val="20"/>
        </w:rPr>
        <w:t>(f) 4-iodoaniline</w:t>
      </w:r>
    </w:p>
    <w:p w14:paraId="6B3DC6FF" w14:textId="0180D8EE" w:rsidR="00142FFA" w:rsidRDefault="00142FFA"/>
    <w:p w14:paraId="0496BC89" w14:textId="77777777" w:rsidR="009926EB" w:rsidRDefault="00BC6718" w:rsidP="00BC6718">
      <w:pPr>
        <w:jc w:val="both"/>
        <w:rPr>
          <w:rFonts w:ascii="Arial" w:hAnsi="Arial" w:cs="Arial"/>
          <w:sz w:val="20"/>
          <w:szCs w:val="20"/>
        </w:rPr>
      </w:pPr>
      <w:r>
        <w:rPr>
          <w:rFonts w:ascii="Arial" w:hAnsi="Arial" w:cs="Arial"/>
          <w:sz w:val="20"/>
          <w:szCs w:val="20"/>
        </w:rPr>
        <w:lastRenderedPageBreak/>
        <w:t xml:space="preserve">(a) </w:t>
      </w:r>
      <w:r>
        <w:rPr>
          <w:noProof/>
          <w:lang w:eastAsia="en-PH"/>
        </w:rPr>
        <w:drawing>
          <wp:inline distT="0" distB="0" distL="0" distR="0" wp14:anchorId="047C35F6" wp14:editId="5EEB03AD">
            <wp:extent cx="2628505" cy="2011680"/>
            <wp:effectExtent l="0" t="0" r="63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8505" cy="2011680"/>
                    </a:xfrm>
                    <a:prstGeom prst="rect">
                      <a:avLst/>
                    </a:prstGeom>
                    <a:noFill/>
                    <a:ln>
                      <a:noFill/>
                    </a:ln>
                  </pic:spPr>
                </pic:pic>
              </a:graphicData>
            </a:graphic>
          </wp:inline>
        </w:drawing>
      </w:r>
      <w:r w:rsidRPr="00BC6718">
        <w:rPr>
          <w:rFonts w:ascii="Arial" w:hAnsi="Arial" w:cs="Arial"/>
          <w:sz w:val="20"/>
          <w:szCs w:val="20"/>
        </w:rPr>
        <w:t xml:space="preserve"> (</w:t>
      </w:r>
      <w:r w:rsidR="009926EB">
        <w:rPr>
          <w:rFonts w:ascii="Arial" w:hAnsi="Arial" w:cs="Arial"/>
          <w:sz w:val="20"/>
          <w:szCs w:val="20"/>
        </w:rPr>
        <w:t>b</w:t>
      </w:r>
      <w:r w:rsidRPr="00BC6718">
        <w:rPr>
          <w:rFonts w:ascii="Arial" w:hAnsi="Arial" w:cs="Arial"/>
          <w:sz w:val="20"/>
          <w:szCs w:val="20"/>
        </w:rPr>
        <w:t>)</w:t>
      </w:r>
      <w:r>
        <w:rPr>
          <w:rFonts w:ascii="Arial" w:hAnsi="Arial" w:cs="Arial"/>
          <w:sz w:val="20"/>
          <w:szCs w:val="20"/>
        </w:rPr>
        <w:t xml:space="preserve"> </w:t>
      </w:r>
      <w:r>
        <w:rPr>
          <w:rFonts w:ascii="Arial" w:hAnsi="Arial" w:cs="Arial"/>
          <w:noProof/>
          <w:sz w:val="20"/>
          <w:szCs w:val="20"/>
          <w:lang w:eastAsia="en-PH"/>
        </w:rPr>
        <w:drawing>
          <wp:inline distT="0" distB="0" distL="0" distR="0" wp14:anchorId="4AA39B46" wp14:editId="1A2A1559">
            <wp:extent cx="2628505" cy="2011680"/>
            <wp:effectExtent l="0" t="0" r="63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505" cy="2011680"/>
                    </a:xfrm>
                    <a:prstGeom prst="rect">
                      <a:avLst/>
                    </a:prstGeom>
                    <a:noFill/>
                    <a:ln>
                      <a:noFill/>
                    </a:ln>
                  </pic:spPr>
                </pic:pic>
              </a:graphicData>
            </a:graphic>
          </wp:inline>
        </w:drawing>
      </w:r>
      <w:r>
        <w:rPr>
          <w:rFonts w:ascii="Arial" w:hAnsi="Arial" w:cs="Arial"/>
          <w:sz w:val="20"/>
          <w:szCs w:val="20"/>
        </w:rPr>
        <w:t xml:space="preserve"> </w:t>
      </w:r>
    </w:p>
    <w:p w14:paraId="004431B9" w14:textId="43A0C206" w:rsidR="00BC6718" w:rsidRPr="00BC6718" w:rsidRDefault="00BC6718" w:rsidP="00BC6718">
      <w:pPr>
        <w:jc w:val="both"/>
        <w:rPr>
          <w:rFonts w:ascii="Arial" w:hAnsi="Arial" w:cs="Arial"/>
          <w:sz w:val="20"/>
          <w:szCs w:val="20"/>
        </w:rPr>
      </w:pPr>
      <w:r>
        <w:rPr>
          <w:rFonts w:ascii="Arial" w:hAnsi="Arial" w:cs="Arial"/>
          <w:sz w:val="20"/>
          <w:szCs w:val="20"/>
        </w:rPr>
        <w:t xml:space="preserve">(c) </w:t>
      </w:r>
      <w:r>
        <w:rPr>
          <w:rFonts w:ascii="Arial" w:hAnsi="Arial" w:cs="Arial"/>
          <w:noProof/>
          <w:sz w:val="20"/>
          <w:szCs w:val="20"/>
          <w:lang w:eastAsia="en-PH"/>
        </w:rPr>
        <w:drawing>
          <wp:inline distT="0" distB="0" distL="0" distR="0" wp14:anchorId="7133A09C" wp14:editId="7BC0EB34">
            <wp:extent cx="2628507" cy="2011680"/>
            <wp:effectExtent l="0" t="0" r="63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507" cy="2011680"/>
                    </a:xfrm>
                    <a:prstGeom prst="rect">
                      <a:avLst/>
                    </a:prstGeom>
                    <a:noFill/>
                    <a:ln>
                      <a:noFill/>
                    </a:ln>
                  </pic:spPr>
                </pic:pic>
              </a:graphicData>
            </a:graphic>
          </wp:inline>
        </w:drawing>
      </w:r>
      <w:r>
        <w:rPr>
          <w:rFonts w:ascii="Arial" w:hAnsi="Arial" w:cs="Arial"/>
          <w:sz w:val="20"/>
          <w:szCs w:val="20"/>
        </w:rPr>
        <w:t xml:space="preserve"> </w:t>
      </w:r>
      <w:r w:rsidR="009926EB">
        <w:rPr>
          <w:rFonts w:ascii="Arial" w:hAnsi="Arial" w:cs="Arial"/>
          <w:sz w:val="20"/>
          <w:szCs w:val="20"/>
        </w:rPr>
        <w:t>(</w:t>
      </w:r>
      <w:r>
        <w:rPr>
          <w:rFonts w:ascii="Arial" w:hAnsi="Arial" w:cs="Arial"/>
          <w:sz w:val="20"/>
          <w:szCs w:val="20"/>
        </w:rPr>
        <w:t xml:space="preserve">d) </w:t>
      </w:r>
      <w:r w:rsidR="009926EB">
        <w:rPr>
          <w:rFonts w:ascii="Arial" w:hAnsi="Arial" w:cs="Arial"/>
          <w:noProof/>
          <w:sz w:val="20"/>
          <w:szCs w:val="20"/>
          <w:lang w:eastAsia="en-PH"/>
        </w:rPr>
        <w:drawing>
          <wp:inline distT="0" distB="0" distL="0" distR="0" wp14:anchorId="2AEC5095" wp14:editId="5EC96AD2">
            <wp:extent cx="2628507" cy="2011680"/>
            <wp:effectExtent l="0" t="0" r="63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507" cy="2011680"/>
                    </a:xfrm>
                    <a:prstGeom prst="rect">
                      <a:avLst/>
                    </a:prstGeom>
                    <a:noFill/>
                    <a:ln>
                      <a:noFill/>
                    </a:ln>
                  </pic:spPr>
                </pic:pic>
              </a:graphicData>
            </a:graphic>
          </wp:inline>
        </w:drawing>
      </w:r>
      <w:r w:rsidR="009926EB">
        <w:rPr>
          <w:rFonts w:ascii="Arial" w:hAnsi="Arial" w:cs="Arial"/>
          <w:sz w:val="20"/>
          <w:szCs w:val="20"/>
        </w:rPr>
        <w:t xml:space="preserve"> </w:t>
      </w:r>
    </w:p>
    <w:p w14:paraId="5439F64D" w14:textId="1C3A48E9" w:rsidR="00183D21" w:rsidRDefault="003532F0" w:rsidP="00BC6718">
      <w:pPr>
        <w:jc w:val="both"/>
        <w:rPr>
          <w:rFonts w:ascii="Arial" w:hAnsi="Arial" w:cs="Arial"/>
          <w:sz w:val="20"/>
          <w:szCs w:val="20"/>
        </w:rPr>
      </w:pPr>
      <w:r>
        <w:rPr>
          <w:rFonts w:ascii="Arial" w:hAnsi="Arial" w:cs="Arial"/>
          <w:b/>
          <w:bCs/>
          <w:sz w:val="20"/>
          <w:szCs w:val="20"/>
        </w:rPr>
        <w:t>Supplementary Data 3</w:t>
      </w:r>
      <w:r w:rsidR="00BC6718" w:rsidRPr="00D20F8F">
        <w:rPr>
          <w:rFonts w:ascii="Arial" w:hAnsi="Arial" w:cs="Arial"/>
          <w:b/>
          <w:bCs/>
          <w:sz w:val="20"/>
          <w:szCs w:val="20"/>
        </w:rPr>
        <w:t xml:space="preserve">. </w:t>
      </w:r>
      <w:r w:rsidR="00BC6718">
        <w:rPr>
          <w:rFonts w:ascii="Arial" w:hAnsi="Arial" w:cs="Arial"/>
          <w:sz w:val="20"/>
          <w:szCs w:val="20"/>
        </w:rPr>
        <w:t>Thermogravimetric analysis of</w:t>
      </w:r>
      <w:r w:rsidR="00BC6718" w:rsidRPr="00D20F8F">
        <w:rPr>
          <w:rFonts w:ascii="Arial" w:hAnsi="Arial" w:cs="Arial"/>
          <w:sz w:val="20"/>
          <w:szCs w:val="20"/>
        </w:rPr>
        <w:t xml:space="preserve"> </w:t>
      </w:r>
      <w:r w:rsidR="00BC6718">
        <w:rPr>
          <w:rFonts w:ascii="Arial" w:hAnsi="Arial" w:cs="Arial"/>
          <w:sz w:val="20"/>
          <w:szCs w:val="20"/>
        </w:rPr>
        <w:t>PNWF-</w:t>
      </w:r>
      <w:r w:rsidR="00BC6718">
        <w:rPr>
          <w:rFonts w:ascii="Arial" w:hAnsi="Arial" w:cs="Arial"/>
          <w:i/>
          <w:iCs/>
          <w:sz w:val="20"/>
          <w:szCs w:val="20"/>
        </w:rPr>
        <w:t>g</w:t>
      </w:r>
      <w:r w:rsidR="00BC6718" w:rsidRPr="00BC6718">
        <w:rPr>
          <w:rFonts w:ascii="Arial" w:hAnsi="Arial" w:cs="Arial"/>
          <w:sz w:val="20"/>
          <w:szCs w:val="20"/>
        </w:rPr>
        <w:t>-</w:t>
      </w:r>
      <w:r w:rsidR="00BC6718">
        <w:rPr>
          <w:rFonts w:ascii="Arial" w:hAnsi="Arial" w:cs="Arial"/>
          <w:sz w:val="20"/>
          <w:szCs w:val="20"/>
        </w:rPr>
        <w:t xml:space="preserve">PAP: TG (solid) and DTG (dashed) curves of fabric </w:t>
      </w:r>
      <w:r w:rsidR="00BC6718" w:rsidRPr="00D20F8F">
        <w:rPr>
          <w:rFonts w:ascii="Arial" w:hAnsi="Arial" w:cs="Arial"/>
          <w:sz w:val="20"/>
          <w:szCs w:val="20"/>
        </w:rPr>
        <w:t xml:space="preserve">functionalized with </w:t>
      </w:r>
      <w:proofErr w:type="spellStart"/>
      <w:r w:rsidR="00BC6718" w:rsidRPr="00D20F8F">
        <w:rPr>
          <w:rFonts w:ascii="Arial" w:hAnsi="Arial" w:cs="Arial"/>
          <w:sz w:val="20"/>
          <w:szCs w:val="20"/>
        </w:rPr>
        <w:t>diisopropyl</w:t>
      </w:r>
      <w:proofErr w:type="spellEnd"/>
      <w:r w:rsidR="00BC6718" w:rsidRPr="00D20F8F">
        <w:rPr>
          <w:rFonts w:ascii="Arial" w:hAnsi="Arial" w:cs="Arial"/>
          <w:sz w:val="20"/>
          <w:szCs w:val="20"/>
        </w:rPr>
        <w:t xml:space="preserve"> </w:t>
      </w:r>
      <w:proofErr w:type="spellStart"/>
      <w:r w:rsidR="00BC6718" w:rsidRPr="00D20F8F">
        <w:rPr>
          <w:rFonts w:ascii="Arial" w:hAnsi="Arial" w:cs="Arial"/>
          <w:sz w:val="20"/>
          <w:szCs w:val="20"/>
        </w:rPr>
        <w:t>phosphite</w:t>
      </w:r>
      <w:proofErr w:type="spellEnd"/>
      <w:r w:rsidR="00BC6718" w:rsidRPr="00D20F8F">
        <w:rPr>
          <w:rFonts w:ascii="Arial" w:hAnsi="Arial" w:cs="Arial"/>
          <w:sz w:val="20"/>
          <w:szCs w:val="20"/>
        </w:rPr>
        <w:t xml:space="preserve"> with (</w:t>
      </w:r>
      <w:r w:rsidR="00BC6718">
        <w:rPr>
          <w:rFonts w:ascii="Arial" w:hAnsi="Arial" w:cs="Arial"/>
          <w:sz w:val="20"/>
          <w:szCs w:val="20"/>
        </w:rPr>
        <w:t>a</w:t>
      </w:r>
      <w:r w:rsidR="00BC6718" w:rsidRPr="00D20F8F">
        <w:rPr>
          <w:rFonts w:ascii="Arial" w:hAnsi="Arial" w:cs="Arial"/>
          <w:sz w:val="20"/>
          <w:szCs w:val="20"/>
        </w:rPr>
        <w:t>) p-anisidine, (</w:t>
      </w:r>
      <w:r w:rsidR="009926EB">
        <w:rPr>
          <w:rFonts w:ascii="Arial" w:hAnsi="Arial" w:cs="Arial"/>
          <w:sz w:val="20"/>
          <w:szCs w:val="20"/>
        </w:rPr>
        <w:t>b</w:t>
      </w:r>
      <w:r w:rsidR="00BC6718" w:rsidRPr="00D20F8F">
        <w:rPr>
          <w:rFonts w:ascii="Arial" w:hAnsi="Arial" w:cs="Arial"/>
          <w:sz w:val="20"/>
          <w:szCs w:val="20"/>
        </w:rPr>
        <w:t>) 4-chloroaniline, (</w:t>
      </w:r>
      <w:r w:rsidR="00BC6718">
        <w:rPr>
          <w:rFonts w:ascii="Arial" w:hAnsi="Arial" w:cs="Arial"/>
          <w:sz w:val="20"/>
          <w:szCs w:val="20"/>
        </w:rPr>
        <w:t>c</w:t>
      </w:r>
      <w:r w:rsidR="00BC6718" w:rsidRPr="00D20F8F">
        <w:rPr>
          <w:rFonts w:ascii="Arial" w:hAnsi="Arial" w:cs="Arial"/>
          <w:sz w:val="20"/>
          <w:szCs w:val="20"/>
        </w:rPr>
        <w:t>) 4-bromoaniline,</w:t>
      </w:r>
      <w:r w:rsidR="00183D21">
        <w:rPr>
          <w:rFonts w:ascii="Arial" w:hAnsi="Arial" w:cs="Arial"/>
          <w:sz w:val="20"/>
          <w:szCs w:val="20"/>
        </w:rPr>
        <w:t xml:space="preserve"> and</w:t>
      </w:r>
      <w:r w:rsidR="00BC6718" w:rsidRPr="00D20F8F">
        <w:rPr>
          <w:rFonts w:ascii="Arial" w:hAnsi="Arial" w:cs="Arial"/>
          <w:sz w:val="20"/>
          <w:szCs w:val="20"/>
        </w:rPr>
        <w:t xml:space="preserve"> (</w:t>
      </w:r>
      <w:r w:rsidR="00BC6718">
        <w:rPr>
          <w:rFonts w:ascii="Arial" w:hAnsi="Arial" w:cs="Arial"/>
          <w:sz w:val="20"/>
          <w:szCs w:val="20"/>
        </w:rPr>
        <w:t>d</w:t>
      </w:r>
      <w:r w:rsidR="00BC6718" w:rsidRPr="00D20F8F">
        <w:rPr>
          <w:rFonts w:ascii="Arial" w:hAnsi="Arial" w:cs="Arial"/>
          <w:sz w:val="20"/>
          <w:szCs w:val="20"/>
        </w:rPr>
        <w:t>) 4-iodoaniline</w:t>
      </w:r>
    </w:p>
    <w:p w14:paraId="030BDA2B" w14:textId="77777777" w:rsidR="00183D21" w:rsidRDefault="00183D21">
      <w:pPr>
        <w:rPr>
          <w:rFonts w:ascii="Arial" w:hAnsi="Arial" w:cs="Arial"/>
          <w:sz w:val="20"/>
          <w:szCs w:val="20"/>
        </w:rPr>
      </w:pPr>
      <w:r>
        <w:rPr>
          <w:rFonts w:ascii="Arial" w:hAnsi="Arial" w:cs="Arial"/>
          <w:sz w:val="20"/>
          <w:szCs w:val="20"/>
        </w:rPr>
        <w:br w:type="page"/>
      </w:r>
    </w:p>
    <w:p w14:paraId="324F8945" w14:textId="09F48509" w:rsidR="009926EB" w:rsidRDefault="009926EB" w:rsidP="009926EB">
      <w:pPr>
        <w:jc w:val="both"/>
        <w:rPr>
          <w:rFonts w:ascii="Arial" w:hAnsi="Arial" w:cs="Arial"/>
          <w:sz w:val="20"/>
          <w:szCs w:val="20"/>
        </w:rPr>
      </w:pPr>
      <w:r w:rsidRPr="00BC6718">
        <w:rPr>
          <w:rFonts w:ascii="Arial" w:hAnsi="Arial" w:cs="Arial"/>
          <w:sz w:val="20"/>
          <w:szCs w:val="20"/>
        </w:rPr>
        <w:lastRenderedPageBreak/>
        <w:t>(</w:t>
      </w:r>
      <w:r>
        <w:rPr>
          <w:rFonts w:ascii="Arial" w:hAnsi="Arial" w:cs="Arial"/>
          <w:sz w:val="20"/>
          <w:szCs w:val="20"/>
        </w:rPr>
        <w:t>a</w:t>
      </w:r>
      <w:r w:rsidRPr="00BC6718">
        <w:rPr>
          <w:rFonts w:ascii="Arial" w:hAnsi="Arial" w:cs="Arial"/>
          <w:sz w:val="20"/>
          <w:szCs w:val="20"/>
        </w:rPr>
        <w:t xml:space="preserve">) </w:t>
      </w:r>
      <w:r>
        <w:rPr>
          <w:noProof/>
          <w:lang w:eastAsia="en-PH"/>
        </w:rPr>
        <w:drawing>
          <wp:inline distT="0" distB="0" distL="0" distR="0" wp14:anchorId="543563E1" wp14:editId="30F78B08">
            <wp:extent cx="2628507" cy="2011680"/>
            <wp:effectExtent l="0" t="0" r="635" b="762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28507" cy="2011680"/>
                    </a:xfrm>
                    <a:prstGeom prst="rect">
                      <a:avLst/>
                    </a:prstGeom>
                    <a:noFill/>
                    <a:ln>
                      <a:noFill/>
                    </a:ln>
                  </pic:spPr>
                </pic:pic>
              </a:graphicData>
            </a:graphic>
          </wp:inline>
        </w:drawing>
      </w:r>
      <w:r>
        <w:rPr>
          <w:rFonts w:ascii="Arial" w:hAnsi="Arial" w:cs="Arial"/>
          <w:sz w:val="20"/>
          <w:szCs w:val="20"/>
        </w:rPr>
        <w:t xml:space="preserve"> (b) </w:t>
      </w:r>
      <w:r>
        <w:rPr>
          <w:rFonts w:ascii="Arial" w:hAnsi="Arial" w:cs="Arial"/>
          <w:noProof/>
          <w:sz w:val="20"/>
          <w:szCs w:val="20"/>
          <w:lang w:eastAsia="en-PH"/>
        </w:rPr>
        <w:drawing>
          <wp:inline distT="0" distB="0" distL="0" distR="0" wp14:anchorId="6350772C" wp14:editId="301E1C07">
            <wp:extent cx="2628507" cy="2011680"/>
            <wp:effectExtent l="0" t="0" r="635" b="7620"/>
            <wp:docPr id="12" name="Picture 1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507" cy="2011680"/>
                    </a:xfrm>
                    <a:prstGeom prst="rect">
                      <a:avLst/>
                    </a:prstGeom>
                    <a:noFill/>
                    <a:ln>
                      <a:noFill/>
                    </a:ln>
                  </pic:spPr>
                </pic:pic>
              </a:graphicData>
            </a:graphic>
          </wp:inline>
        </w:drawing>
      </w:r>
    </w:p>
    <w:p w14:paraId="4D3B7D9D" w14:textId="4B33F870" w:rsidR="009926EB" w:rsidRPr="00D20F8F" w:rsidRDefault="009926EB" w:rsidP="00BC6718">
      <w:pPr>
        <w:jc w:val="both"/>
        <w:rPr>
          <w:rFonts w:ascii="Arial" w:hAnsi="Arial" w:cs="Arial"/>
          <w:sz w:val="20"/>
          <w:szCs w:val="20"/>
        </w:rPr>
      </w:pPr>
      <w:r>
        <w:rPr>
          <w:rFonts w:ascii="Arial" w:hAnsi="Arial" w:cs="Arial"/>
          <w:sz w:val="20"/>
          <w:szCs w:val="20"/>
        </w:rPr>
        <w:t xml:space="preserve">(c) </w:t>
      </w:r>
      <w:r>
        <w:rPr>
          <w:rFonts w:ascii="Arial" w:hAnsi="Arial" w:cs="Arial"/>
          <w:noProof/>
          <w:sz w:val="20"/>
          <w:szCs w:val="20"/>
          <w:lang w:eastAsia="en-PH"/>
        </w:rPr>
        <w:drawing>
          <wp:inline distT="0" distB="0" distL="0" distR="0" wp14:anchorId="699ED838" wp14:editId="385A6360">
            <wp:extent cx="2628507" cy="2011680"/>
            <wp:effectExtent l="0" t="0" r="635" b="7620"/>
            <wp:docPr id="14" name="Picture 1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28507" cy="2011680"/>
                    </a:xfrm>
                    <a:prstGeom prst="rect">
                      <a:avLst/>
                    </a:prstGeom>
                    <a:noFill/>
                    <a:ln>
                      <a:noFill/>
                    </a:ln>
                  </pic:spPr>
                </pic:pic>
              </a:graphicData>
            </a:graphic>
          </wp:inline>
        </w:drawing>
      </w:r>
      <w:r>
        <w:rPr>
          <w:rFonts w:ascii="Arial" w:hAnsi="Arial" w:cs="Arial"/>
          <w:sz w:val="20"/>
          <w:szCs w:val="20"/>
        </w:rPr>
        <w:t xml:space="preserve"> (d) </w:t>
      </w:r>
      <w:r>
        <w:rPr>
          <w:rFonts w:ascii="Arial" w:hAnsi="Arial" w:cs="Arial"/>
          <w:noProof/>
          <w:sz w:val="20"/>
          <w:szCs w:val="20"/>
          <w:lang w:eastAsia="en-PH"/>
        </w:rPr>
        <w:drawing>
          <wp:inline distT="0" distB="0" distL="0" distR="0" wp14:anchorId="2562A8A5" wp14:editId="6D9E0D65">
            <wp:extent cx="2628506" cy="2011680"/>
            <wp:effectExtent l="0" t="0" r="63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28506" cy="2011680"/>
                    </a:xfrm>
                    <a:prstGeom prst="rect">
                      <a:avLst/>
                    </a:prstGeom>
                    <a:noFill/>
                    <a:ln>
                      <a:noFill/>
                    </a:ln>
                  </pic:spPr>
                </pic:pic>
              </a:graphicData>
            </a:graphic>
          </wp:inline>
        </w:drawing>
      </w:r>
    </w:p>
    <w:p w14:paraId="52C193CF" w14:textId="4A2A6D56" w:rsidR="009926EB" w:rsidRDefault="003532F0" w:rsidP="009926EB">
      <w:pPr>
        <w:jc w:val="both"/>
        <w:rPr>
          <w:rFonts w:ascii="Arial" w:hAnsi="Arial" w:cs="Arial"/>
          <w:sz w:val="20"/>
          <w:szCs w:val="20"/>
        </w:rPr>
      </w:pPr>
      <w:r>
        <w:rPr>
          <w:rFonts w:ascii="Arial" w:hAnsi="Arial" w:cs="Arial"/>
          <w:b/>
          <w:bCs/>
          <w:sz w:val="20"/>
          <w:szCs w:val="20"/>
        </w:rPr>
        <w:t>Supplementary Data 4</w:t>
      </w:r>
      <w:r w:rsidR="009926EB" w:rsidRPr="00D20F8F">
        <w:rPr>
          <w:rFonts w:ascii="Arial" w:hAnsi="Arial" w:cs="Arial"/>
          <w:b/>
          <w:bCs/>
          <w:sz w:val="20"/>
          <w:szCs w:val="20"/>
        </w:rPr>
        <w:t xml:space="preserve">. </w:t>
      </w:r>
      <w:r w:rsidR="009926EB">
        <w:rPr>
          <w:rFonts w:ascii="Arial" w:hAnsi="Arial" w:cs="Arial"/>
          <w:sz w:val="20"/>
          <w:szCs w:val="20"/>
        </w:rPr>
        <w:t>Thermogravimetric analysis of</w:t>
      </w:r>
      <w:r w:rsidR="009926EB" w:rsidRPr="00D20F8F">
        <w:rPr>
          <w:rFonts w:ascii="Arial" w:hAnsi="Arial" w:cs="Arial"/>
          <w:sz w:val="20"/>
          <w:szCs w:val="20"/>
        </w:rPr>
        <w:t xml:space="preserve"> </w:t>
      </w:r>
      <w:r w:rsidR="009926EB">
        <w:rPr>
          <w:rFonts w:ascii="Arial" w:hAnsi="Arial" w:cs="Arial"/>
          <w:sz w:val="20"/>
          <w:szCs w:val="20"/>
        </w:rPr>
        <w:t>PNWF-</w:t>
      </w:r>
      <w:r w:rsidR="009926EB">
        <w:rPr>
          <w:rFonts w:ascii="Arial" w:hAnsi="Arial" w:cs="Arial"/>
          <w:i/>
          <w:iCs/>
          <w:sz w:val="20"/>
          <w:szCs w:val="20"/>
        </w:rPr>
        <w:t>g</w:t>
      </w:r>
      <w:r w:rsidR="009926EB" w:rsidRPr="00BC6718">
        <w:rPr>
          <w:rFonts w:ascii="Arial" w:hAnsi="Arial" w:cs="Arial"/>
          <w:sz w:val="20"/>
          <w:szCs w:val="20"/>
        </w:rPr>
        <w:t>-</w:t>
      </w:r>
      <w:r w:rsidR="009926EB">
        <w:rPr>
          <w:rFonts w:ascii="Arial" w:hAnsi="Arial" w:cs="Arial"/>
          <w:sz w:val="20"/>
          <w:szCs w:val="20"/>
        </w:rPr>
        <w:t xml:space="preserve">PAP: TG (solid) and DTG (dashed) curves of fabric </w:t>
      </w:r>
      <w:r w:rsidR="009926EB" w:rsidRPr="00D20F8F">
        <w:rPr>
          <w:rFonts w:ascii="Arial" w:hAnsi="Arial" w:cs="Arial"/>
          <w:sz w:val="20"/>
          <w:szCs w:val="20"/>
        </w:rPr>
        <w:t>functionalized with di</w:t>
      </w:r>
      <w:r w:rsidR="009926EB">
        <w:rPr>
          <w:rFonts w:ascii="Arial" w:hAnsi="Arial" w:cs="Arial"/>
          <w:sz w:val="20"/>
          <w:szCs w:val="20"/>
        </w:rPr>
        <w:t>but</w:t>
      </w:r>
      <w:r w:rsidR="009926EB" w:rsidRPr="00D20F8F">
        <w:rPr>
          <w:rFonts w:ascii="Arial" w:hAnsi="Arial" w:cs="Arial"/>
          <w:sz w:val="20"/>
          <w:szCs w:val="20"/>
        </w:rPr>
        <w:t>yl phosphite with (</w:t>
      </w:r>
      <w:r w:rsidR="009926EB">
        <w:rPr>
          <w:rFonts w:ascii="Arial" w:hAnsi="Arial" w:cs="Arial"/>
          <w:sz w:val="20"/>
          <w:szCs w:val="20"/>
        </w:rPr>
        <w:t>a</w:t>
      </w:r>
      <w:r w:rsidR="009926EB" w:rsidRPr="00D20F8F">
        <w:rPr>
          <w:rFonts w:ascii="Arial" w:hAnsi="Arial" w:cs="Arial"/>
          <w:sz w:val="20"/>
          <w:szCs w:val="20"/>
        </w:rPr>
        <w:t>) p-anisidine, (</w:t>
      </w:r>
      <w:r w:rsidR="009926EB">
        <w:rPr>
          <w:rFonts w:ascii="Arial" w:hAnsi="Arial" w:cs="Arial"/>
          <w:sz w:val="20"/>
          <w:szCs w:val="20"/>
        </w:rPr>
        <w:t>b</w:t>
      </w:r>
      <w:r w:rsidR="009926EB" w:rsidRPr="00D20F8F">
        <w:rPr>
          <w:rFonts w:ascii="Arial" w:hAnsi="Arial" w:cs="Arial"/>
          <w:sz w:val="20"/>
          <w:szCs w:val="20"/>
        </w:rPr>
        <w:t>) 4-chloroaniline, (</w:t>
      </w:r>
      <w:r w:rsidR="009926EB">
        <w:rPr>
          <w:rFonts w:ascii="Arial" w:hAnsi="Arial" w:cs="Arial"/>
          <w:sz w:val="20"/>
          <w:szCs w:val="20"/>
        </w:rPr>
        <w:t>c</w:t>
      </w:r>
      <w:r w:rsidR="009926EB" w:rsidRPr="00D20F8F">
        <w:rPr>
          <w:rFonts w:ascii="Arial" w:hAnsi="Arial" w:cs="Arial"/>
          <w:sz w:val="20"/>
          <w:szCs w:val="20"/>
        </w:rPr>
        <w:t xml:space="preserve">) 4-bromoaniline, </w:t>
      </w:r>
      <w:r w:rsidR="00183D21">
        <w:rPr>
          <w:rFonts w:ascii="Arial" w:hAnsi="Arial" w:cs="Arial"/>
          <w:sz w:val="20"/>
          <w:szCs w:val="20"/>
        </w:rPr>
        <w:t xml:space="preserve">and </w:t>
      </w:r>
      <w:r w:rsidR="009926EB" w:rsidRPr="00D20F8F">
        <w:rPr>
          <w:rFonts w:ascii="Arial" w:hAnsi="Arial" w:cs="Arial"/>
          <w:sz w:val="20"/>
          <w:szCs w:val="20"/>
        </w:rPr>
        <w:t>(</w:t>
      </w:r>
      <w:r w:rsidR="009926EB">
        <w:rPr>
          <w:rFonts w:ascii="Arial" w:hAnsi="Arial" w:cs="Arial"/>
          <w:sz w:val="20"/>
          <w:szCs w:val="20"/>
        </w:rPr>
        <w:t>d</w:t>
      </w:r>
      <w:r w:rsidR="009926EB" w:rsidRPr="00D20F8F">
        <w:rPr>
          <w:rFonts w:ascii="Arial" w:hAnsi="Arial" w:cs="Arial"/>
          <w:sz w:val="20"/>
          <w:szCs w:val="20"/>
        </w:rPr>
        <w:t>) 4-iodoaniline</w:t>
      </w:r>
    </w:p>
    <w:p w14:paraId="2F25C7F1" w14:textId="77777777" w:rsidR="00874CF8" w:rsidRDefault="00874CF8"/>
    <w:sectPr w:rsidR="00874CF8" w:rsidSect="000849A9">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92E73"/>
    <w:multiLevelType w:val="hybridMultilevel"/>
    <w:tmpl w:val="A90A79D0"/>
    <w:lvl w:ilvl="0" w:tplc="1CB47D4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4CF8"/>
    <w:rsid w:val="000849A9"/>
    <w:rsid w:val="000A1CEC"/>
    <w:rsid w:val="000A7F90"/>
    <w:rsid w:val="001225FB"/>
    <w:rsid w:val="00142FFA"/>
    <w:rsid w:val="00183D21"/>
    <w:rsid w:val="003532F0"/>
    <w:rsid w:val="00365BA1"/>
    <w:rsid w:val="00413D5D"/>
    <w:rsid w:val="00472835"/>
    <w:rsid w:val="004E4350"/>
    <w:rsid w:val="00781826"/>
    <w:rsid w:val="007B1472"/>
    <w:rsid w:val="008020AA"/>
    <w:rsid w:val="00874CF8"/>
    <w:rsid w:val="008A6C5C"/>
    <w:rsid w:val="008C4069"/>
    <w:rsid w:val="00953AA7"/>
    <w:rsid w:val="009926EB"/>
    <w:rsid w:val="009931E5"/>
    <w:rsid w:val="009C799E"/>
    <w:rsid w:val="00AB367D"/>
    <w:rsid w:val="00B47259"/>
    <w:rsid w:val="00BC6718"/>
    <w:rsid w:val="00BD2C3B"/>
    <w:rsid w:val="00BD48AA"/>
    <w:rsid w:val="00C467E3"/>
    <w:rsid w:val="00E70D8E"/>
    <w:rsid w:val="00E77118"/>
    <w:rsid w:val="00EA7BF9"/>
    <w:rsid w:val="00F81746"/>
    <w:rsid w:val="00F84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3508D"/>
  <w15:chartTrackingRefBased/>
  <w15:docId w15:val="{16A64AA6-85A1-4714-9954-F5BD4649D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CF8"/>
    <w:rPr>
      <w:lang w:val="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6718"/>
    <w:pPr>
      <w:ind w:left="720"/>
      <w:contextualSpacing/>
    </w:pPr>
  </w:style>
  <w:style w:type="character" w:styleId="CommentReference">
    <w:name w:val="annotation reference"/>
    <w:basedOn w:val="DefaultParagraphFont"/>
    <w:uiPriority w:val="99"/>
    <w:semiHidden/>
    <w:unhideWhenUsed/>
    <w:rsid w:val="00EA7BF9"/>
    <w:rPr>
      <w:sz w:val="16"/>
      <w:szCs w:val="16"/>
    </w:rPr>
  </w:style>
  <w:style w:type="paragraph" w:styleId="CommentText">
    <w:name w:val="annotation text"/>
    <w:basedOn w:val="Normal"/>
    <w:link w:val="CommentTextChar"/>
    <w:uiPriority w:val="99"/>
    <w:semiHidden/>
    <w:unhideWhenUsed/>
    <w:rsid w:val="00EA7BF9"/>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EA7BF9"/>
    <w:rPr>
      <w:rFonts w:eastAsiaTheme="minorEastAsia"/>
      <w:sz w:val="20"/>
      <w:szCs w:val="20"/>
      <w:lang w:val="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486</Words>
  <Characters>2776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 Jeremiah D. Barba</dc:creator>
  <cp:keywords/>
  <dc:description/>
  <cp:lastModifiedBy>Jordan F. Madrid</cp:lastModifiedBy>
  <cp:revision>2</cp:revision>
  <dcterms:created xsi:type="dcterms:W3CDTF">2022-01-25T08:03:00Z</dcterms:created>
  <dcterms:modified xsi:type="dcterms:W3CDTF">2022-01-25T08:03:00Z</dcterms:modified>
</cp:coreProperties>
</file>