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AD16" w14:textId="77777777" w:rsidR="00F37170" w:rsidRDefault="00F37170" w:rsidP="00F37170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Supplemental material</w:t>
      </w:r>
    </w:p>
    <w:p w14:paraId="7E37E427" w14:textId="77777777" w:rsidR="00F37170" w:rsidRDefault="00F37170" w:rsidP="00F37170">
      <w:pPr>
        <w:spacing w:line="480" w:lineRule="auto"/>
        <w:jc w:val="center"/>
        <w:rPr>
          <w:b/>
          <w:sz w:val="28"/>
          <w:szCs w:val="28"/>
        </w:rPr>
      </w:pPr>
    </w:p>
    <w:p w14:paraId="4138B117" w14:textId="77777777" w:rsidR="00F37170" w:rsidRPr="00F14A22" w:rsidRDefault="00F37170" w:rsidP="00F37170">
      <w:pPr>
        <w:spacing w:line="480" w:lineRule="auto"/>
        <w:jc w:val="center"/>
        <w:rPr>
          <w:b/>
          <w:sz w:val="28"/>
          <w:szCs w:val="28"/>
        </w:rPr>
      </w:pPr>
      <w:r w:rsidRPr="00F14A22">
        <w:rPr>
          <w:b/>
          <w:sz w:val="28"/>
          <w:szCs w:val="28"/>
        </w:rPr>
        <w:t xml:space="preserve">New rodents </w:t>
      </w:r>
      <w:r w:rsidRPr="00F14A22">
        <w:rPr>
          <w:b/>
          <w:sz w:val="28"/>
          <w:szCs w:val="28"/>
          <w:lang w:val="en-IN"/>
        </w:rPr>
        <w:t xml:space="preserve">shed light on the age and ecology of </w:t>
      </w:r>
      <w:r w:rsidRPr="00F14A22">
        <w:rPr>
          <w:b/>
          <w:sz w:val="28"/>
          <w:szCs w:val="28"/>
        </w:rPr>
        <w:t xml:space="preserve">Late Miocene ape locality of </w:t>
      </w:r>
      <w:proofErr w:type="spellStart"/>
      <w:r w:rsidRPr="00F14A22">
        <w:rPr>
          <w:b/>
          <w:sz w:val="28"/>
          <w:szCs w:val="28"/>
        </w:rPr>
        <w:t>Tapar</w:t>
      </w:r>
      <w:proofErr w:type="spellEnd"/>
      <w:r w:rsidRPr="00F14A22">
        <w:rPr>
          <w:b/>
          <w:sz w:val="28"/>
          <w:szCs w:val="28"/>
        </w:rPr>
        <w:t xml:space="preserve"> (Gujarat, India)</w:t>
      </w:r>
    </w:p>
    <w:p w14:paraId="36EEA230" w14:textId="77777777" w:rsidR="00F37170" w:rsidRDefault="00F37170" w:rsidP="00F37170">
      <w:pPr>
        <w:pStyle w:val="Default"/>
        <w:spacing w:line="480" w:lineRule="auto"/>
        <w:ind w:right="720"/>
        <w:outlineLvl w:val="0"/>
        <w:rPr>
          <w:b/>
          <w:bCs/>
          <w:color w:val="auto"/>
        </w:rPr>
      </w:pPr>
    </w:p>
    <w:p w14:paraId="7BD0D550" w14:textId="77777777" w:rsidR="00F37170" w:rsidRPr="00F14A22" w:rsidRDefault="00F37170" w:rsidP="00F37170">
      <w:pPr>
        <w:pStyle w:val="Default"/>
        <w:spacing w:line="480" w:lineRule="auto"/>
        <w:ind w:right="720"/>
        <w:jc w:val="center"/>
        <w:outlineLvl w:val="0"/>
        <w:rPr>
          <w:bCs/>
          <w:color w:val="auto"/>
          <w:vertAlign w:val="superscript"/>
        </w:rPr>
      </w:pPr>
      <w:r w:rsidRPr="00F14A22">
        <w:rPr>
          <w:bCs/>
          <w:color w:val="auto"/>
        </w:rPr>
        <w:t xml:space="preserve">Rajeev </w:t>
      </w:r>
      <w:proofErr w:type="spellStart"/>
      <w:r w:rsidRPr="00F14A22">
        <w:rPr>
          <w:bCs/>
          <w:color w:val="auto"/>
        </w:rPr>
        <w:t>Patnaik</w:t>
      </w:r>
      <w:r w:rsidRPr="00F14A22">
        <w:rPr>
          <w:bCs/>
          <w:color w:val="auto"/>
          <w:vertAlign w:val="superscript"/>
        </w:rPr>
        <w:t>a</w:t>
      </w:r>
      <w:proofErr w:type="spellEnd"/>
      <w:r w:rsidRPr="00F14A22">
        <w:rPr>
          <w:color w:val="auto"/>
        </w:rPr>
        <w:t>*</w:t>
      </w:r>
      <w:r w:rsidRPr="00F14A22">
        <w:rPr>
          <w:bCs/>
          <w:color w:val="auto"/>
        </w:rPr>
        <w:t xml:space="preserve">, </w:t>
      </w:r>
      <w:proofErr w:type="spellStart"/>
      <w:r w:rsidRPr="00F14A22">
        <w:rPr>
          <w:bCs/>
          <w:color w:val="auto"/>
        </w:rPr>
        <w:t>Ningthoujam</w:t>
      </w:r>
      <w:proofErr w:type="spellEnd"/>
      <w:r w:rsidRPr="00F14A22">
        <w:rPr>
          <w:bCs/>
          <w:color w:val="auto"/>
        </w:rPr>
        <w:t xml:space="preserve"> </w:t>
      </w:r>
      <w:proofErr w:type="spellStart"/>
      <w:r w:rsidRPr="00F14A22">
        <w:rPr>
          <w:bCs/>
          <w:color w:val="auto"/>
        </w:rPr>
        <w:t>Premjit</w:t>
      </w:r>
      <w:proofErr w:type="spellEnd"/>
      <w:r w:rsidRPr="00F14A22">
        <w:rPr>
          <w:bCs/>
          <w:color w:val="auto"/>
        </w:rPr>
        <w:t xml:space="preserve"> </w:t>
      </w:r>
      <w:proofErr w:type="spellStart"/>
      <w:proofErr w:type="gramStart"/>
      <w:r w:rsidRPr="00F14A22">
        <w:rPr>
          <w:bCs/>
          <w:color w:val="auto"/>
        </w:rPr>
        <w:t>Singh</w:t>
      </w:r>
      <w:r>
        <w:rPr>
          <w:bCs/>
          <w:color w:val="auto"/>
          <w:vertAlign w:val="superscript"/>
        </w:rPr>
        <w:t>a,</w:t>
      </w:r>
      <w:r w:rsidRPr="00F14A22">
        <w:rPr>
          <w:bCs/>
          <w:color w:val="auto"/>
          <w:vertAlign w:val="superscript"/>
        </w:rPr>
        <w:t>b</w:t>
      </w:r>
      <w:proofErr w:type="spellEnd"/>
      <w:proofErr w:type="gramEnd"/>
      <w:r w:rsidRPr="00F14A22">
        <w:rPr>
          <w:color w:val="auto"/>
        </w:rPr>
        <w:t xml:space="preserve">, K. </w:t>
      </w:r>
      <w:proofErr w:type="spellStart"/>
      <w:r w:rsidRPr="00F14A22">
        <w:rPr>
          <w:color w:val="auto"/>
        </w:rPr>
        <w:t>Milankumar</w:t>
      </w:r>
      <w:proofErr w:type="spellEnd"/>
      <w:r w:rsidRPr="00F14A22">
        <w:rPr>
          <w:color w:val="auto"/>
        </w:rPr>
        <w:t xml:space="preserve"> </w:t>
      </w:r>
      <w:proofErr w:type="spellStart"/>
      <w:r w:rsidRPr="00F14A22">
        <w:rPr>
          <w:color w:val="auto"/>
        </w:rPr>
        <w:t>Sharma</w:t>
      </w:r>
      <w:r w:rsidRPr="00F14A22">
        <w:rPr>
          <w:color w:val="auto"/>
          <w:vertAlign w:val="superscript"/>
        </w:rPr>
        <w:t>c</w:t>
      </w:r>
      <w:proofErr w:type="spellEnd"/>
      <w:r w:rsidRPr="00F14A22">
        <w:rPr>
          <w:bCs/>
          <w:color w:val="auto"/>
        </w:rPr>
        <w:t xml:space="preserve">, </w:t>
      </w:r>
      <w:proofErr w:type="spellStart"/>
      <w:r w:rsidRPr="00F14A22">
        <w:rPr>
          <w:color w:val="auto"/>
        </w:rPr>
        <w:t>Nongmaithem</w:t>
      </w:r>
      <w:proofErr w:type="spellEnd"/>
      <w:r w:rsidRPr="00F14A22">
        <w:rPr>
          <w:color w:val="auto"/>
        </w:rPr>
        <w:t xml:space="preserve"> </w:t>
      </w:r>
      <w:proofErr w:type="spellStart"/>
      <w:r w:rsidRPr="00F14A22">
        <w:rPr>
          <w:color w:val="auto"/>
        </w:rPr>
        <w:t>Amardas</w:t>
      </w:r>
      <w:proofErr w:type="spellEnd"/>
      <w:r w:rsidRPr="00F14A22">
        <w:rPr>
          <w:color w:val="auto"/>
        </w:rPr>
        <w:t xml:space="preserve"> </w:t>
      </w:r>
      <w:proofErr w:type="spellStart"/>
      <w:r w:rsidRPr="00F14A22">
        <w:rPr>
          <w:color w:val="auto"/>
        </w:rPr>
        <w:t>Singh</w:t>
      </w:r>
      <w:r w:rsidRPr="00F14A22">
        <w:rPr>
          <w:color w:val="auto"/>
          <w:vertAlign w:val="superscript"/>
        </w:rPr>
        <w:t>c</w:t>
      </w:r>
      <w:proofErr w:type="spellEnd"/>
      <w:r w:rsidRPr="00F14A22">
        <w:rPr>
          <w:color w:val="auto"/>
        </w:rPr>
        <w:t xml:space="preserve">, </w:t>
      </w:r>
      <w:r w:rsidRPr="00F14A22">
        <w:rPr>
          <w:bCs/>
          <w:color w:val="auto"/>
        </w:rPr>
        <w:t xml:space="preserve">Deepak </w:t>
      </w:r>
      <w:proofErr w:type="spellStart"/>
      <w:r w:rsidRPr="00F14A22">
        <w:rPr>
          <w:bCs/>
          <w:color w:val="auto"/>
        </w:rPr>
        <w:t>Choudhary</w:t>
      </w:r>
      <w:r w:rsidRPr="00F14A22">
        <w:rPr>
          <w:bCs/>
          <w:color w:val="auto"/>
          <w:vertAlign w:val="superscript"/>
        </w:rPr>
        <w:t>a</w:t>
      </w:r>
      <w:proofErr w:type="spellEnd"/>
      <w:r w:rsidRPr="00F14A22">
        <w:rPr>
          <w:bCs/>
          <w:color w:val="auto"/>
        </w:rPr>
        <w:t xml:space="preserve">, </w:t>
      </w:r>
      <w:r w:rsidRPr="00F14A22">
        <w:rPr>
          <w:color w:val="auto"/>
        </w:rPr>
        <w:t xml:space="preserve">Y. </w:t>
      </w:r>
      <w:proofErr w:type="spellStart"/>
      <w:r w:rsidRPr="00F14A22">
        <w:rPr>
          <w:color w:val="auto"/>
        </w:rPr>
        <w:t>Priyananda</w:t>
      </w:r>
      <w:proofErr w:type="spellEnd"/>
      <w:r w:rsidRPr="00F14A22">
        <w:rPr>
          <w:color w:val="auto"/>
        </w:rPr>
        <w:t xml:space="preserve"> </w:t>
      </w:r>
      <w:proofErr w:type="spellStart"/>
      <w:r w:rsidRPr="00F14A22">
        <w:rPr>
          <w:color w:val="auto"/>
        </w:rPr>
        <w:t>Singh</w:t>
      </w:r>
      <w:r w:rsidRPr="00F14A22">
        <w:rPr>
          <w:color w:val="auto"/>
          <w:vertAlign w:val="superscript"/>
        </w:rPr>
        <w:t>c</w:t>
      </w:r>
      <w:proofErr w:type="spellEnd"/>
      <w:r>
        <w:rPr>
          <w:bCs/>
          <w:color w:val="auto"/>
        </w:rPr>
        <w:t xml:space="preserve">, </w:t>
      </w:r>
      <w:proofErr w:type="spellStart"/>
      <w:r w:rsidRPr="00F14A22">
        <w:rPr>
          <w:bCs/>
          <w:color w:val="auto"/>
        </w:rPr>
        <w:t>Rohit</w:t>
      </w:r>
      <w:proofErr w:type="spellEnd"/>
      <w:r w:rsidRPr="00F14A22">
        <w:rPr>
          <w:bCs/>
          <w:color w:val="auto"/>
        </w:rPr>
        <w:t xml:space="preserve"> Kumar</w:t>
      </w:r>
      <w:r w:rsidRPr="00F14A22">
        <w:rPr>
          <w:bCs/>
          <w:color w:val="auto"/>
          <w:vertAlign w:val="superscript"/>
        </w:rPr>
        <w:t>a</w:t>
      </w:r>
      <w:r w:rsidRPr="00F14A22">
        <w:rPr>
          <w:bCs/>
          <w:color w:val="auto"/>
        </w:rPr>
        <w:t xml:space="preserve">, </w:t>
      </w:r>
      <w:proofErr w:type="spellStart"/>
      <w:r w:rsidRPr="00F14A22">
        <w:rPr>
          <w:bCs/>
          <w:color w:val="auto"/>
        </w:rPr>
        <w:t>Wasim</w:t>
      </w:r>
      <w:proofErr w:type="spellEnd"/>
      <w:r w:rsidRPr="00F14A22">
        <w:rPr>
          <w:bCs/>
          <w:color w:val="auto"/>
        </w:rPr>
        <w:t xml:space="preserve"> </w:t>
      </w:r>
      <w:proofErr w:type="spellStart"/>
      <w:r w:rsidRPr="00F14A22">
        <w:rPr>
          <w:bCs/>
          <w:color w:val="auto"/>
        </w:rPr>
        <w:t>Abass</w:t>
      </w:r>
      <w:proofErr w:type="spellEnd"/>
      <w:r w:rsidRPr="00F14A22">
        <w:rPr>
          <w:bCs/>
          <w:color w:val="auto"/>
        </w:rPr>
        <w:t xml:space="preserve"> </w:t>
      </w:r>
      <w:proofErr w:type="spellStart"/>
      <w:r w:rsidRPr="00F14A22">
        <w:rPr>
          <w:bCs/>
          <w:color w:val="auto"/>
        </w:rPr>
        <w:t>Wazir</w:t>
      </w:r>
      <w:r w:rsidRPr="00F14A22">
        <w:rPr>
          <w:bCs/>
          <w:color w:val="auto"/>
          <w:vertAlign w:val="superscript"/>
        </w:rPr>
        <w:t>a</w:t>
      </w:r>
      <w:proofErr w:type="spellEnd"/>
      <w:r>
        <w:rPr>
          <w:bCs/>
          <w:color w:val="auto"/>
        </w:rPr>
        <w:t xml:space="preserve"> and</w:t>
      </w:r>
      <w:r w:rsidRPr="00F14A22">
        <w:rPr>
          <w:bCs/>
          <w:color w:val="auto"/>
        </w:rPr>
        <w:t xml:space="preserve"> Ashok </w:t>
      </w:r>
      <w:proofErr w:type="spellStart"/>
      <w:r w:rsidRPr="00F14A22">
        <w:rPr>
          <w:bCs/>
          <w:color w:val="auto"/>
        </w:rPr>
        <w:t>Sahni</w:t>
      </w:r>
      <w:r w:rsidRPr="00F14A22">
        <w:rPr>
          <w:bCs/>
          <w:color w:val="auto"/>
          <w:vertAlign w:val="superscript"/>
        </w:rPr>
        <w:t>a</w:t>
      </w:r>
      <w:proofErr w:type="spellEnd"/>
    </w:p>
    <w:p w14:paraId="15946204" w14:textId="77777777" w:rsidR="00F37170" w:rsidRDefault="00F37170" w:rsidP="00F37170">
      <w:pPr>
        <w:pStyle w:val="Default"/>
        <w:spacing w:line="480" w:lineRule="auto"/>
        <w:ind w:right="720"/>
        <w:outlineLvl w:val="0"/>
        <w:rPr>
          <w:b/>
          <w:bCs/>
          <w:color w:val="auto"/>
        </w:rPr>
      </w:pPr>
    </w:p>
    <w:p w14:paraId="7880E1FB" w14:textId="77777777" w:rsidR="00F37170" w:rsidRPr="00B4598E" w:rsidRDefault="00F37170" w:rsidP="00F37170">
      <w:pPr>
        <w:pStyle w:val="Default"/>
        <w:spacing w:line="480" w:lineRule="auto"/>
        <w:ind w:right="720"/>
        <w:jc w:val="center"/>
        <w:rPr>
          <w:i/>
          <w:color w:val="auto"/>
        </w:rPr>
      </w:pPr>
      <w:proofErr w:type="spellStart"/>
      <w:r w:rsidRPr="00B4598E">
        <w:rPr>
          <w:i/>
          <w:color w:val="auto"/>
          <w:vertAlign w:val="superscript"/>
        </w:rPr>
        <w:t>a</w:t>
      </w:r>
      <w:r w:rsidRPr="00B4598E">
        <w:rPr>
          <w:i/>
          <w:color w:val="auto"/>
        </w:rPr>
        <w:t>Department</w:t>
      </w:r>
      <w:proofErr w:type="spellEnd"/>
      <w:r w:rsidRPr="00B4598E">
        <w:rPr>
          <w:i/>
          <w:color w:val="auto"/>
        </w:rPr>
        <w:t xml:space="preserve"> of Geology, Panjab University, Chandigarh, 160 014, India; </w:t>
      </w:r>
      <w:proofErr w:type="spellStart"/>
      <w:r w:rsidRPr="00B4598E">
        <w:rPr>
          <w:i/>
          <w:color w:val="auto"/>
          <w:vertAlign w:val="superscript"/>
        </w:rPr>
        <w:t>b</w:t>
      </w:r>
      <w:r w:rsidRPr="00B4598E">
        <w:rPr>
          <w:i/>
          <w:color w:val="auto"/>
        </w:rPr>
        <w:t>Wadia</w:t>
      </w:r>
      <w:proofErr w:type="spellEnd"/>
      <w:r w:rsidRPr="00B4598E">
        <w:rPr>
          <w:i/>
          <w:color w:val="auto"/>
        </w:rPr>
        <w:t xml:space="preserve"> Institute of Himalayan Geology, Dehradun-248001, India; </w:t>
      </w:r>
      <w:proofErr w:type="spellStart"/>
      <w:r w:rsidRPr="00B4598E">
        <w:rPr>
          <w:i/>
          <w:color w:val="auto"/>
          <w:vertAlign w:val="superscript"/>
        </w:rPr>
        <w:t>c</w:t>
      </w:r>
      <w:r w:rsidRPr="00B4598E">
        <w:rPr>
          <w:i/>
          <w:color w:val="auto"/>
        </w:rPr>
        <w:t>Department</w:t>
      </w:r>
      <w:proofErr w:type="spellEnd"/>
      <w:r w:rsidRPr="00B4598E">
        <w:rPr>
          <w:i/>
          <w:color w:val="auto"/>
        </w:rPr>
        <w:t xml:space="preserve"> of Geology, Central University of Punjab, Bathinda-151401, India</w:t>
      </w:r>
    </w:p>
    <w:p w14:paraId="036A52AC" w14:textId="77777777" w:rsidR="00F37170" w:rsidRDefault="00F37170" w:rsidP="00F37170">
      <w:pPr>
        <w:pStyle w:val="Default"/>
        <w:spacing w:line="480" w:lineRule="auto"/>
        <w:ind w:right="720"/>
        <w:rPr>
          <w:rFonts w:eastAsia="Times New Roman"/>
          <w:color w:val="auto"/>
        </w:rPr>
      </w:pPr>
    </w:p>
    <w:p w14:paraId="20F246F6" w14:textId="77777777" w:rsidR="00F37170" w:rsidRDefault="00F37170" w:rsidP="00F3717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*Corresponding author. Email address: </w:t>
      </w:r>
      <w:r w:rsidRPr="00404204">
        <w:rPr>
          <w:sz w:val="24"/>
          <w:szCs w:val="24"/>
        </w:rPr>
        <w:t>rajeevpatnaik@gmail.com</w:t>
      </w:r>
    </w:p>
    <w:p w14:paraId="099900DF" w14:textId="77777777" w:rsidR="0082283D" w:rsidRDefault="001D4580"/>
    <w:p w14:paraId="4DC312A6" w14:textId="77777777" w:rsidR="001D4580" w:rsidRDefault="001D4580" w:rsidP="001D4580">
      <w:pPr>
        <w:tabs>
          <w:tab w:val="left" w:pos="2649"/>
        </w:tabs>
        <w:autoSpaceDE w:val="0"/>
        <w:autoSpaceDN w:val="0"/>
        <w:adjustRightInd w:val="0"/>
        <w:spacing w:line="480" w:lineRule="auto"/>
        <w:rPr>
          <w:b/>
          <w:bCs/>
          <w:color w:val="000000"/>
          <w:sz w:val="24"/>
          <w:szCs w:val="24"/>
          <w:lang w:val="en-IN"/>
        </w:rPr>
      </w:pPr>
    </w:p>
    <w:p w14:paraId="4FAF4784" w14:textId="77777777" w:rsidR="001D4580" w:rsidRDefault="001D4580" w:rsidP="001D4580">
      <w:pPr>
        <w:tabs>
          <w:tab w:val="left" w:pos="2649"/>
        </w:tabs>
        <w:autoSpaceDE w:val="0"/>
        <w:autoSpaceDN w:val="0"/>
        <w:adjustRightInd w:val="0"/>
        <w:spacing w:line="480" w:lineRule="auto"/>
        <w:rPr>
          <w:b/>
          <w:bCs/>
          <w:color w:val="000000"/>
          <w:sz w:val="24"/>
          <w:szCs w:val="24"/>
          <w:lang w:val="en-IN"/>
        </w:rPr>
      </w:pPr>
      <w:r>
        <w:rPr>
          <w:b/>
          <w:bCs/>
          <w:color w:val="000000"/>
          <w:sz w:val="24"/>
          <w:szCs w:val="24"/>
          <w:lang w:val="en-IN"/>
        </w:rPr>
        <w:t>Supplementa</w:t>
      </w:r>
      <w:r>
        <w:rPr>
          <w:b/>
          <w:bCs/>
          <w:color w:val="000000"/>
          <w:sz w:val="24"/>
          <w:szCs w:val="24"/>
          <w:lang w:val="en-IN"/>
        </w:rPr>
        <w:t>l files</w:t>
      </w:r>
      <w:r>
        <w:rPr>
          <w:b/>
          <w:bCs/>
          <w:color w:val="000000"/>
          <w:sz w:val="24"/>
          <w:szCs w:val="24"/>
          <w:lang w:val="en-IN"/>
        </w:rPr>
        <w:tab/>
      </w:r>
    </w:p>
    <w:p w14:paraId="12576B4C" w14:textId="77777777" w:rsidR="001D4580" w:rsidRDefault="001D4580" w:rsidP="001D4580">
      <w:pPr>
        <w:tabs>
          <w:tab w:val="left" w:pos="2649"/>
        </w:tabs>
        <w:autoSpaceDE w:val="0"/>
        <w:autoSpaceDN w:val="0"/>
        <w:adjustRightInd w:val="0"/>
        <w:spacing w:line="480" w:lineRule="auto"/>
        <w:rPr>
          <w:b/>
          <w:bCs/>
          <w:color w:val="000000"/>
          <w:sz w:val="24"/>
          <w:szCs w:val="24"/>
          <w:lang w:val="en-IN"/>
        </w:rPr>
      </w:pPr>
    </w:p>
    <w:p w14:paraId="3EBBFC01" w14:textId="77777777" w:rsidR="001D4580" w:rsidRDefault="001D4580" w:rsidP="001D4580">
      <w:pPr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  <w:lang w:val="en-IN"/>
        </w:rPr>
      </w:pPr>
      <w:r>
        <w:rPr>
          <w:b/>
          <w:bCs/>
          <w:color w:val="000000"/>
          <w:sz w:val="24"/>
          <w:szCs w:val="24"/>
          <w:lang w:val="en-IN"/>
        </w:rPr>
        <w:t xml:space="preserve">Supplementary Dataset </w:t>
      </w:r>
      <w:r>
        <w:rPr>
          <w:b/>
          <w:bCs/>
          <w:color w:val="000000"/>
          <w:sz w:val="24"/>
          <w:szCs w:val="24"/>
          <w:lang w:val="en-IN"/>
        </w:rPr>
        <w:t>S1.</w:t>
      </w:r>
      <w:r>
        <w:rPr>
          <w:color w:val="000000"/>
          <w:sz w:val="24"/>
          <w:szCs w:val="24"/>
          <w:lang w:val="en-IN"/>
        </w:rPr>
        <w:t xml:space="preserve"> </w:t>
      </w:r>
      <w:r>
        <w:rPr>
          <w:color w:val="000000"/>
          <w:sz w:val="24"/>
          <w:szCs w:val="24"/>
        </w:rPr>
        <w:t xml:space="preserve">A dataset of </w:t>
      </w:r>
      <w:r>
        <w:rPr>
          <w:color w:val="000000"/>
          <w:sz w:val="24"/>
          <w:szCs w:val="24"/>
          <w:lang w:val="en-IN"/>
        </w:rPr>
        <w:t>164</w:t>
      </w:r>
      <w:r>
        <w:rPr>
          <w:color w:val="000000"/>
          <w:sz w:val="24"/>
          <w:szCs w:val="24"/>
        </w:rPr>
        <w:t xml:space="preserve"> upper molars (M1) of Siwalik </w:t>
      </w:r>
      <w:r>
        <w:rPr>
          <w:color w:val="000000"/>
          <w:sz w:val="24"/>
          <w:szCs w:val="24"/>
          <w:lang w:val="en-IN"/>
        </w:rPr>
        <w:t>m</w:t>
      </w:r>
      <w:r>
        <w:rPr>
          <w:color w:val="000000"/>
          <w:sz w:val="24"/>
          <w:szCs w:val="24"/>
        </w:rPr>
        <w:t xml:space="preserve">urines including the newly described </w:t>
      </w:r>
      <w:proofErr w:type="spellStart"/>
      <w:r>
        <w:rPr>
          <w:i/>
          <w:color w:val="000000"/>
          <w:sz w:val="24"/>
          <w:szCs w:val="24"/>
          <w:lang w:val="en-IN"/>
        </w:rPr>
        <w:t>Progonomys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i/>
          <w:color w:val="000000"/>
          <w:sz w:val="24"/>
          <w:szCs w:val="24"/>
        </w:rPr>
        <w:t>prasadi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IN"/>
        </w:rPr>
        <w:t xml:space="preserve"> sp.</w:t>
      </w:r>
      <w:proofErr w:type="gramEnd"/>
      <w:r>
        <w:rPr>
          <w:color w:val="000000"/>
          <w:sz w:val="24"/>
          <w:szCs w:val="24"/>
          <w:lang w:val="en-IN"/>
        </w:rPr>
        <w:t xml:space="preserve"> </w:t>
      </w:r>
      <w:proofErr w:type="spellStart"/>
      <w:r>
        <w:rPr>
          <w:color w:val="000000"/>
          <w:sz w:val="24"/>
          <w:szCs w:val="24"/>
          <w:lang w:val="en-IN"/>
        </w:rPr>
        <w:t>nov</w:t>
      </w:r>
      <w:proofErr w:type="spellEnd"/>
      <w:r>
        <w:rPr>
          <w:color w:val="000000"/>
          <w:sz w:val="24"/>
          <w:szCs w:val="24"/>
          <w:lang w:val="en-IN"/>
        </w:rPr>
        <w:t xml:space="preserve"> (source Kimura </w:t>
      </w:r>
      <w:r w:rsidRPr="001D4580">
        <w:rPr>
          <w:i/>
          <w:color w:val="000000"/>
          <w:sz w:val="24"/>
          <w:szCs w:val="24"/>
          <w:lang w:val="en-IN"/>
        </w:rPr>
        <w:t>et al</w:t>
      </w:r>
      <w:r>
        <w:rPr>
          <w:color w:val="000000"/>
          <w:sz w:val="24"/>
          <w:szCs w:val="24"/>
          <w:lang w:val="en-IN"/>
        </w:rPr>
        <w:t>., 2013).</w:t>
      </w:r>
    </w:p>
    <w:p w14:paraId="4CBF9172" w14:textId="77777777" w:rsidR="001D4580" w:rsidRDefault="001D4580" w:rsidP="001D4580">
      <w:pPr>
        <w:autoSpaceDE w:val="0"/>
        <w:autoSpaceDN w:val="0"/>
        <w:adjustRightInd w:val="0"/>
        <w:spacing w:line="480" w:lineRule="auto"/>
        <w:rPr>
          <w:rFonts w:eastAsia="SimSun"/>
          <w:b/>
          <w:bCs/>
          <w:color w:val="000000"/>
          <w:sz w:val="24"/>
          <w:szCs w:val="24"/>
          <w:lang w:eastAsia="zh-CN"/>
        </w:rPr>
      </w:pPr>
    </w:p>
    <w:p w14:paraId="6C3BAF82" w14:textId="77777777" w:rsidR="001D4580" w:rsidRDefault="001D4580" w:rsidP="001D4580">
      <w:pPr>
        <w:autoSpaceDE w:val="0"/>
        <w:autoSpaceDN w:val="0"/>
        <w:adjustRightInd w:val="0"/>
        <w:spacing w:line="480" w:lineRule="auto"/>
        <w:rPr>
          <w:rFonts w:eastAsia="SimSun"/>
          <w:color w:val="222222"/>
          <w:sz w:val="24"/>
          <w:szCs w:val="24"/>
          <w:shd w:val="clear" w:color="auto" w:fill="FFFFFF"/>
        </w:rPr>
      </w:pPr>
      <w:r>
        <w:rPr>
          <w:rFonts w:eastAsia="SimSun"/>
          <w:b/>
          <w:bCs/>
          <w:color w:val="000000"/>
          <w:sz w:val="24"/>
          <w:szCs w:val="24"/>
          <w:lang w:eastAsia="zh-CN"/>
        </w:rPr>
        <w:t>F</w:t>
      </w:r>
      <w:proofErr w:type="spellStart"/>
      <w:r>
        <w:rPr>
          <w:rFonts w:eastAsia="SimSun"/>
          <w:b/>
          <w:bCs/>
          <w:color w:val="000000"/>
          <w:sz w:val="24"/>
          <w:szCs w:val="24"/>
          <w:lang w:val="en-IN" w:eastAsia="zh-CN"/>
        </w:rPr>
        <w:t>igure</w:t>
      </w:r>
      <w:proofErr w:type="spellEnd"/>
      <w:r>
        <w:rPr>
          <w:b/>
          <w:bCs/>
          <w:color w:val="000000"/>
          <w:sz w:val="24"/>
          <w:szCs w:val="24"/>
          <w:lang w:val="en-IN"/>
        </w:rPr>
        <w:t xml:space="preserve"> SOM1.</w:t>
      </w:r>
      <w:r>
        <w:rPr>
          <w:rFonts w:eastAsia="SimSun"/>
          <w:color w:val="222222"/>
          <w:sz w:val="24"/>
          <w:szCs w:val="24"/>
          <w:shd w:val="clear" w:color="auto" w:fill="FFFFFF"/>
        </w:rPr>
        <w:t xml:space="preserve">Positions of seven landmarks (solid dots) and nine sliding </w:t>
      </w:r>
      <w:proofErr w:type="spellStart"/>
      <w:r>
        <w:rPr>
          <w:rFonts w:eastAsia="SimSun"/>
          <w:color w:val="222222"/>
          <w:sz w:val="24"/>
          <w:szCs w:val="24"/>
          <w:shd w:val="clear" w:color="auto" w:fill="FFFFFF"/>
        </w:rPr>
        <w:t>semilandmarks</w:t>
      </w:r>
      <w:proofErr w:type="spellEnd"/>
      <w:r>
        <w:rPr>
          <w:rFonts w:eastAsia="SimSun"/>
          <w:color w:val="222222"/>
          <w:sz w:val="24"/>
          <w:szCs w:val="24"/>
          <w:shd w:val="clear" w:color="auto" w:fill="FFFFFF"/>
        </w:rPr>
        <w:t xml:space="preserve"> (open dots) along M1 outline. The specimen is </w:t>
      </w:r>
      <w:proofErr w:type="spellStart"/>
      <w:r>
        <w:rPr>
          <w:i/>
          <w:color w:val="000000"/>
          <w:sz w:val="24"/>
          <w:szCs w:val="24"/>
          <w:lang w:val="en-IN"/>
        </w:rPr>
        <w:t>Progonomys</w:t>
      </w:r>
      <w:proofErr w:type="spellEnd"/>
      <w:r>
        <w:rPr>
          <w:rFonts w:eastAsia="SimSu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SimSun"/>
          <w:i/>
          <w:iCs/>
          <w:color w:val="222222"/>
          <w:sz w:val="24"/>
          <w:szCs w:val="24"/>
          <w:shd w:val="clear" w:color="auto" w:fill="FFFFFF"/>
        </w:rPr>
        <w:t>prasadi</w:t>
      </w:r>
      <w:proofErr w:type="spellEnd"/>
      <w:r>
        <w:rPr>
          <w:rFonts w:eastAsia="SimSun"/>
          <w:color w:val="222222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lang w:val="en-IN"/>
        </w:rPr>
        <w:t xml:space="preserve">sp. </w:t>
      </w:r>
      <w:proofErr w:type="spellStart"/>
      <w:r>
        <w:rPr>
          <w:color w:val="000000"/>
          <w:sz w:val="24"/>
          <w:szCs w:val="24"/>
          <w:lang w:val="en-IN"/>
        </w:rPr>
        <w:t>nov</w:t>
      </w:r>
      <w:proofErr w:type="spellEnd"/>
      <w:r>
        <w:rPr>
          <w:color w:val="000000"/>
          <w:sz w:val="24"/>
          <w:szCs w:val="24"/>
          <w:lang w:val="en-IN"/>
        </w:rPr>
        <w:t xml:space="preserve"> </w:t>
      </w:r>
      <w:r>
        <w:rPr>
          <w:rFonts w:eastAsia="SimSun"/>
          <w:color w:val="222222"/>
          <w:sz w:val="24"/>
          <w:szCs w:val="24"/>
          <w:shd w:val="clear" w:color="auto" w:fill="FFFFFF"/>
        </w:rPr>
        <w:t>(PUM 1).</w:t>
      </w:r>
    </w:p>
    <w:p w14:paraId="48C8FA0C" w14:textId="77777777" w:rsidR="001D4580" w:rsidRDefault="001D4580" w:rsidP="001D4580">
      <w:pPr>
        <w:autoSpaceDE w:val="0"/>
        <w:autoSpaceDN w:val="0"/>
        <w:adjustRightInd w:val="0"/>
        <w:spacing w:line="480" w:lineRule="auto"/>
        <w:rPr>
          <w:rFonts w:eastAsia="SimSun"/>
          <w:b/>
          <w:bCs/>
          <w:color w:val="000000"/>
          <w:sz w:val="24"/>
          <w:szCs w:val="24"/>
          <w:lang w:val="en-IN" w:eastAsia="zh-CN"/>
        </w:rPr>
      </w:pPr>
    </w:p>
    <w:p w14:paraId="612D86E2" w14:textId="77777777" w:rsidR="001D4580" w:rsidRDefault="001D4580" w:rsidP="001D4580">
      <w:pPr>
        <w:autoSpaceDE w:val="0"/>
        <w:autoSpaceDN w:val="0"/>
        <w:adjustRightInd w:val="0"/>
        <w:spacing w:line="480" w:lineRule="auto"/>
        <w:rPr>
          <w:bCs/>
          <w:color w:val="000000"/>
          <w:sz w:val="24"/>
          <w:szCs w:val="24"/>
          <w:lang w:val="en-IN"/>
        </w:rPr>
      </w:pPr>
      <w:r>
        <w:rPr>
          <w:rFonts w:eastAsia="SimSun"/>
          <w:b/>
          <w:bCs/>
          <w:color w:val="000000"/>
          <w:sz w:val="24"/>
          <w:szCs w:val="24"/>
          <w:lang w:eastAsia="zh-CN"/>
        </w:rPr>
        <w:t>F</w:t>
      </w:r>
      <w:proofErr w:type="spellStart"/>
      <w:r>
        <w:rPr>
          <w:rFonts w:eastAsia="SimSun"/>
          <w:b/>
          <w:bCs/>
          <w:color w:val="000000"/>
          <w:sz w:val="24"/>
          <w:szCs w:val="24"/>
          <w:lang w:val="en-IN" w:eastAsia="zh-CN"/>
        </w:rPr>
        <w:t>igure</w:t>
      </w:r>
      <w:proofErr w:type="spellEnd"/>
      <w:r>
        <w:rPr>
          <w:b/>
          <w:bCs/>
          <w:color w:val="000000"/>
          <w:sz w:val="24"/>
          <w:szCs w:val="24"/>
          <w:lang w:val="en-IN"/>
        </w:rPr>
        <w:t xml:space="preserve"> SOM2</w:t>
      </w:r>
      <w:r>
        <w:rPr>
          <w:color w:val="000000"/>
          <w:sz w:val="24"/>
          <w:szCs w:val="24"/>
          <w:lang w:val="en-IN"/>
        </w:rPr>
        <w:t xml:space="preserve">. </w:t>
      </w:r>
      <w:r>
        <w:rPr>
          <w:bCs/>
          <w:color w:val="000000"/>
          <w:sz w:val="24"/>
          <w:szCs w:val="24"/>
          <w:lang w:val="en-IN"/>
        </w:rPr>
        <w:t>Dental terminology followed here after Lindsay &amp; Flynn (2016).</w:t>
      </w:r>
    </w:p>
    <w:p w14:paraId="2A9C74DA" w14:textId="77777777" w:rsidR="001D4580" w:rsidRDefault="001D4580" w:rsidP="001D4580">
      <w:pPr>
        <w:autoSpaceDE w:val="0"/>
        <w:autoSpaceDN w:val="0"/>
        <w:adjustRightInd w:val="0"/>
        <w:spacing w:line="480" w:lineRule="auto"/>
        <w:rPr>
          <w:rFonts w:eastAsia="SimSun"/>
          <w:b/>
          <w:bCs/>
          <w:color w:val="000000"/>
          <w:sz w:val="24"/>
          <w:szCs w:val="24"/>
          <w:lang w:eastAsia="zh-CN"/>
        </w:rPr>
      </w:pPr>
    </w:p>
    <w:p w14:paraId="4F3BA67C" w14:textId="77777777" w:rsidR="001D4580" w:rsidRDefault="001D4580" w:rsidP="001D4580">
      <w:pPr>
        <w:autoSpaceDE w:val="0"/>
        <w:autoSpaceDN w:val="0"/>
        <w:adjustRightInd w:val="0"/>
        <w:spacing w:line="480" w:lineRule="auto"/>
        <w:rPr>
          <w:rFonts w:eastAsia="ACaslonPro-Regular"/>
          <w:color w:val="000000"/>
          <w:sz w:val="24"/>
          <w:szCs w:val="24"/>
          <w:lang w:val="en-IN" w:eastAsia="zh-CN" w:bidi="ar"/>
        </w:rPr>
      </w:pPr>
      <w:r>
        <w:rPr>
          <w:rFonts w:eastAsia="SimSun"/>
          <w:b/>
          <w:bCs/>
          <w:color w:val="000000"/>
          <w:sz w:val="24"/>
          <w:szCs w:val="24"/>
          <w:lang w:eastAsia="zh-CN"/>
        </w:rPr>
        <w:t>F</w:t>
      </w:r>
      <w:proofErr w:type="spellStart"/>
      <w:r>
        <w:rPr>
          <w:rFonts w:eastAsia="SimSun"/>
          <w:b/>
          <w:bCs/>
          <w:color w:val="000000"/>
          <w:sz w:val="24"/>
          <w:szCs w:val="24"/>
          <w:lang w:val="en-IN" w:eastAsia="zh-CN"/>
        </w:rPr>
        <w:t>igure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en-IN"/>
        </w:rPr>
        <w:t>SOM3.</w:t>
      </w:r>
      <w:r>
        <w:rPr>
          <w:bCs/>
          <w:color w:val="000000"/>
          <w:sz w:val="24"/>
          <w:szCs w:val="24"/>
          <w:lang w:val="en-IN"/>
        </w:rPr>
        <w:t xml:space="preserve"> </w:t>
      </w:r>
      <w:r>
        <w:rPr>
          <w:rFonts w:eastAsia="ACaslonPro-Regular"/>
          <w:color w:val="000000"/>
          <w:sz w:val="24"/>
          <w:szCs w:val="24"/>
          <w:lang w:eastAsia="zh-CN" w:bidi="ar"/>
        </w:rPr>
        <w:t xml:space="preserve">Scatter diagram of </w:t>
      </w:r>
      <w:r>
        <w:rPr>
          <w:rFonts w:eastAsia="ACaslonPro-Regular"/>
          <w:color w:val="000000"/>
          <w:sz w:val="24"/>
          <w:szCs w:val="24"/>
          <w:lang w:val="en-IN" w:eastAsia="zh-CN" w:bidi="ar"/>
        </w:rPr>
        <w:t>M1, M2, m1 and m2</w:t>
      </w:r>
      <w:r>
        <w:rPr>
          <w:rFonts w:eastAsia="ACaslonPro-Regular"/>
          <w:color w:val="000000"/>
          <w:sz w:val="24"/>
          <w:szCs w:val="24"/>
          <w:lang w:eastAsia="zh-CN" w:bidi="ar"/>
        </w:rPr>
        <w:t xml:space="preserve"> length</w:t>
      </w:r>
      <w:r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 (L)</w:t>
      </w:r>
      <w:r>
        <w:rPr>
          <w:rFonts w:eastAsia="ACaslonPro-Regular"/>
          <w:color w:val="000000"/>
          <w:sz w:val="24"/>
          <w:szCs w:val="24"/>
          <w:lang w:eastAsia="zh-CN" w:bidi="ar"/>
        </w:rPr>
        <w:t xml:space="preserve"> and width</w:t>
      </w:r>
      <w:r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 (W)</w:t>
      </w:r>
      <w:r>
        <w:rPr>
          <w:rFonts w:eastAsia="ACaslonPro-Regular"/>
          <w:color w:val="000000"/>
          <w:sz w:val="24"/>
          <w:szCs w:val="24"/>
          <w:lang w:eastAsia="zh-CN" w:bidi="ar"/>
        </w:rPr>
        <w:t xml:space="preserve"> of </w:t>
      </w:r>
      <w:proofErr w:type="spellStart"/>
      <w:r>
        <w:rPr>
          <w:rFonts w:eastAsia="MyriadPro-It"/>
          <w:i/>
          <w:iCs/>
          <w:color w:val="000000"/>
          <w:sz w:val="24"/>
          <w:szCs w:val="24"/>
          <w:lang w:eastAsia="zh-CN"/>
        </w:rPr>
        <w:t>Myocricetodon</w:t>
      </w:r>
      <w:proofErr w:type="spellEnd"/>
      <w:r>
        <w:rPr>
          <w:rFonts w:eastAsia="MyriadPro-It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eastAsia="MyriadPro-It"/>
          <w:i/>
          <w:iCs/>
          <w:color w:val="000000"/>
          <w:sz w:val="24"/>
          <w:szCs w:val="24"/>
          <w:lang w:eastAsia="zh-CN"/>
        </w:rPr>
        <w:t>gujaratensis</w:t>
      </w:r>
      <w:proofErr w:type="spellEnd"/>
      <w:r>
        <w:rPr>
          <w:rFonts w:eastAsia="MyriadPro-It"/>
          <w:i/>
          <w:iCs/>
          <w:color w:val="000000"/>
          <w:sz w:val="24"/>
          <w:szCs w:val="24"/>
          <w:lang w:eastAsia="zh-CN"/>
        </w:rPr>
        <w:t xml:space="preserve"> </w:t>
      </w:r>
      <w:r>
        <w:rPr>
          <w:rFonts w:eastAsia="MyriadPro-It"/>
          <w:iCs/>
          <w:color w:val="000000"/>
          <w:sz w:val="24"/>
          <w:szCs w:val="24"/>
          <w:lang w:eastAsia="zh-CN"/>
        </w:rPr>
        <w:t xml:space="preserve">sp. </w:t>
      </w:r>
      <w:proofErr w:type="spellStart"/>
      <w:r>
        <w:rPr>
          <w:rFonts w:eastAsia="MyriadPro-It"/>
          <w:iCs/>
          <w:color w:val="000000"/>
          <w:sz w:val="24"/>
          <w:szCs w:val="24"/>
          <w:lang w:eastAsia="zh-CN"/>
        </w:rPr>
        <w:t>nov</w:t>
      </w:r>
      <w:r>
        <w:rPr>
          <w:rFonts w:eastAsia="MyriadPro-It"/>
          <w:i/>
          <w:iCs/>
          <w:color w:val="000000"/>
          <w:sz w:val="24"/>
          <w:szCs w:val="24"/>
          <w:lang w:eastAsia="zh-CN"/>
        </w:rPr>
        <w:t>.</w:t>
      </w:r>
      <w:proofErr w:type="spellEnd"/>
      <w:r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 compared with various contemporaneous </w:t>
      </w:r>
      <w:proofErr w:type="spellStart"/>
      <w:r>
        <w:rPr>
          <w:rFonts w:eastAsia="ACaslonPro-Regular"/>
          <w:color w:val="000000"/>
          <w:sz w:val="24"/>
          <w:szCs w:val="24"/>
          <w:lang w:val="en-IN" w:eastAsia="zh-CN" w:bidi="ar"/>
        </w:rPr>
        <w:t>gerbillines</w:t>
      </w:r>
      <w:proofErr w:type="spellEnd"/>
      <w:r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 from </w:t>
      </w:r>
      <w:proofErr w:type="spellStart"/>
      <w:r>
        <w:rPr>
          <w:rFonts w:eastAsia="ACaslonPro-Regular"/>
          <w:color w:val="000000"/>
          <w:sz w:val="24"/>
          <w:szCs w:val="24"/>
          <w:lang w:val="en-IN" w:eastAsia="zh-CN" w:bidi="ar"/>
        </w:rPr>
        <w:t>Siwaliks</w:t>
      </w:r>
      <w:proofErr w:type="spellEnd"/>
      <w:r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, Europe and Africa (Source: </w:t>
      </w:r>
      <w:r>
        <w:rPr>
          <w:color w:val="000000"/>
          <w:sz w:val="24"/>
          <w:szCs w:val="24"/>
        </w:rPr>
        <w:t>Lindsay 1988</w:t>
      </w:r>
      <w:r>
        <w:rPr>
          <w:color w:val="000000"/>
          <w:sz w:val="24"/>
          <w:szCs w:val="24"/>
          <w:lang w:val="en-IN"/>
        </w:rPr>
        <w:t xml:space="preserve">; </w:t>
      </w:r>
      <w:proofErr w:type="spellStart"/>
      <w:r>
        <w:rPr>
          <w:rFonts w:eastAsia="AdvOT596495f2"/>
          <w:color w:val="000000"/>
          <w:sz w:val="24"/>
          <w:szCs w:val="24"/>
          <w:lang w:eastAsia="zh-CN" w:bidi="ar"/>
        </w:rPr>
        <w:t>Minwer-Barakat</w:t>
      </w:r>
      <w:proofErr w:type="spellEnd"/>
      <w:r>
        <w:rPr>
          <w:rFonts w:eastAsia="AdvOT596495f2"/>
          <w:color w:val="000000"/>
          <w:sz w:val="24"/>
          <w:szCs w:val="24"/>
          <w:lang w:val="en-IN" w:eastAsia="zh-CN" w:bidi="ar"/>
        </w:rPr>
        <w:t xml:space="preserve"> </w:t>
      </w:r>
      <w:r>
        <w:rPr>
          <w:rFonts w:eastAsia="AdvOT596495f2"/>
          <w:i/>
          <w:color w:val="000000"/>
          <w:sz w:val="24"/>
          <w:szCs w:val="24"/>
          <w:lang w:val="en-IN" w:eastAsia="zh-CN" w:bidi="ar"/>
        </w:rPr>
        <w:t>et al</w:t>
      </w:r>
      <w:r>
        <w:rPr>
          <w:rFonts w:eastAsia="AdvOT596495f2"/>
          <w:color w:val="000000"/>
          <w:sz w:val="24"/>
          <w:szCs w:val="24"/>
          <w:lang w:val="en-IN" w:eastAsia="zh-CN" w:bidi="ar"/>
        </w:rPr>
        <w:t>. 2018 and reference therein</w:t>
      </w:r>
      <w:r>
        <w:rPr>
          <w:rFonts w:eastAsia="ACaslonPro-Regular"/>
          <w:color w:val="000000"/>
          <w:sz w:val="24"/>
          <w:szCs w:val="24"/>
          <w:lang w:val="en-IN" w:eastAsia="zh-CN" w:bidi="ar"/>
        </w:rPr>
        <w:t>)</w:t>
      </w:r>
      <w:r>
        <w:rPr>
          <w:rFonts w:eastAsia="ACaslonPro-Regular"/>
          <w:color w:val="000000"/>
          <w:sz w:val="24"/>
          <w:szCs w:val="24"/>
          <w:lang w:val="en-IN" w:eastAsia="zh-CN" w:bidi="ar"/>
        </w:rPr>
        <w:t>.</w:t>
      </w:r>
    </w:p>
    <w:p w14:paraId="3E6ED457" w14:textId="77777777" w:rsidR="001D4580" w:rsidRDefault="001D4580" w:rsidP="001D4580">
      <w:pPr>
        <w:autoSpaceDE w:val="0"/>
        <w:autoSpaceDN w:val="0"/>
        <w:adjustRightInd w:val="0"/>
        <w:spacing w:line="480" w:lineRule="auto"/>
        <w:rPr>
          <w:rFonts w:eastAsia="ACaslonPro-Regular"/>
          <w:color w:val="000000"/>
          <w:sz w:val="24"/>
          <w:szCs w:val="24"/>
          <w:lang w:val="en-IN" w:eastAsia="zh-CN" w:bidi="ar"/>
        </w:rPr>
      </w:pPr>
    </w:p>
    <w:p w14:paraId="3CD4D9A9" w14:textId="77777777" w:rsidR="001D4580" w:rsidRDefault="001D4580" w:rsidP="001D4580">
      <w:pPr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  <w:lang w:val="en-IN"/>
        </w:rPr>
      </w:pPr>
      <w:r>
        <w:rPr>
          <w:rFonts w:eastAsia="SimSun"/>
          <w:b/>
          <w:bCs/>
          <w:color w:val="000000"/>
          <w:sz w:val="24"/>
          <w:szCs w:val="24"/>
          <w:lang w:eastAsia="zh-CN"/>
        </w:rPr>
        <w:t>F</w:t>
      </w:r>
      <w:proofErr w:type="spellStart"/>
      <w:r>
        <w:rPr>
          <w:rFonts w:eastAsia="SimSun"/>
          <w:b/>
          <w:bCs/>
          <w:color w:val="000000"/>
          <w:sz w:val="24"/>
          <w:szCs w:val="24"/>
          <w:lang w:val="en-IN" w:eastAsia="zh-CN"/>
        </w:rPr>
        <w:t>igure</w:t>
      </w:r>
      <w:proofErr w:type="spellEnd"/>
      <w:r>
        <w:rPr>
          <w:b/>
          <w:bCs/>
          <w:color w:val="000000"/>
          <w:sz w:val="24"/>
          <w:szCs w:val="24"/>
          <w:lang w:val="en-IN"/>
        </w:rPr>
        <w:t xml:space="preserve"> SOM4.</w:t>
      </w:r>
      <w:r>
        <w:rPr>
          <w:color w:val="000000"/>
          <w:sz w:val="24"/>
          <w:szCs w:val="24"/>
          <w:lang w:val="en-IN"/>
        </w:rPr>
        <w:t xml:space="preserve"> </w:t>
      </w:r>
      <w:proofErr w:type="spellStart"/>
      <w:r>
        <w:rPr>
          <w:color w:val="000000"/>
          <w:sz w:val="24"/>
          <w:szCs w:val="24"/>
          <w:lang w:val="en-IN"/>
        </w:rPr>
        <w:t>Ctenodactylid</w:t>
      </w:r>
      <w:proofErr w:type="spellEnd"/>
      <w:r>
        <w:rPr>
          <w:color w:val="000000"/>
          <w:sz w:val="24"/>
          <w:szCs w:val="24"/>
          <w:lang w:val="en-IN"/>
        </w:rPr>
        <w:t xml:space="preserve"> dental terminology followed here (after, Baskin 1996)</w:t>
      </w:r>
      <w:r>
        <w:rPr>
          <w:color w:val="000000"/>
          <w:sz w:val="24"/>
          <w:szCs w:val="24"/>
          <w:lang w:val="en-IN"/>
        </w:rPr>
        <w:t>.</w:t>
      </w:r>
    </w:p>
    <w:p w14:paraId="4CAEE9E2" w14:textId="77777777" w:rsidR="001D4580" w:rsidRDefault="001D4580" w:rsidP="001D4580">
      <w:pPr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  <w:lang w:val="en-IN"/>
        </w:rPr>
      </w:pPr>
    </w:p>
    <w:p w14:paraId="6D4F537F" w14:textId="77777777" w:rsidR="001D4580" w:rsidRDefault="001D4580" w:rsidP="001D4580">
      <w:pPr>
        <w:widowControl/>
        <w:autoSpaceDE w:val="0"/>
        <w:autoSpaceDN w:val="0"/>
        <w:adjustRightInd w:val="0"/>
        <w:spacing w:line="480" w:lineRule="auto"/>
        <w:rPr>
          <w:rFonts w:eastAsia="ACaslonPro-Regular"/>
          <w:color w:val="000000"/>
          <w:sz w:val="24"/>
          <w:szCs w:val="24"/>
          <w:lang w:val="en-IN" w:eastAsia="zh-CN" w:bidi="ar"/>
        </w:rPr>
      </w:pPr>
      <w:r>
        <w:rPr>
          <w:rFonts w:eastAsia="SimSun"/>
          <w:b/>
          <w:bCs/>
          <w:color w:val="000000"/>
          <w:sz w:val="24"/>
          <w:szCs w:val="24"/>
          <w:lang w:eastAsia="zh-CN"/>
        </w:rPr>
        <w:t>F</w:t>
      </w:r>
      <w:proofErr w:type="spellStart"/>
      <w:r>
        <w:rPr>
          <w:rFonts w:eastAsia="SimSun"/>
          <w:b/>
          <w:bCs/>
          <w:color w:val="000000"/>
          <w:sz w:val="24"/>
          <w:szCs w:val="24"/>
          <w:lang w:val="en-IN" w:eastAsia="zh-CN"/>
        </w:rPr>
        <w:t>igure</w:t>
      </w:r>
      <w:proofErr w:type="spellEnd"/>
      <w:r>
        <w:rPr>
          <w:rFonts w:eastAsia="Calibri"/>
          <w:b/>
          <w:bCs/>
          <w:color w:val="000000"/>
          <w:sz w:val="24"/>
          <w:szCs w:val="24"/>
          <w:lang w:val="en-IN"/>
        </w:rPr>
        <w:t xml:space="preserve"> SOM5</w:t>
      </w:r>
      <w:r>
        <w:rPr>
          <w:rFonts w:eastAsia="Calibri"/>
          <w:color w:val="000000"/>
          <w:sz w:val="24"/>
          <w:szCs w:val="24"/>
          <w:lang w:val="en-IN"/>
        </w:rPr>
        <w:t xml:space="preserve">. </w:t>
      </w:r>
      <w:r>
        <w:rPr>
          <w:rFonts w:eastAsia="ACaslonPro-Regular"/>
          <w:color w:val="000000"/>
          <w:sz w:val="24"/>
          <w:szCs w:val="24"/>
          <w:lang w:eastAsia="zh-CN" w:bidi="ar"/>
        </w:rPr>
        <w:t xml:space="preserve">Scatter diagram of </w:t>
      </w:r>
      <w:r>
        <w:rPr>
          <w:rFonts w:eastAsia="ACaslonPro-Regular"/>
          <w:color w:val="000000"/>
          <w:sz w:val="24"/>
          <w:szCs w:val="24"/>
          <w:lang w:val="en-IN" w:eastAsia="zh-CN" w:bidi="ar"/>
        </w:rPr>
        <w:t>m1-m2, M1-M2 and M3</w:t>
      </w:r>
      <w:r>
        <w:rPr>
          <w:rFonts w:eastAsia="ACaslonPro-Regular"/>
          <w:color w:val="000000"/>
          <w:sz w:val="24"/>
          <w:szCs w:val="24"/>
          <w:lang w:eastAsia="zh-CN" w:bidi="ar"/>
        </w:rPr>
        <w:t xml:space="preserve"> length</w:t>
      </w:r>
      <w:r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 </w:t>
      </w:r>
      <w:r>
        <w:rPr>
          <w:rFonts w:eastAsia="ACaslonPro-Regular"/>
          <w:color w:val="000000"/>
          <w:sz w:val="24"/>
          <w:szCs w:val="24"/>
          <w:lang w:eastAsia="zh-CN" w:bidi="ar"/>
        </w:rPr>
        <w:t>and width</w:t>
      </w:r>
      <w:r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 </w:t>
      </w:r>
      <w:r>
        <w:rPr>
          <w:rFonts w:eastAsia="ACaslonPro-Regular"/>
          <w:color w:val="000000"/>
          <w:sz w:val="24"/>
          <w:szCs w:val="24"/>
          <w:lang w:eastAsia="zh-CN" w:bidi="ar"/>
        </w:rPr>
        <w:t xml:space="preserve">of </w:t>
      </w:r>
      <w:proofErr w:type="spellStart"/>
      <w:r>
        <w:rPr>
          <w:rFonts w:eastAsia="Calibri"/>
          <w:i/>
          <w:color w:val="000000"/>
          <w:sz w:val="24"/>
          <w:szCs w:val="24"/>
          <w:lang w:val="en-IN"/>
        </w:rPr>
        <w:t>Sayimys</w:t>
      </w:r>
      <w:proofErr w:type="spellEnd"/>
      <w:r>
        <w:rPr>
          <w:rFonts w:eastAsia="Calibri"/>
          <w:i/>
          <w:color w:val="000000"/>
          <w:sz w:val="24"/>
          <w:szCs w:val="24"/>
          <w:lang w:val="en-IN"/>
        </w:rPr>
        <w:t xml:space="preserve"> </w:t>
      </w:r>
      <w:proofErr w:type="spellStart"/>
      <w:r>
        <w:rPr>
          <w:rFonts w:eastAsia="Calibri"/>
          <w:i/>
          <w:color w:val="000000"/>
          <w:sz w:val="24"/>
          <w:szCs w:val="24"/>
          <w:lang w:val="en-IN"/>
        </w:rPr>
        <w:t>sivalensis</w:t>
      </w:r>
      <w:proofErr w:type="spellEnd"/>
      <w:r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 compared with various contemporaneous </w:t>
      </w:r>
      <w:proofErr w:type="spellStart"/>
      <w:r>
        <w:rPr>
          <w:rFonts w:eastAsia="ACaslonPro-Regular"/>
          <w:color w:val="000000"/>
          <w:sz w:val="24"/>
          <w:szCs w:val="24"/>
          <w:lang w:val="en-IN" w:eastAsia="zh-CN" w:bidi="ar"/>
        </w:rPr>
        <w:t>ctenodactylines</w:t>
      </w:r>
      <w:proofErr w:type="spellEnd"/>
      <w:r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 from </w:t>
      </w:r>
      <w:proofErr w:type="spellStart"/>
      <w:r>
        <w:rPr>
          <w:rFonts w:eastAsia="ACaslonPro-Regular"/>
          <w:color w:val="000000"/>
          <w:sz w:val="24"/>
          <w:szCs w:val="24"/>
          <w:lang w:val="en-IN" w:eastAsia="zh-CN" w:bidi="ar"/>
        </w:rPr>
        <w:t>Siwaliks</w:t>
      </w:r>
      <w:proofErr w:type="spellEnd"/>
      <w:r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 and Europe (modified after </w:t>
      </w:r>
      <w:proofErr w:type="spellStart"/>
      <w:r>
        <w:rPr>
          <w:rFonts w:eastAsia="Calibri"/>
          <w:iCs/>
          <w:color w:val="000000"/>
          <w:sz w:val="24"/>
          <w:szCs w:val="24"/>
          <w:lang w:val="en-IN"/>
        </w:rPr>
        <w:t>López-Antoñanzas</w:t>
      </w:r>
      <w:proofErr w:type="spellEnd"/>
      <w:r>
        <w:rPr>
          <w:rFonts w:eastAsia="Calibri"/>
          <w:iCs/>
          <w:color w:val="000000"/>
          <w:sz w:val="24"/>
          <w:szCs w:val="24"/>
          <w:lang w:val="en-IN"/>
        </w:rPr>
        <w:t xml:space="preserve"> </w:t>
      </w:r>
      <w:r>
        <w:rPr>
          <w:rFonts w:eastAsia="Calibri"/>
          <w:i/>
          <w:color w:val="000000"/>
          <w:sz w:val="24"/>
          <w:szCs w:val="24"/>
          <w:lang w:val="en-IN"/>
        </w:rPr>
        <w:t>et al.</w:t>
      </w:r>
      <w:r>
        <w:rPr>
          <w:rFonts w:eastAsia="Calibri"/>
          <w:iCs/>
          <w:color w:val="000000"/>
          <w:sz w:val="24"/>
          <w:szCs w:val="24"/>
          <w:lang w:val="en-IN"/>
        </w:rPr>
        <w:t xml:space="preserve"> 2016</w:t>
      </w:r>
      <w:r>
        <w:rPr>
          <w:rFonts w:eastAsia="ACaslonPro-Regular"/>
          <w:color w:val="000000"/>
          <w:sz w:val="24"/>
          <w:szCs w:val="24"/>
          <w:lang w:val="en-IN" w:eastAsia="zh-CN" w:bidi="ar"/>
        </w:rPr>
        <w:t>).</w:t>
      </w:r>
    </w:p>
    <w:p w14:paraId="17432B85" w14:textId="77777777" w:rsidR="001D4580" w:rsidRDefault="001D4580" w:rsidP="001D4580">
      <w:pPr>
        <w:widowControl/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  <w:lang w:val="en-IN"/>
        </w:rPr>
      </w:pPr>
    </w:p>
    <w:p w14:paraId="06E954E0" w14:textId="77777777" w:rsidR="001D4580" w:rsidRDefault="001D4580" w:rsidP="001D4580">
      <w:pPr>
        <w:widowControl/>
        <w:autoSpaceDE w:val="0"/>
        <w:autoSpaceDN w:val="0"/>
        <w:adjustRightInd w:val="0"/>
        <w:spacing w:line="480" w:lineRule="auto"/>
        <w:rPr>
          <w:rFonts w:eastAsia="ACaslonPro-Regular"/>
          <w:color w:val="000000"/>
          <w:sz w:val="24"/>
          <w:szCs w:val="24"/>
          <w:lang w:val="en-IN" w:eastAsia="zh-CN" w:bidi="ar"/>
        </w:rPr>
      </w:pPr>
      <w:r>
        <w:rPr>
          <w:rFonts w:eastAsia="SimSun"/>
          <w:b/>
          <w:bCs/>
          <w:color w:val="000000"/>
          <w:sz w:val="24"/>
          <w:szCs w:val="24"/>
          <w:lang w:eastAsia="zh-CN"/>
        </w:rPr>
        <w:t>F</w:t>
      </w:r>
      <w:proofErr w:type="spellStart"/>
      <w:r>
        <w:rPr>
          <w:rFonts w:eastAsia="SimSun"/>
          <w:b/>
          <w:bCs/>
          <w:color w:val="000000"/>
          <w:sz w:val="24"/>
          <w:szCs w:val="24"/>
          <w:lang w:val="en-IN" w:eastAsia="zh-CN"/>
        </w:rPr>
        <w:t>igure</w:t>
      </w:r>
      <w:proofErr w:type="spellEnd"/>
      <w:r>
        <w:rPr>
          <w:rFonts w:eastAsia="Calibri"/>
          <w:b/>
          <w:bCs/>
          <w:color w:val="000000"/>
          <w:sz w:val="24"/>
          <w:szCs w:val="24"/>
          <w:lang w:val="en-IN"/>
        </w:rPr>
        <w:t xml:space="preserve"> SOM6</w:t>
      </w:r>
      <w:r>
        <w:rPr>
          <w:rFonts w:eastAsia="Calibri"/>
          <w:color w:val="000000"/>
          <w:sz w:val="24"/>
          <w:szCs w:val="24"/>
          <w:lang w:val="en-IN"/>
        </w:rPr>
        <w:t xml:space="preserve">. </w:t>
      </w:r>
      <w:r>
        <w:rPr>
          <w:rFonts w:eastAsia="ACaslonPro-Regular"/>
          <w:color w:val="000000"/>
          <w:sz w:val="24"/>
          <w:szCs w:val="24"/>
          <w:lang w:eastAsia="zh-CN" w:bidi="ar"/>
        </w:rPr>
        <w:t xml:space="preserve">Scatter diagram of </w:t>
      </w:r>
      <w:r>
        <w:rPr>
          <w:rFonts w:eastAsia="ACaslonPro-Regular"/>
          <w:color w:val="000000"/>
          <w:sz w:val="24"/>
          <w:szCs w:val="24"/>
          <w:lang w:val="en-IN" w:eastAsia="zh-CN" w:bidi="ar"/>
        </w:rPr>
        <w:t>M1-M2 and m1-m2</w:t>
      </w:r>
      <w:r>
        <w:rPr>
          <w:rFonts w:eastAsia="ACaslonPro-Regular"/>
          <w:color w:val="000000"/>
          <w:sz w:val="24"/>
          <w:szCs w:val="24"/>
          <w:lang w:eastAsia="zh-CN" w:bidi="ar"/>
        </w:rPr>
        <w:t xml:space="preserve"> length</w:t>
      </w:r>
      <w:r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 (L) </w:t>
      </w:r>
      <w:r>
        <w:rPr>
          <w:rFonts w:eastAsia="ACaslonPro-Regular"/>
          <w:color w:val="000000"/>
          <w:sz w:val="24"/>
          <w:szCs w:val="24"/>
          <w:lang w:eastAsia="zh-CN" w:bidi="ar"/>
        </w:rPr>
        <w:t>and width</w:t>
      </w:r>
      <w:r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 (W)</w:t>
      </w:r>
      <w:r>
        <w:rPr>
          <w:rFonts w:eastAsia="ACaslonPro-Regular"/>
          <w:color w:val="000000"/>
          <w:sz w:val="24"/>
          <w:szCs w:val="24"/>
          <w:lang w:eastAsia="zh-CN" w:bidi="ar"/>
        </w:rPr>
        <w:t xml:space="preserve"> of </w:t>
      </w:r>
      <w:proofErr w:type="spellStart"/>
      <w:r>
        <w:rPr>
          <w:i/>
          <w:color w:val="000000"/>
          <w:sz w:val="24"/>
          <w:szCs w:val="24"/>
        </w:rPr>
        <w:t>Tamias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gilaharee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sp. </w:t>
      </w:r>
      <w:proofErr w:type="spellStart"/>
      <w:r>
        <w:rPr>
          <w:color w:val="000000"/>
          <w:sz w:val="24"/>
          <w:szCs w:val="24"/>
        </w:rPr>
        <w:t>nov.</w:t>
      </w:r>
      <w:proofErr w:type="spellEnd"/>
      <w:r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  compared with various contemporaneous </w:t>
      </w:r>
      <w:proofErr w:type="spellStart"/>
      <w:r>
        <w:rPr>
          <w:rFonts w:eastAsia="ACaslonPro-Regular"/>
          <w:color w:val="000000"/>
          <w:sz w:val="24"/>
          <w:szCs w:val="24"/>
          <w:lang w:val="en-IN" w:eastAsia="zh-CN" w:bidi="ar"/>
        </w:rPr>
        <w:t>sciurines</w:t>
      </w:r>
      <w:proofErr w:type="spellEnd"/>
      <w:r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 from the </w:t>
      </w:r>
      <w:proofErr w:type="spellStart"/>
      <w:r>
        <w:rPr>
          <w:rFonts w:eastAsia="ACaslonPro-Regular"/>
          <w:color w:val="000000"/>
          <w:sz w:val="24"/>
          <w:szCs w:val="24"/>
          <w:lang w:val="en-IN" w:eastAsia="zh-CN" w:bidi="ar"/>
        </w:rPr>
        <w:t>Siwaliks</w:t>
      </w:r>
      <w:proofErr w:type="spellEnd"/>
      <w:r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 and Europe (source,  de </w:t>
      </w:r>
      <w:proofErr w:type="spellStart"/>
      <w:r>
        <w:rPr>
          <w:rFonts w:eastAsia="ACaslonPro-Regular"/>
          <w:color w:val="000000"/>
          <w:sz w:val="24"/>
          <w:szCs w:val="24"/>
          <w:lang w:val="en-IN" w:eastAsia="zh-CN" w:bidi="ar"/>
        </w:rPr>
        <w:t>Bruijn</w:t>
      </w:r>
      <w:proofErr w:type="spellEnd"/>
      <w:r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 </w:t>
      </w:r>
      <w:r w:rsidRPr="001D4580">
        <w:rPr>
          <w:rFonts w:eastAsia="ACaslonPro-Regular"/>
          <w:i/>
          <w:color w:val="000000"/>
          <w:sz w:val="24"/>
          <w:szCs w:val="24"/>
          <w:lang w:val="en-IN" w:eastAsia="zh-CN" w:bidi="ar"/>
        </w:rPr>
        <w:t>et al</w:t>
      </w:r>
      <w:r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., 1980;Wessels </w:t>
      </w:r>
      <w:r w:rsidRPr="001D4580">
        <w:rPr>
          <w:rFonts w:eastAsia="ACaslonPro-Regular"/>
          <w:i/>
          <w:color w:val="000000"/>
          <w:sz w:val="24"/>
          <w:szCs w:val="24"/>
          <w:lang w:val="en-IN" w:eastAsia="zh-CN" w:bidi="ar"/>
        </w:rPr>
        <w:t>et al</w:t>
      </w:r>
      <w:r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., 1982; Cheema </w:t>
      </w:r>
      <w:r w:rsidRPr="001D4580">
        <w:rPr>
          <w:rFonts w:eastAsia="ACaslonPro-Regular"/>
          <w:i/>
          <w:color w:val="000000"/>
          <w:sz w:val="24"/>
          <w:szCs w:val="24"/>
          <w:lang w:val="en-IN" w:eastAsia="zh-CN" w:bidi="ar"/>
        </w:rPr>
        <w:t>et al</w:t>
      </w:r>
      <w:r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., 2000; </w:t>
      </w:r>
      <w:proofErr w:type="spellStart"/>
      <w:r>
        <w:rPr>
          <w:rFonts w:eastAsia="ACaslonPro-Regular"/>
          <w:color w:val="000000"/>
          <w:sz w:val="24"/>
          <w:szCs w:val="24"/>
          <w:lang w:val="en-IN" w:eastAsia="zh-CN" w:bidi="ar"/>
        </w:rPr>
        <w:t>Bosma</w:t>
      </w:r>
      <w:proofErr w:type="spellEnd"/>
      <w:r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 </w:t>
      </w:r>
      <w:r w:rsidRPr="001D4580">
        <w:rPr>
          <w:rFonts w:eastAsia="ACaslonPro-Regular"/>
          <w:i/>
          <w:color w:val="000000"/>
          <w:sz w:val="24"/>
          <w:szCs w:val="24"/>
          <w:lang w:val="en-IN" w:eastAsia="zh-CN" w:bidi="ar"/>
        </w:rPr>
        <w:t>et al</w:t>
      </w:r>
      <w:r>
        <w:rPr>
          <w:rFonts w:eastAsia="ACaslonPro-Regular"/>
          <w:color w:val="000000"/>
          <w:sz w:val="24"/>
          <w:szCs w:val="24"/>
          <w:lang w:val="en-IN" w:eastAsia="zh-CN" w:bidi="ar"/>
        </w:rPr>
        <w:t>., 2013).</w:t>
      </w:r>
    </w:p>
    <w:p w14:paraId="4069DAC2" w14:textId="77777777" w:rsidR="001D4580" w:rsidRDefault="001D4580" w:rsidP="001D4580">
      <w:pPr>
        <w:widowControl/>
        <w:autoSpaceDE w:val="0"/>
        <w:autoSpaceDN w:val="0"/>
        <w:adjustRightInd w:val="0"/>
        <w:spacing w:line="480" w:lineRule="auto"/>
        <w:rPr>
          <w:rFonts w:eastAsia="ACaslonPro-Regular"/>
          <w:color w:val="000000"/>
          <w:sz w:val="24"/>
          <w:szCs w:val="24"/>
          <w:lang w:val="en-IN" w:eastAsia="zh-CN" w:bidi="ar"/>
        </w:rPr>
      </w:pPr>
    </w:p>
    <w:p w14:paraId="37FA25F6" w14:textId="77777777" w:rsidR="001D4580" w:rsidRDefault="001D4580" w:rsidP="001D4580">
      <w:pPr>
        <w:widowControl/>
        <w:autoSpaceDE w:val="0"/>
        <w:autoSpaceDN w:val="0"/>
        <w:adjustRightInd w:val="0"/>
        <w:spacing w:line="480" w:lineRule="auto"/>
        <w:rPr>
          <w:rFonts w:eastAsia="ACaslonPro-Regular"/>
          <w:b/>
          <w:color w:val="000000"/>
          <w:sz w:val="24"/>
          <w:szCs w:val="24"/>
          <w:lang w:val="en-IN" w:eastAsia="zh-CN" w:bidi="ar"/>
        </w:rPr>
      </w:pPr>
      <w:r w:rsidRPr="001D4580">
        <w:rPr>
          <w:rFonts w:eastAsia="ACaslonPro-Regular"/>
          <w:b/>
          <w:color w:val="000000"/>
          <w:sz w:val="24"/>
          <w:szCs w:val="24"/>
          <w:lang w:val="en-IN" w:eastAsia="zh-CN" w:bidi="ar"/>
        </w:rPr>
        <w:t>Nexus files</w:t>
      </w:r>
    </w:p>
    <w:p w14:paraId="128F0DE9" w14:textId="77777777" w:rsidR="001D4580" w:rsidRPr="001D4580" w:rsidRDefault="001D4580" w:rsidP="001D4580">
      <w:pPr>
        <w:widowControl/>
        <w:autoSpaceDE w:val="0"/>
        <w:autoSpaceDN w:val="0"/>
        <w:adjustRightInd w:val="0"/>
        <w:spacing w:line="480" w:lineRule="auto"/>
        <w:rPr>
          <w:rFonts w:eastAsia="ACaslonPro-Regular"/>
          <w:color w:val="000000"/>
          <w:sz w:val="24"/>
          <w:szCs w:val="24"/>
          <w:lang w:val="en-IN" w:eastAsia="zh-CN" w:bidi="ar"/>
        </w:rPr>
      </w:pPr>
      <w:r w:rsidRPr="001D4580"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Murine </w:t>
      </w:r>
      <w:proofErr w:type="spellStart"/>
      <w:r w:rsidRPr="001D4580">
        <w:rPr>
          <w:rFonts w:eastAsia="ACaslonPro-Regular"/>
          <w:color w:val="000000"/>
          <w:sz w:val="24"/>
          <w:szCs w:val="24"/>
          <w:lang w:val="en-IN" w:eastAsia="zh-CN" w:bidi="ar"/>
        </w:rPr>
        <w:t>infile.nex</w:t>
      </w:r>
      <w:bookmarkStart w:id="0" w:name="_GoBack"/>
      <w:bookmarkEnd w:id="0"/>
      <w:proofErr w:type="spellEnd"/>
    </w:p>
    <w:p w14:paraId="15155852" w14:textId="77777777" w:rsidR="001D4580" w:rsidRPr="001D4580" w:rsidRDefault="001D4580" w:rsidP="001D4580">
      <w:pPr>
        <w:widowControl/>
        <w:autoSpaceDE w:val="0"/>
        <w:autoSpaceDN w:val="0"/>
        <w:adjustRightInd w:val="0"/>
        <w:spacing w:line="480" w:lineRule="auto"/>
        <w:rPr>
          <w:rFonts w:eastAsia="Calibri"/>
          <w:color w:val="000000"/>
          <w:sz w:val="24"/>
          <w:szCs w:val="24"/>
          <w:lang w:val="en-IN"/>
        </w:rPr>
      </w:pPr>
      <w:proofErr w:type="spellStart"/>
      <w:r w:rsidRPr="001D4580">
        <w:rPr>
          <w:rFonts w:eastAsia="ACaslonPro-Regular"/>
          <w:color w:val="000000"/>
          <w:sz w:val="24"/>
          <w:szCs w:val="24"/>
          <w:lang w:val="en-IN" w:eastAsia="zh-CN" w:bidi="ar"/>
        </w:rPr>
        <w:t>Kanisamys</w:t>
      </w:r>
      <w:proofErr w:type="spellEnd"/>
      <w:r w:rsidRPr="001D4580">
        <w:rPr>
          <w:rFonts w:eastAsia="ACaslonPro-Regular"/>
          <w:color w:val="000000"/>
          <w:sz w:val="24"/>
          <w:szCs w:val="24"/>
          <w:lang w:val="en-IN" w:eastAsia="zh-CN" w:bidi="ar"/>
        </w:rPr>
        <w:t xml:space="preserve"> </w:t>
      </w:r>
      <w:proofErr w:type="spellStart"/>
      <w:r w:rsidRPr="001D4580">
        <w:rPr>
          <w:rFonts w:eastAsia="ACaslonPro-Regular"/>
          <w:color w:val="000000"/>
          <w:sz w:val="24"/>
          <w:szCs w:val="24"/>
          <w:lang w:val="en-IN" w:eastAsia="zh-CN" w:bidi="ar"/>
        </w:rPr>
        <w:t>infile.nex</w:t>
      </w:r>
      <w:proofErr w:type="spellEnd"/>
    </w:p>
    <w:p w14:paraId="6EEA0FDD" w14:textId="77777777" w:rsidR="00F37170" w:rsidRDefault="00F37170"/>
    <w:sectPr w:rsidR="00F37170" w:rsidSect="00993C1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slonPro-Regular">
    <w:altName w:val="Segoe Print"/>
    <w:charset w:val="00"/>
    <w:family w:val="auto"/>
    <w:pitch w:val="default"/>
    <w:sig w:usb0="00000000" w:usb1="00000000" w:usb2="00000000" w:usb3="00000000" w:csb0="00040001" w:csb1="00000000"/>
  </w:font>
  <w:font w:name="MyriadPro-I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dvOT596495f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70"/>
    <w:rsid w:val="001D4580"/>
    <w:rsid w:val="007D2092"/>
    <w:rsid w:val="00993C15"/>
    <w:rsid w:val="00F3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7BE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37170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F37170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1642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Rajeev Patnaika*, Ningthoujam Premjit Singha,b, K. Milankumar Sharmac, Nongmaith</vt:lpstr>
      <vt:lpstr/>
    </vt:vector>
  </TitlesOfParts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2022-05-17T11:09:00Z</dcterms:created>
  <dcterms:modified xsi:type="dcterms:W3CDTF">2022-05-17T11:14:00Z</dcterms:modified>
</cp:coreProperties>
</file>