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9"/>
        <w:gridCol w:w="4291"/>
        <w:gridCol w:w="1336"/>
      </w:tblGrid>
      <w:tr w:rsidR="006F1FF5" w14:paraId="103306B9" w14:textId="77777777" w:rsidTr="006F1FF5"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14:paraId="584AEFBC" w14:textId="77777777" w:rsidR="006F1FF5" w:rsidRPr="006F1FF5" w:rsidRDefault="006F1FF5" w:rsidP="006F1F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FF5">
              <w:rPr>
                <w:rFonts w:ascii="Times New Roman" w:hAnsi="Times New Roman" w:cs="Times New Roman"/>
                <w:b/>
                <w:sz w:val="24"/>
                <w:szCs w:val="24"/>
              </w:rPr>
              <w:t>Related works on docking studies</w:t>
            </w:r>
          </w:p>
        </w:tc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</w:tcPr>
          <w:p w14:paraId="4DDBE3DA" w14:textId="77777777" w:rsidR="006F1FF5" w:rsidRPr="006F1FF5" w:rsidRDefault="006F1FF5" w:rsidP="006F1F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FF5">
              <w:rPr>
                <w:rFonts w:ascii="Times New Roman" w:hAnsi="Times New Roman" w:cs="Times New Roman"/>
                <w:b/>
                <w:sz w:val="24"/>
                <w:szCs w:val="24"/>
              </w:rPr>
              <w:t>Software’s/Tools used in the papers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07C0F2E6" w14:textId="77777777" w:rsidR="006F1FF5" w:rsidRPr="006F1FF5" w:rsidRDefault="006F1FF5" w:rsidP="006F1F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FF5"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</w:p>
        </w:tc>
      </w:tr>
      <w:tr w:rsidR="006F1FF5" w14:paraId="5A7E02C0" w14:textId="77777777" w:rsidTr="006F1FF5">
        <w:tc>
          <w:tcPr>
            <w:tcW w:w="3949" w:type="dxa"/>
            <w:tcBorders>
              <w:top w:val="single" w:sz="4" w:space="0" w:color="auto"/>
            </w:tcBorders>
          </w:tcPr>
          <w:p w14:paraId="10959E48" w14:textId="77777777" w:rsidR="006F1FF5" w:rsidRPr="006F1FF5" w:rsidRDefault="006F1FF5" w:rsidP="006F1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FF5">
              <w:rPr>
                <w:rFonts w:ascii="Times New Roman" w:hAnsi="Times New Roman" w:cs="Times New Roman"/>
                <w:sz w:val="24"/>
                <w:szCs w:val="24"/>
              </w:rPr>
              <w:t>Identification  the possible targets for anticancer agents</w:t>
            </w:r>
          </w:p>
        </w:tc>
        <w:tc>
          <w:tcPr>
            <w:tcW w:w="4291" w:type="dxa"/>
            <w:tcBorders>
              <w:top w:val="single" w:sz="4" w:space="0" w:color="auto"/>
            </w:tcBorders>
          </w:tcPr>
          <w:p w14:paraId="56E5F70A" w14:textId="77777777" w:rsidR="006F1FF5" w:rsidRPr="006F1FF5" w:rsidRDefault="006F1FF5" w:rsidP="006F1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FF5">
              <w:rPr>
                <w:rFonts w:ascii="Times New Roman" w:hAnsi="Times New Roman" w:cs="Times New Roman"/>
                <w:sz w:val="24"/>
                <w:szCs w:val="24"/>
              </w:rPr>
              <w:t>Auto Dock, GOLD and Glide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4F430E07" w14:textId="77777777" w:rsidR="006F1FF5" w:rsidRPr="006F1FF5" w:rsidRDefault="006F1FF5" w:rsidP="006F1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(Adeniyi et al., 2013)</w:t>
            </w:r>
          </w:p>
        </w:tc>
      </w:tr>
      <w:tr w:rsidR="006F1FF5" w14:paraId="52624B12" w14:textId="77777777" w:rsidTr="006F1FF5">
        <w:tc>
          <w:tcPr>
            <w:tcW w:w="3949" w:type="dxa"/>
          </w:tcPr>
          <w:p w14:paraId="2F3C6248" w14:textId="01620762" w:rsidR="006F1FF5" w:rsidRPr="006F1FF5" w:rsidRDefault="006F1FF5" w:rsidP="006F1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FF5">
              <w:rPr>
                <w:rFonts w:ascii="Times New Roman" w:hAnsi="Times New Roman" w:cs="Times New Roman"/>
                <w:sz w:val="24"/>
                <w:szCs w:val="24"/>
              </w:rPr>
              <w:t>Mdm2/</w:t>
            </w:r>
            <w:proofErr w:type="spellStart"/>
            <w:r w:rsidRPr="006F1FF5">
              <w:rPr>
                <w:rFonts w:ascii="Times New Roman" w:hAnsi="Times New Roman" w:cs="Times New Roman"/>
                <w:sz w:val="24"/>
                <w:szCs w:val="24"/>
              </w:rPr>
              <w:t>Mdmx</w:t>
            </w:r>
            <w:proofErr w:type="spellEnd"/>
            <w:r w:rsidRPr="006F1FF5">
              <w:rPr>
                <w:rFonts w:ascii="Times New Roman" w:hAnsi="Times New Roman" w:cs="Times New Roman"/>
                <w:sz w:val="24"/>
                <w:szCs w:val="24"/>
              </w:rPr>
              <w:t xml:space="preserve"> Inhibitor targets </w:t>
            </w:r>
            <w:r w:rsidR="00AF0BD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6F1FF5">
              <w:rPr>
                <w:rFonts w:ascii="Times New Roman" w:hAnsi="Times New Roman" w:cs="Times New Roman"/>
                <w:sz w:val="24"/>
                <w:szCs w:val="24"/>
              </w:rPr>
              <w:t xml:space="preserve">identification </w:t>
            </w:r>
            <w:r w:rsidR="00AF0BD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F1FF5">
              <w:rPr>
                <w:rFonts w:ascii="Times New Roman" w:hAnsi="Times New Roman" w:cs="Times New Roman"/>
                <w:sz w:val="24"/>
                <w:szCs w:val="24"/>
              </w:rPr>
              <w:t xml:space="preserve"> cancer</w:t>
            </w:r>
          </w:p>
        </w:tc>
        <w:tc>
          <w:tcPr>
            <w:tcW w:w="4291" w:type="dxa"/>
          </w:tcPr>
          <w:p w14:paraId="3A933887" w14:textId="77777777" w:rsidR="006F1FF5" w:rsidRPr="006F1FF5" w:rsidRDefault="006F1FF5" w:rsidP="006F1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FF5">
              <w:rPr>
                <w:rFonts w:ascii="Times New Roman" w:hAnsi="Times New Roman" w:cs="Times New Roman"/>
                <w:sz w:val="24"/>
                <w:szCs w:val="24"/>
              </w:rPr>
              <w:t>GOLD, Glide, MOE-dock and Auto Dock Vina</w:t>
            </w:r>
          </w:p>
        </w:tc>
        <w:tc>
          <w:tcPr>
            <w:tcW w:w="1336" w:type="dxa"/>
          </w:tcPr>
          <w:p w14:paraId="3CEC5AC0" w14:textId="77777777" w:rsidR="006F1FF5" w:rsidRPr="006F1FF5" w:rsidRDefault="006F1FF5" w:rsidP="006F1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al., 2014)</w:t>
            </w:r>
          </w:p>
        </w:tc>
      </w:tr>
      <w:tr w:rsidR="006F1FF5" w14:paraId="57237AF2" w14:textId="77777777" w:rsidTr="006F1FF5">
        <w:tc>
          <w:tcPr>
            <w:tcW w:w="3949" w:type="dxa"/>
          </w:tcPr>
          <w:p w14:paraId="1FE6CAC8" w14:textId="1A2B6BA5" w:rsidR="006F1FF5" w:rsidRPr="006F1FF5" w:rsidRDefault="006F1FF5" w:rsidP="006F1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FF5">
              <w:rPr>
                <w:rFonts w:ascii="Times New Roman" w:hAnsi="Times New Roman" w:cs="Times New Roman"/>
                <w:sz w:val="24"/>
                <w:szCs w:val="24"/>
              </w:rPr>
              <w:t xml:space="preserve">Identification of novel chemical entities for multiple </w:t>
            </w:r>
            <w:r w:rsidR="00AF0BD7">
              <w:rPr>
                <w:rFonts w:ascii="Times New Roman" w:hAnsi="Times New Roman" w:cs="Times New Roman"/>
                <w:sz w:val="24"/>
                <w:szCs w:val="24"/>
              </w:rPr>
              <w:t>diseases</w:t>
            </w:r>
          </w:p>
        </w:tc>
        <w:tc>
          <w:tcPr>
            <w:tcW w:w="4291" w:type="dxa"/>
          </w:tcPr>
          <w:p w14:paraId="73FE1AF1" w14:textId="0ECD50C4" w:rsidR="006F1FF5" w:rsidRPr="006F1FF5" w:rsidRDefault="006F1FF5" w:rsidP="006F1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FF5">
              <w:rPr>
                <w:rFonts w:ascii="Times New Roman" w:hAnsi="Times New Roman" w:cs="Times New Roman"/>
                <w:sz w:val="24"/>
                <w:szCs w:val="24"/>
              </w:rPr>
              <w:t xml:space="preserve">Glide, Auto Dock Vina, GLOD, </w:t>
            </w:r>
            <w:proofErr w:type="spellStart"/>
            <w:r w:rsidRPr="006F1FF5">
              <w:rPr>
                <w:rFonts w:ascii="Times New Roman" w:hAnsi="Times New Roman" w:cs="Times New Roman"/>
                <w:sz w:val="24"/>
                <w:szCs w:val="24"/>
              </w:rPr>
              <w:t>Surflex</w:t>
            </w:r>
            <w:proofErr w:type="spellEnd"/>
            <w:r w:rsidRPr="006F1FF5">
              <w:rPr>
                <w:rFonts w:ascii="Times New Roman" w:hAnsi="Times New Roman" w:cs="Times New Roman"/>
                <w:sz w:val="24"/>
                <w:szCs w:val="24"/>
              </w:rPr>
              <w:t xml:space="preserve">-Dock, </w:t>
            </w:r>
            <w:proofErr w:type="spellStart"/>
            <w:r w:rsidRPr="006F1FF5">
              <w:rPr>
                <w:rFonts w:ascii="Times New Roman" w:hAnsi="Times New Roman" w:cs="Times New Roman"/>
                <w:sz w:val="24"/>
                <w:szCs w:val="24"/>
              </w:rPr>
              <w:t>FlexX</w:t>
            </w:r>
            <w:proofErr w:type="spellEnd"/>
            <w:r w:rsidRPr="006F1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F1FF5">
              <w:rPr>
                <w:rFonts w:ascii="Times New Roman" w:hAnsi="Times New Roman" w:cs="Times New Roman"/>
                <w:sz w:val="24"/>
                <w:szCs w:val="24"/>
              </w:rPr>
              <w:t>ICM(</w:t>
            </w:r>
            <w:proofErr w:type="gramEnd"/>
            <w:r w:rsidRPr="006F1FF5">
              <w:rPr>
                <w:rFonts w:ascii="Times New Roman" w:hAnsi="Times New Roman" w:cs="Times New Roman"/>
                <w:sz w:val="24"/>
                <w:szCs w:val="24"/>
              </w:rPr>
              <w:t>Internal Coordinate Mechanic)</w:t>
            </w:r>
            <w:r w:rsidR="00AF0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1FF5">
              <w:rPr>
                <w:rFonts w:ascii="Times New Roman" w:hAnsi="Times New Roman" w:cs="Times New Roman"/>
                <w:sz w:val="24"/>
                <w:szCs w:val="24"/>
              </w:rPr>
              <w:t xml:space="preserve"> and DOCK</w:t>
            </w:r>
          </w:p>
        </w:tc>
        <w:tc>
          <w:tcPr>
            <w:tcW w:w="1336" w:type="dxa"/>
          </w:tcPr>
          <w:p w14:paraId="765C89E8" w14:textId="77777777" w:rsidR="006F1FF5" w:rsidRPr="006F1FF5" w:rsidRDefault="006F1FF5" w:rsidP="006F1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(Perez et al., 2016)</w:t>
            </w:r>
          </w:p>
        </w:tc>
      </w:tr>
      <w:tr w:rsidR="006F1FF5" w14:paraId="1B918BA1" w14:textId="77777777" w:rsidTr="006F1FF5">
        <w:tc>
          <w:tcPr>
            <w:tcW w:w="3949" w:type="dxa"/>
            <w:tcBorders>
              <w:bottom w:val="single" w:sz="4" w:space="0" w:color="auto"/>
            </w:tcBorders>
          </w:tcPr>
          <w:p w14:paraId="073084E3" w14:textId="71EB1D2C" w:rsidR="006F1FF5" w:rsidRPr="006F1FF5" w:rsidRDefault="00AF0BD7" w:rsidP="006F1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Structure-Based</w:t>
            </w:r>
            <w:r w:rsidR="006F1FF5" w:rsidRPr="006F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Multi-targeted</w:t>
            </w:r>
            <w:r w:rsidR="006F1FF5" w:rsidRPr="006F1FF5">
              <w:rPr>
                <w:rFonts w:ascii="Times New Roman" w:hAnsi="Times New Roman" w:cs="Times New Roman"/>
                <w:sz w:val="24"/>
                <w:szCs w:val="24"/>
              </w:rPr>
              <w:t xml:space="preserve"> for breast cancer</w:t>
            </w: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14:paraId="6B66AC50" w14:textId="63CB1413" w:rsidR="006F1FF5" w:rsidRPr="006F1FF5" w:rsidRDefault="006F1FF5" w:rsidP="006F1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FF5">
              <w:rPr>
                <w:rFonts w:ascii="Times New Roman" w:hAnsi="Times New Roman" w:cs="Times New Roman"/>
                <w:sz w:val="24"/>
                <w:szCs w:val="24"/>
              </w:rPr>
              <w:t xml:space="preserve">Auto Dock Vina, MOE-dock, </w:t>
            </w:r>
            <w:proofErr w:type="spellStart"/>
            <w:r w:rsidRPr="006F1FF5">
              <w:rPr>
                <w:rFonts w:ascii="Times New Roman" w:hAnsi="Times New Roman" w:cs="Times New Roman"/>
                <w:sz w:val="24"/>
                <w:szCs w:val="24"/>
              </w:rPr>
              <w:t>FlexX</w:t>
            </w:r>
            <w:proofErr w:type="spellEnd"/>
            <w:r w:rsidR="00AF0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1FF5">
              <w:rPr>
                <w:rFonts w:ascii="Times New Roman" w:hAnsi="Times New Roman" w:cs="Times New Roman"/>
                <w:sz w:val="24"/>
                <w:szCs w:val="24"/>
              </w:rPr>
              <w:t xml:space="preserve"> and GOLD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CED6D93" w14:textId="77777777" w:rsidR="006F1FF5" w:rsidRPr="006F1FF5" w:rsidRDefault="006F1FF5" w:rsidP="006F1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(Acharya et al., 2019)</w:t>
            </w:r>
          </w:p>
        </w:tc>
      </w:tr>
    </w:tbl>
    <w:p w14:paraId="39A65031" w14:textId="14CD0CA8" w:rsidR="0082038A" w:rsidRPr="006F1FF5" w:rsidRDefault="006F1FF5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BB359E">
        <w:rPr>
          <w:rFonts w:ascii="Times New Roman" w:hAnsi="Times New Roman" w:cs="Times New Roman"/>
          <w:sz w:val="24"/>
          <w:szCs w:val="24"/>
        </w:rPr>
        <w:t xml:space="preserve">Table </w:t>
      </w:r>
      <w:r w:rsidR="0037246B">
        <w:rPr>
          <w:rFonts w:ascii="Times New Roman" w:hAnsi="Times New Roman" w:cs="Times New Roman"/>
          <w:sz w:val="24"/>
          <w:szCs w:val="24"/>
        </w:rPr>
        <w:t>S</w:t>
      </w:r>
      <w:r w:rsidR="001C587C">
        <w:rPr>
          <w:rFonts w:ascii="Times New Roman" w:hAnsi="Times New Roman" w:cs="Times New Roman"/>
          <w:sz w:val="24"/>
          <w:szCs w:val="24"/>
        </w:rPr>
        <w:t>1</w:t>
      </w:r>
      <w:r w:rsidRPr="006F1FF5">
        <w:rPr>
          <w:rFonts w:ascii="Times New Roman" w:hAnsi="Times New Roman" w:cs="Times New Roman"/>
          <w:sz w:val="24"/>
          <w:szCs w:val="24"/>
        </w:rPr>
        <w:t>: Comparative molecular docking studies focused on the evolution of docking programs</w:t>
      </w:r>
    </w:p>
    <w:sectPr w:rsidR="0082038A" w:rsidRPr="006F1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FF5"/>
    <w:rsid w:val="000C4C6B"/>
    <w:rsid w:val="001C587C"/>
    <w:rsid w:val="0037246B"/>
    <w:rsid w:val="006F1FF5"/>
    <w:rsid w:val="00AF0BD7"/>
    <w:rsid w:val="00B34DAC"/>
    <w:rsid w:val="00BB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7BDDB"/>
  <w15:docId w15:val="{76FAC0C3-4933-4847-B2D8-0474C72A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 BIO</dc:creator>
  <cp:lastModifiedBy>NILOFER SHAIKH</cp:lastModifiedBy>
  <cp:revision>5</cp:revision>
  <dcterms:created xsi:type="dcterms:W3CDTF">2022-02-15T05:11:00Z</dcterms:created>
  <dcterms:modified xsi:type="dcterms:W3CDTF">2022-07-23T16:48:00Z</dcterms:modified>
</cp:coreProperties>
</file>