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625B" w14:textId="29C02F1B" w:rsidR="0052623F" w:rsidRPr="00A25ACC" w:rsidRDefault="0052623F" w:rsidP="0052623F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 w:rsidRPr="00A25ACC">
        <w:rPr>
          <w:rFonts w:ascii="Arial" w:hAnsi="Arial" w:cs="Arial"/>
          <w:b/>
          <w:bCs/>
          <w:color w:val="000000" w:themeColor="text1"/>
        </w:rPr>
        <w:t>SUPPLEMENT</w:t>
      </w:r>
    </w:p>
    <w:p w14:paraId="4CDBE085" w14:textId="77777777" w:rsidR="0052623F" w:rsidRPr="00510D27" w:rsidRDefault="0052623F" w:rsidP="0052623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DEEA51" w14:textId="77777777" w:rsidR="0052623F" w:rsidRPr="00A25ACC" w:rsidRDefault="0052623F" w:rsidP="0052623F">
      <w:pPr>
        <w:rPr>
          <w:rFonts w:ascii="Arial" w:hAnsi="Arial" w:cs="Arial"/>
          <w:b/>
          <w:bCs/>
          <w:color w:val="000000" w:themeColor="text1"/>
        </w:rPr>
      </w:pPr>
      <w:r w:rsidRPr="00A25ACC">
        <w:rPr>
          <w:rFonts w:ascii="Arial" w:hAnsi="Arial" w:cs="Arial"/>
          <w:b/>
          <w:bCs/>
          <w:color w:val="000000" w:themeColor="text1"/>
        </w:rPr>
        <w:t>Table of Contents</w:t>
      </w:r>
    </w:p>
    <w:p w14:paraId="12CFF42E" w14:textId="77777777" w:rsidR="0052623F" w:rsidRPr="00510D27" w:rsidRDefault="0052623F" w:rsidP="0052623F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270"/>
        <w:gridCol w:w="360"/>
      </w:tblGrid>
      <w:tr w:rsidR="0052623F" w:rsidRPr="0052623F" w14:paraId="752F0CE2" w14:textId="77777777" w:rsidTr="008266E6">
        <w:tc>
          <w:tcPr>
            <w:tcW w:w="1170" w:type="dxa"/>
          </w:tcPr>
          <w:p w14:paraId="46C5FDC6" w14:textId="6BB353DE" w:rsidR="0052623F" w:rsidRPr="00E50BD0" w:rsidRDefault="0052623F" w:rsidP="0071475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0BD0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 1:</w:t>
            </w:r>
          </w:p>
        </w:tc>
        <w:tc>
          <w:tcPr>
            <w:tcW w:w="9270" w:type="dxa"/>
            <w:tcMar>
              <w:left w:w="0" w:type="dxa"/>
              <w:right w:w="0" w:type="dxa"/>
            </w:tcMar>
          </w:tcPr>
          <w:p w14:paraId="70176E79" w14:textId="52320DEB" w:rsidR="0052623F" w:rsidRPr="00E50BD0" w:rsidRDefault="0052623F" w:rsidP="0052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B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Characteristics of </w:t>
            </w:r>
            <w:r w:rsidR="00E50BD0" w:rsidRPr="00E50BD0">
              <w:rPr>
                <w:rFonts w:ascii="Arial" w:hAnsi="Arial" w:cs="Arial"/>
                <w:color w:val="000000" w:themeColor="text1"/>
                <w:sz w:val="22"/>
                <w:szCs w:val="22"/>
              </w:rPr>
              <w:t>study participants and non-participants</w:t>
            </w:r>
            <w:r w:rsidRPr="00E50BD0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="0071475A" w:rsidRPr="00E50BD0">
              <w:rPr>
                <w:rFonts w:ascii="Arial" w:hAnsi="Arial" w:cs="Arial"/>
                <w:sz w:val="22"/>
                <w:szCs w:val="22"/>
              </w:rPr>
              <w:t>.</w:t>
            </w:r>
            <w:r w:rsidRPr="00E50BD0">
              <w:rPr>
                <w:rFonts w:ascii="Arial" w:hAnsi="Arial" w:cs="Arial"/>
                <w:sz w:val="22"/>
                <w:szCs w:val="22"/>
              </w:rPr>
              <w:t>….</w:t>
            </w:r>
            <w:r w:rsidR="0071475A" w:rsidRPr="00E50BD0">
              <w:rPr>
                <w:rFonts w:ascii="Arial" w:hAnsi="Arial" w:cs="Arial"/>
                <w:sz w:val="22"/>
                <w:szCs w:val="22"/>
              </w:rPr>
              <w:t>.</w:t>
            </w:r>
            <w:r w:rsidRPr="00E50BD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DF61922" w14:textId="39698232" w:rsidR="0052623F" w:rsidRPr="0052623F" w:rsidRDefault="00A25ACC" w:rsidP="00053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2623F" w:rsidRPr="0052623F" w14:paraId="11C736B6" w14:textId="77777777" w:rsidTr="008266E6">
        <w:tc>
          <w:tcPr>
            <w:tcW w:w="1170" w:type="dxa"/>
          </w:tcPr>
          <w:p w14:paraId="4C65ECE8" w14:textId="59A552AC" w:rsidR="0052623F" w:rsidRPr="00E50BD0" w:rsidRDefault="001552F4" w:rsidP="0071475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0B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2623F" w:rsidRPr="00E50BD0">
              <w:rPr>
                <w:rFonts w:ascii="Arial" w:hAnsi="Arial" w:cs="Arial"/>
                <w:color w:val="000000" w:themeColor="text1"/>
                <w:sz w:val="22"/>
                <w:szCs w:val="22"/>
              </w:rPr>
              <w:t>Table 2:</w:t>
            </w:r>
          </w:p>
        </w:tc>
        <w:tc>
          <w:tcPr>
            <w:tcW w:w="9270" w:type="dxa"/>
            <w:tcMar>
              <w:left w:w="0" w:type="dxa"/>
              <w:right w:w="0" w:type="dxa"/>
            </w:tcMar>
          </w:tcPr>
          <w:p w14:paraId="290E2AA5" w14:textId="4CE8D732" w:rsidR="0052623F" w:rsidRPr="00E50BD0" w:rsidRDefault="00E50BD0" w:rsidP="0052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BD0">
              <w:rPr>
                <w:rFonts w:ascii="Arial" w:hAnsi="Arial" w:cs="Arial"/>
                <w:sz w:val="22"/>
                <w:szCs w:val="22"/>
              </w:rPr>
              <w:t xml:space="preserve">Agreement between 3 different smartphone settings for detection of corneal opacity </w:t>
            </w:r>
            <w:r w:rsidR="0052623F" w:rsidRPr="00E50BD0">
              <w:rPr>
                <w:rFonts w:ascii="Arial" w:hAnsi="Arial" w:cs="Arial"/>
                <w:sz w:val="22"/>
                <w:szCs w:val="22"/>
              </w:rPr>
              <w:t>………</w:t>
            </w:r>
            <w:r w:rsidR="0071475A" w:rsidRPr="00E50BD0">
              <w:rPr>
                <w:rFonts w:ascii="Arial" w:hAnsi="Arial" w:cs="Arial"/>
                <w:sz w:val="22"/>
                <w:szCs w:val="22"/>
              </w:rPr>
              <w:t>..</w:t>
            </w:r>
            <w:r w:rsidR="0052623F" w:rsidRPr="00E50BD0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F86CF30" w14:textId="6CEA86B0" w:rsidR="0052623F" w:rsidRPr="0052623F" w:rsidRDefault="00A25ACC" w:rsidP="00053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E2EAC" w:rsidRPr="0052623F" w14:paraId="28891582" w14:textId="77777777" w:rsidTr="008266E6">
        <w:tc>
          <w:tcPr>
            <w:tcW w:w="1170" w:type="dxa"/>
          </w:tcPr>
          <w:p w14:paraId="6EBCEBD0" w14:textId="534D995D" w:rsidR="000E2EAC" w:rsidRPr="00E50BD0" w:rsidRDefault="000E2EAC" w:rsidP="0071475A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1:</w:t>
            </w:r>
          </w:p>
        </w:tc>
        <w:tc>
          <w:tcPr>
            <w:tcW w:w="9270" w:type="dxa"/>
            <w:tcMar>
              <w:left w:w="0" w:type="dxa"/>
              <w:right w:w="0" w:type="dxa"/>
            </w:tcMar>
          </w:tcPr>
          <w:p w14:paraId="60AF6B72" w14:textId="30320A6E" w:rsidR="000E2EAC" w:rsidRPr="00E50BD0" w:rsidRDefault="000E2EAC" w:rsidP="005262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Cumulative estimates of sensitivity across the range of time since corneal culture………………..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4B9D765" w14:textId="18101715" w:rsidR="000E2EAC" w:rsidRDefault="003334A2" w:rsidP="00053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0D0F8FF" w14:textId="77777777" w:rsidR="0052623F" w:rsidRPr="00510D27" w:rsidRDefault="0052623F" w:rsidP="0052623F">
      <w:pPr>
        <w:rPr>
          <w:rFonts w:ascii="Arial" w:hAnsi="Arial" w:cs="Arial"/>
        </w:rPr>
      </w:pPr>
    </w:p>
    <w:p w14:paraId="5BED2D7F" w14:textId="77777777" w:rsidR="0052623F" w:rsidRPr="00510D27" w:rsidRDefault="0052623F" w:rsidP="0052623F">
      <w:pPr>
        <w:rPr>
          <w:rFonts w:ascii="Arial" w:hAnsi="Arial" w:cs="Arial"/>
        </w:rPr>
      </w:pPr>
    </w:p>
    <w:p w14:paraId="34F73954" w14:textId="77777777" w:rsidR="0052623F" w:rsidRPr="00510D27" w:rsidRDefault="0052623F" w:rsidP="0052623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5F1D57" w14:textId="77777777" w:rsidR="0052623F" w:rsidRPr="00510D27" w:rsidRDefault="0052623F" w:rsidP="0052623F">
      <w:pPr>
        <w:rPr>
          <w:rFonts w:ascii="Arial" w:hAnsi="Arial" w:cs="Arial"/>
          <w:b/>
        </w:rPr>
      </w:pPr>
    </w:p>
    <w:p w14:paraId="5AF55391" w14:textId="77777777" w:rsidR="0052623F" w:rsidRPr="00510D27" w:rsidRDefault="0052623F" w:rsidP="0052623F">
      <w:pPr>
        <w:rPr>
          <w:rFonts w:ascii="Arial" w:hAnsi="Arial" w:cs="Arial"/>
          <w:b/>
          <w:color w:val="000000"/>
        </w:rPr>
      </w:pPr>
    </w:p>
    <w:p w14:paraId="77461A9A" w14:textId="77777777" w:rsidR="0048151E" w:rsidRPr="00B3277A" w:rsidRDefault="0048151E" w:rsidP="0048151E">
      <w:pPr>
        <w:pStyle w:val="EndNoteBibliography"/>
        <w:spacing w:line="240" w:lineRule="auto"/>
        <w:rPr>
          <w:color w:val="000000" w:themeColor="text1"/>
          <w:szCs w:val="22"/>
        </w:rPr>
      </w:pPr>
    </w:p>
    <w:p w14:paraId="5FE4116D" w14:textId="77777777" w:rsidR="0052623F" w:rsidRDefault="0052623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49A220A1" w14:textId="1EDF2255" w:rsidR="00451F1B" w:rsidRPr="007718F4" w:rsidRDefault="00451F1B" w:rsidP="00451F1B">
      <w:pPr>
        <w:rPr>
          <w:rFonts w:ascii="Arial" w:hAnsi="Arial" w:cs="Arial"/>
          <w:sz w:val="18"/>
          <w:szCs w:val="18"/>
        </w:rPr>
      </w:pPr>
    </w:p>
    <w:p w14:paraId="102CF7EE" w14:textId="55E83511" w:rsidR="00A25ACC" w:rsidRDefault="00A25ACC" w:rsidP="00A25ACC">
      <w:pPr>
        <w:rPr>
          <w:rFonts w:ascii="Arial" w:hAnsi="Arial" w:cs="Arial"/>
          <w:b/>
          <w:bCs/>
          <w:sz w:val="22"/>
          <w:szCs w:val="22"/>
        </w:rPr>
      </w:pPr>
      <w:r w:rsidRPr="00A25ACC">
        <w:rPr>
          <w:rFonts w:ascii="Arial" w:hAnsi="Arial" w:cs="Arial"/>
          <w:b/>
          <w:bCs/>
          <w:sz w:val="22"/>
          <w:szCs w:val="22"/>
        </w:rPr>
        <w:t>Supplemental Table 1. Characteristics of study participants and non-participants</w:t>
      </w:r>
    </w:p>
    <w:p w14:paraId="4848B69A" w14:textId="77777777" w:rsidR="0093574A" w:rsidRPr="00A25ACC" w:rsidRDefault="0093574A" w:rsidP="00A25AC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620"/>
        <w:gridCol w:w="1800"/>
        <w:gridCol w:w="270"/>
        <w:gridCol w:w="1800"/>
        <w:gridCol w:w="1777"/>
      </w:tblGrid>
      <w:tr w:rsidR="00A25ACC" w14:paraId="2A9A7FAF" w14:textId="77777777" w:rsidTr="005008BF">
        <w:trPr>
          <w:trHeight w:val="232"/>
        </w:trPr>
        <w:tc>
          <w:tcPr>
            <w:tcW w:w="2610" w:type="dxa"/>
            <w:tcBorders>
              <w:top w:val="single" w:sz="12" w:space="0" w:color="auto"/>
            </w:tcBorders>
          </w:tcPr>
          <w:p w14:paraId="28301857" w14:textId="20BE330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2281E5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0-</w:t>
            </w:r>
            <w:r w:rsidRPr="00A21FE1">
              <w:rPr>
                <w:rFonts w:ascii="Arial" w:hAnsi="Arial" w:cs="Arial"/>
                <w:sz w:val="19"/>
                <w:szCs w:val="19"/>
              </w:rPr>
              <w:t>12 months since corneal scraping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14:paraId="3EDE0230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7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606B6AA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&gt;</w:t>
            </w:r>
            <w:r w:rsidRPr="00A21FE1">
              <w:rPr>
                <w:rFonts w:ascii="Arial" w:hAnsi="Arial" w:cs="Arial"/>
                <w:sz w:val="19"/>
                <w:szCs w:val="19"/>
              </w:rPr>
              <w:t>12 months since corneal scraping</w:t>
            </w:r>
          </w:p>
        </w:tc>
      </w:tr>
      <w:tr w:rsidR="00A25ACC" w14:paraId="22DE785A" w14:textId="77777777" w:rsidTr="005008BF">
        <w:trPr>
          <w:trHeight w:val="464"/>
        </w:trPr>
        <w:tc>
          <w:tcPr>
            <w:tcW w:w="2610" w:type="dxa"/>
            <w:tcBorders>
              <w:bottom w:val="single" w:sz="4" w:space="0" w:color="auto"/>
            </w:tcBorders>
          </w:tcPr>
          <w:p w14:paraId="042133F2" w14:textId="3BB86058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 w:rsidRPr="00A21FE1">
              <w:rPr>
                <w:rFonts w:ascii="Arial" w:hAnsi="Arial" w:cs="Arial"/>
                <w:sz w:val="19"/>
                <w:szCs w:val="19"/>
              </w:rPr>
              <w:t>Characteristic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8D27673" w14:textId="77777777" w:rsidR="00A25ACC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Participants</w:t>
            </w:r>
          </w:p>
          <w:p w14:paraId="0D16E1B6" w14:textId="6352D3AE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(N=8</w:t>
            </w:r>
            <w:r w:rsidR="00172770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1DDC4FB" w14:textId="77777777" w:rsidR="00A25ACC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Non-participants</w:t>
            </w:r>
          </w:p>
          <w:p w14:paraId="73DA9E0F" w14:textId="7B8FA3B5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(N=2</w:t>
            </w:r>
            <w:r w:rsidR="00FE7F9B">
              <w:rPr>
                <w:rFonts w:ascii="Arial" w:hAnsi="Arial" w:cs="Arial"/>
                <w:sz w:val="19"/>
                <w:szCs w:val="19"/>
              </w:rPr>
              <w:t>59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EE8D3A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ACB393" w14:textId="77777777" w:rsidR="00A25ACC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Participants</w:t>
            </w:r>
          </w:p>
          <w:p w14:paraId="7271EF82" w14:textId="50884D5D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(N=</w:t>
            </w:r>
            <w:r w:rsidR="00172770">
              <w:rPr>
                <w:rFonts w:ascii="Arial" w:hAnsi="Arial" w:cs="Arial"/>
                <w:sz w:val="19"/>
                <w:szCs w:val="19"/>
              </w:rPr>
              <w:t>85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17FE37A7" w14:textId="77777777" w:rsidR="00A25ACC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Non-participants</w:t>
            </w:r>
          </w:p>
          <w:p w14:paraId="0EA9CB07" w14:textId="180CD74F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(N=9</w:t>
            </w:r>
            <w:r w:rsidR="00FE7F9B">
              <w:rPr>
                <w:rFonts w:ascii="Arial" w:hAnsi="Arial" w:cs="Arial"/>
                <w:sz w:val="19"/>
                <w:szCs w:val="19"/>
              </w:rPr>
              <w:t>12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25ACC" w14:paraId="35A883EA" w14:textId="77777777" w:rsidTr="005008BF">
        <w:trPr>
          <w:trHeight w:val="221"/>
        </w:trPr>
        <w:tc>
          <w:tcPr>
            <w:tcW w:w="2610" w:type="dxa"/>
          </w:tcPr>
          <w:p w14:paraId="4BBBDFFF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A21FE1">
              <w:rPr>
                <w:rFonts w:ascii="Arial" w:hAnsi="Arial" w:cs="Arial"/>
                <w:sz w:val="19"/>
                <w:szCs w:val="19"/>
              </w:rPr>
              <w:t>ale</w:t>
            </w:r>
            <w:r>
              <w:rPr>
                <w:rFonts w:ascii="Arial" w:hAnsi="Arial" w:cs="Arial"/>
                <w:sz w:val="19"/>
                <w:szCs w:val="19"/>
              </w:rPr>
              <w:t>, N (%)</w:t>
            </w:r>
          </w:p>
        </w:tc>
        <w:tc>
          <w:tcPr>
            <w:tcW w:w="1620" w:type="dxa"/>
            <w:vAlign w:val="bottom"/>
          </w:tcPr>
          <w:p w14:paraId="018D2889" w14:textId="3FACA21A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FE1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A21FE1">
              <w:rPr>
                <w:rFonts w:ascii="Arial" w:hAnsi="Arial" w:cs="Arial"/>
                <w:sz w:val="19"/>
                <w:szCs w:val="19"/>
              </w:rPr>
              <w:t xml:space="preserve"> (6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A21FE1">
              <w:rPr>
                <w:rFonts w:ascii="Arial" w:hAnsi="Arial" w:cs="Arial"/>
                <w:sz w:val="19"/>
                <w:szCs w:val="19"/>
              </w:rPr>
              <w:t>%)</w:t>
            </w:r>
          </w:p>
        </w:tc>
        <w:tc>
          <w:tcPr>
            <w:tcW w:w="1800" w:type="dxa"/>
          </w:tcPr>
          <w:p w14:paraId="1F58BCA7" w14:textId="5CD3A652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175 (6</w:t>
            </w:r>
            <w:r w:rsidR="00FE7F9B">
              <w:rPr>
                <w:rFonts w:ascii="Arial" w:hAnsi="Arial" w:cs="Arial"/>
                <w:sz w:val="19"/>
                <w:szCs w:val="19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%)</w:t>
            </w:r>
          </w:p>
        </w:tc>
        <w:tc>
          <w:tcPr>
            <w:tcW w:w="270" w:type="dxa"/>
          </w:tcPr>
          <w:p w14:paraId="2A4A24F1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14:paraId="79780175" w14:textId="7719C54E" w:rsidR="00A25ACC" w:rsidRPr="00A21FE1" w:rsidRDefault="00172770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  <w:r w:rsidRPr="00A21FE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5ACC" w:rsidRPr="00A21FE1">
              <w:rPr>
                <w:rFonts w:ascii="Arial" w:hAnsi="Arial" w:cs="Arial"/>
                <w:sz w:val="19"/>
                <w:szCs w:val="19"/>
              </w:rPr>
              <w:t>(</w:t>
            </w:r>
            <w:r w:rsidR="00A25ACC">
              <w:rPr>
                <w:rFonts w:ascii="Arial" w:hAnsi="Arial" w:cs="Arial"/>
                <w:sz w:val="19"/>
                <w:szCs w:val="19"/>
              </w:rPr>
              <w:t>71</w:t>
            </w:r>
            <w:r w:rsidR="00A25ACC" w:rsidRPr="00A21FE1">
              <w:rPr>
                <w:rFonts w:ascii="Arial" w:hAnsi="Arial" w:cs="Arial"/>
                <w:sz w:val="19"/>
                <w:szCs w:val="19"/>
              </w:rPr>
              <w:t>%)</w:t>
            </w:r>
          </w:p>
        </w:tc>
        <w:tc>
          <w:tcPr>
            <w:tcW w:w="1777" w:type="dxa"/>
            <w:vAlign w:val="bottom"/>
          </w:tcPr>
          <w:p w14:paraId="0BDCEE24" w14:textId="1FF1F362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E7F9B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4 (</w:t>
            </w:r>
            <w:r w:rsidR="00FE7F9B">
              <w:rPr>
                <w:rFonts w:ascii="Arial" w:hAnsi="Arial" w:cs="Arial"/>
                <w:sz w:val="19"/>
                <w:szCs w:val="19"/>
              </w:rPr>
              <w:t>60</w:t>
            </w:r>
            <w:r>
              <w:rPr>
                <w:rFonts w:ascii="Arial" w:hAnsi="Arial" w:cs="Arial"/>
                <w:sz w:val="19"/>
                <w:szCs w:val="19"/>
              </w:rPr>
              <w:t>%)</w:t>
            </w:r>
          </w:p>
        </w:tc>
      </w:tr>
      <w:tr w:rsidR="00A25ACC" w14:paraId="270FC5FA" w14:textId="77777777" w:rsidTr="005008BF">
        <w:trPr>
          <w:trHeight w:val="232"/>
        </w:trPr>
        <w:tc>
          <w:tcPr>
            <w:tcW w:w="2610" w:type="dxa"/>
          </w:tcPr>
          <w:p w14:paraId="1CD981A0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A21FE1">
              <w:rPr>
                <w:rFonts w:ascii="Arial" w:hAnsi="Arial" w:cs="Arial"/>
                <w:sz w:val="19"/>
                <w:szCs w:val="19"/>
              </w:rPr>
              <w:t>ge</w:t>
            </w:r>
            <w:r>
              <w:rPr>
                <w:rFonts w:ascii="Arial" w:hAnsi="Arial" w:cs="Arial"/>
                <w:sz w:val="19"/>
                <w:szCs w:val="19"/>
              </w:rPr>
              <w:t xml:space="preserve"> in </w:t>
            </w:r>
            <w:r w:rsidRPr="00A21FE1">
              <w:rPr>
                <w:rFonts w:ascii="Arial" w:hAnsi="Arial" w:cs="Arial"/>
                <w:sz w:val="19"/>
                <w:szCs w:val="19"/>
              </w:rPr>
              <w:t>years</w:t>
            </w:r>
            <w:r>
              <w:rPr>
                <w:rFonts w:ascii="Arial" w:hAnsi="Arial" w:cs="Arial"/>
                <w:sz w:val="19"/>
                <w:szCs w:val="19"/>
              </w:rPr>
              <w:t>, mean</w:t>
            </w:r>
            <w:r w:rsidRPr="00A21FE1">
              <w:rPr>
                <w:rFonts w:ascii="Arial" w:hAnsi="Arial" w:cs="Arial"/>
                <w:sz w:val="19"/>
                <w:szCs w:val="19"/>
              </w:rPr>
              <w:t xml:space="preserve"> (SD)</w:t>
            </w:r>
          </w:p>
        </w:tc>
        <w:tc>
          <w:tcPr>
            <w:tcW w:w="1620" w:type="dxa"/>
            <w:vAlign w:val="bottom"/>
          </w:tcPr>
          <w:p w14:paraId="5F4E93E4" w14:textId="0C45445D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FE1">
              <w:rPr>
                <w:rFonts w:ascii="Arial" w:hAnsi="Arial" w:cs="Arial"/>
                <w:sz w:val="19"/>
                <w:szCs w:val="19"/>
              </w:rPr>
              <w:t>46 (1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A21FE1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800" w:type="dxa"/>
          </w:tcPr>
          <w:p w14:paraId="648C7794" w14:textId="699236C0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42594A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(20)</w:t>
            </w:r>
          </w:p>
        </w:tc>
        <w:tc>
          <w:tcPr>
            <w:tcW w:w="270" w:type="dxa"/>
          </w:tcPr>
          <w:p w14:paraId="7BD45C3A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14:paraId="1CE319C1" w14:textId="49F53022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1FE1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A21FE1">
              <w:rPr>
                <w:rFonts w:ascii="Arial" w:hAnsi="Arial" w:cs="Arial"/>
                <w:sz w:val="19"/>
                <w:szCs w:val="19"/>
              </w:rPr>
              <w:t xml:space="preserve"> (19)</w:t>
            </w:r>
          </w:p>
        </w:tc>
        <w:tc>
          <w:tcPr>
            <w:tcW w:w="1777" w:type="dxa"/>
            <w:vAlign w:val="bottom"/>
          </w:tcPr>
          <w:p w14:paraId="4F5FBE2E" w14:textId="03B67E1A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 (1</w:t>
            </w:r>
            <w:r w:rsidR="0042594A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A25ACC" w14:paraId="598CA583" w14:textId="77777777" w:rsidTr="005008BF">
        <w:trPr>
          <w:trHeight w:val="232"/>
        </w:trPr>
        <w:tc>
          <w:tcPr>
            <w:tcW w:w="2610" w:type="dxa"/>
          </w:tcPr>
          <w:p w14:paraId="232AC470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Time</w:t>
            </w:r>
            <w:r w:rsidRPr="00A21FE1">
              <w:rPr>
                <w:rFonts w:ascii="Arial" w:hAnsi="Arial" w:cs="Arial"/>
                <w:sz w:val="19"/>
                <w:szCs w:val="19"/>
              </w:rPr>
              <w:t xml:space="preserve"> since </w:t>
            </w:r>
            <w:r>
              <w:rPr>
                <w:rFonts w:ascii="Arial" w:hAnsi="Arial" w:cs="Arial"/>
                <w:sz w:val="19"/>
                <w:szCs w:val="19"/>
              </w:rPr>
              <w:t>culture, N (%)</w:t>
            </w:r>
          </w:p>
        </w:tc>
        <w:tc>
          <w:tcPr>
            <w:tcW w:w="1620" w:type="dxa"/>
            <w:vAlign w:val="bottom"/>
          </w:tcPr>
          <w:p w14:paraId="3ABED481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5EB2E35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" w:type="dxa"/>
          </w:tcPr>
          <w:p w14:paraId="6A587CD2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14:paraId="5FB96EC3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77" w:type="dxa"/>
            <w:vAlign w:val="bottom"/>
          </w:tcPr>
          <w:p w14:paraId="67DB0CF3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5ACC" w14:paraId="114B3455" w14:textId="77777777" w:rsidTr="005008BF">
        <w:trPr>
          <w:trHeight w:val="232"/>
        </w:trPr>
        <w:tc>
          <w:tcPr>
            <w:tcW w:w="2610" w:type="dxa"/>
          </w:tcPr>
          <w:p w14:paraId="03B66743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0-12 mos</w:t>
            </w:r>
          </w:p>
        </w:tc>
        <w:tc>
          <w:tcPr>
            <w:tcW w:w="1620" w:type="dxa"/>
            <w:vAlign w:val="bottom"/>
          </w:tcPr>
          <w:p w14:paraId="07A4328F" w14:textId="0B105CC0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172770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(100%)</w:t>
            </w:r>
          </w:p>
        </w:tc>
        <w:tc>
          <w:tcPr>
            <w:tcW w:w="1800" w:type="dxa"/>
          </w:tcPr>
          <w:p w14:paraId="41345AC9" w14:textId="0DC2F929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290293">
              <w:rPr>
                <w:rFonts w:ascii="Arial" w:hAnsi="Arial" w:cs="Arial"/>
                <w:sz w:val="19"/>
                <w:szCs w:val="19"/>
              </w:rPr>
              <w:t>59</w:t>
            </w:r>
            <w:r>
              <w:rPr>
                <w:rFonts w:ascii="Arial" w:hAnsi="Arial" w:cs="Arial"/>
                <w:sz w:val="19"/>
                <w:szCs w:val="19"/>
              </w:rPr>
              <w:t xml:space="preserve"> (100%)</w:t>
            </w:r>
          </w:p>
        </w:tc>
        <w:tc>
          <w:tcPr>
            <w:tcW w:w="270" w:type="dxa"/>
          </w:tcPr>
          <w:p w14:paraId="108BABC3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14:paraId="59490A0A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  <w:tc>
          <w:tcPr>
            <w:tcW w:w="1777" w:type="dxa"/>
            <w:vAlign w:val="bottom"/>
          </w:tcPr>
          <w:p w14:paraId="6213164B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</w:tr>
      <w:tr w:rsidR="00A25ACC" w14:paraId="46263F04" w14:textId="77777777" w:rsidTr="005008BF">
        <w:trPr>
          <w:trHeight w:val="232"/>
        </w:trPr>
        <w:tc>
          <w:tcPr>
            <w:tcW w:w="2610" w:type="dxa"/>
          </w:tcPr>
          <w:p w14:paraId="0D2368BD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13-24 mos</w:t>
            </w:r>
          </w:p>
        </w:tc>
        <w:tc>
          <w:tcPr>
            <w:tcW w:w="1620" w:type="dxa"/>
            <w:vAlign w:val="bottom"/>
          </w:tcPr>
          <w:p w14:paraId="2275D58E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  <w:tc>
          <w:tcPr>
            <w:tcW w:w="1800" w:type="dxa"/>
          </w:tcPr>
          <w:p w14:paraId="1D8E7996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  <w:tc>
          <w:tcPr>
            <w:tcW w:w="270" w:type="dxa"/>
          </w:tcPr>
          <w:p w14:paraId="7DDB3087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14:paraId="5CE19E5B" w14:textId="44866054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172770">
              <w:rPr>
                <w:rFonts w:ascii="Arial" w:hAnsi="Arial" w:cs="Arial"/>
                <w:sz w:val="19"/>
                <w:szCs w:val="19"/>
              </w:rPr>
              <w:t>6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172770">
              <w:rPr>
                <w:rFonts w:ascii="Arial" w:hAnsi="Arial" w:cs="Arial"/>
                <w:sz w:val="19"/>
                <w:szCs w:val="19"/>
              </w:rPr>
              <w:t>42</w:t>
            </w:r>
            <w:r>
              <w:rPr>
                <w:rFonts w:ascii="Arial" w:hAnsi="Arial" w:cs="Arial"/>
                <w:sz w:val="19"/>
                <w:szCs w:val="19"/>
              </w:rPr>
              <w:t>%)</w:t>
            </w:r>
          </w:p>
        </w:tc>
        <w:tc>
          <w:tcPr>
            <w:tcW w:w="1777" w:type="dxa"/>
            <w:vAlign w:val="bottom"/>
          </w:tcPr>
          <w:p w14:paraId="5684F7E0" w14:textId="722A5BAB" w:rsidR="00A25ACC" w:rsidRPr="00E871BA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71BA">
              <w:rPr>
                <w:rFonts w:ascii="Arial" w:hAnsi="Arial" w:cs="Arial"/>
                <w:sz w:val="19"/>
                <w:szCs w:val="19"/>
              </w:rPr>
              <w:t>211 (2</w:t>
            </w:r>
            <w:r w:rsidR="00290293">
              <w:rPr>
                <w:rFonts w:ascii="Arial" w:hAnsi="Arial" w:cs="Arial"/>
                <w:sz w:val="19"/>
                <w:szCs w:val="19"/>
              </w:rPr>
              <w:t>3</w:t>
            </w:r>
            <w:r w:rsidRPr="00E871BA">
              <w:rPr>
                <w:rFonts w:ascii="Arial" w:hAnsi="Arial" w:cs="Arial"/>
                <w:sz w:val="19"/>
                <w:szCs w:val="19"/>
              </w:rPr>
              <w:t>%)</w:t>
            </w:r>
          </w:p>
        </w:tc>
      </w:tr>
      <w:tr w:rsidR="00A25ACC" w14:paraId="58A0DE77" w14:textId="77777777" w:rsidTr="005008BF">
        <w:trPr>
          <w:trHeight w:val="232"/>
        </w:trPr>
        <w:tc>
          <w:tcPr>
            <w:tcW w:w="2610" w:type="dxa"/>
            <w:tcBorders>
              <w:bottom w:val="single" w:sz="12" w:space="0" w:color="auto"/>
            </w:tcBorders>
          </w:tcPr>
          <w:p w14:paraId="444C52D8" w14:textId="77777777" w:rsidR="00A25ACC" w:rsidRPr="00A21FE1" w:rsidRDefault="00A25ACC" w:rsidP="005008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&gt;24 mos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F1312DE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59C7A5CA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 (0%)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14:paraId="5B3019BD" w14:textId="77777777" w:rsidR="00A25ACC" w:rsidRPr="00A21FE1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5F583BF4" w14:textId="7CCE48E2" w:rsidR="00A25ACC" w:rsidRPr="00A21FE1" w:rsidRDefault="00172770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49 </w:t>
            </w:r>
            <w:r w:rsidR="00A25ACC">
              <w:rPr>
                <w:rFonts w:ascii="Arial" w:hAnsi="Arial" w:cs="Arial"/>
                <w:sz w:val="19"/>
                <w:szCs w:val="19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58</w:t>
            </w:r>
            <w:r w:rsidR="00A25ACC">
              <w:rPr>
                <w:rFonts w:ascii="Arial" w:hAnsi="Arial" w:cs="Arial"/>
                <w:sz w:val="19"/>
                <w:szCs w:val="19"/>
              </w:rPr>
              <w:t>%)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bottom"/>
          </w:tcPr>
          <w:p w14:paraId="5700E6BE" w14:textId="7339F899" w:rsidR="00A25ACC" w:rsidRPr="00E871BA" w:rsidRDefault="00A25ACC" w:rsidP="005008B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71BA">
              <w:rPr>
                <w:rFonts w:ascii="Arial" w:hAnsi="Arial" w:cs="Arial"/>
                <w:sz w:val="19"/>
                <w:szCs w:val="19"/>
              </w:rPr>
              <w:t>7</w:t>
            </w:r>
            <w:r w:rsidR="00290293">
              <w:rPr>
                <w:rFonts w:ascii="Arial" w:hAnsi="Arial" w:cs="Arial"/>
                <w:sz w:val="19"/>
                <w:szCs w:val="19"/>
              </w:rPr>
              <w:t>01</w:t>
            </w:r>
            <w:r w:rsidRPr="00E871BA">
              <w:rPr>
                <w:rFonts w:ascii="Arial" w:hAnsi="Arial" w:cs="Arial"/>
                <w:sz w:val="19"/>
                <w:szCs w:val="19"/>
              </w:rPr>
              <w:t xml:space="preserve"> (77%)</w:t>
            </w:r>
          </w:p>
        </w:tc>
      </w:tr>
    </w:tbl>
    <w:p w14:paraId="2E835419" w14:textId="77777777" w:rsidR="00A25ACC" w:rsidRDefault="00A25ACC" w:rsidP="00A25A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3E06E3" w14:textId="629A45C8" w:rsidR="00A25ACC" w:rsidRDefault="00A25ACC" w:rsidP="00A25ACC">
      <w:pPr>
        <w:rPr>
          <w:rFonts w:ascii="Arial" w:hAnsi="Arial" w:cs="Arial"/>
          <w:sz w:val="22"/>
          <w:szCs w:val="22"/>
        </w:rPr>
      </w:pPr>
      <w:r w:rsidRPr="00A25ACC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2. Agreement between 3 different smartphone settings for detection of corneal opacity. </w:t>
      </w:r>
      <w:r w:rsidRPr="00A25ACC">
        <w:rPr>
          <w:rFonts w:ascii="Arial" w:hAnsi="Arial" w:cs="Arial"/>
          <w:sz w:val="22"/>
          <w:szCs w:val="22"/>
        </w:rPr>
        <w:t>Photographs were taken in rapid succession with a Nexus 5 smartphone using the default settings, then changing the exposure to +1 (Exp+1), then changing to the high dynamic range (HDR) setting. Photographs were graded in a masked fashion for the presence of opacity.</w:t>
      </w:r>
      <w:r w:rsidR="00177402">
        <w:rPr>
          <w:rFonts w:ascii="Arial" w:hAnsi="Arial" w:cs="Arial"/>
          <w:sz w:val="22"/>
          <w:szCs w:val="22"/>
        </w:rPr>
        <w:t xml:space="preserve"> This table includes those eyes eligible for agreement analyses (i.e., absence of penetrating keratoplasty in either eye and no missing photographic data in either eye).</w:t>
      </w:r>
    </w:p>
    <w:p w14:paraId="3898B86E" w14:textId="77777777" w:rsidR="0093574A" w:rsidRPr="00A25ACC" w:rsidRDefault="0093574A" w:rsidP="00A25AC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39"/>
        <w:tblW w:w="3510" w:type="dxa"/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990"/>
      </w:tblGrid>
      <w:tr w:rsidR="00A25ACC" w:rsidRPr="000F7ED5" w14:paraId="75DC1098" w14:textId="77777777" w:rsidTr="008266E6">
        <w:trPr>
          <w:trHeight w:val="284"/>
        </w:trPr>
        <w:tc>
          <w:tcPr>
            <w:tcW w:w="25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B416F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ACC">
              <w:rPr>
                <w:rFonts w:ascii="Arial" w:hAnsi="Arial" w:cs="Arial"/>
                <w:color w:val="000000"/>
                <w:sz w:val="20"/>
                <w:szCs w:val="20"/>
              </w:rPr>
              <w:t>Smartphone setting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9E251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5ACC" w:rsidRPr="000F7ED5" w14:paraId="072A7C7E" w14:textId="77777777" w:rsidTr="008266E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7588E3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ACC">
              <w:rPr>
                <w:rFonts w:ascii="Arial" w:hAnsi="Arial" w:cs="Arial"/>
                <w:color w:val="000000"/>
                <w:sz w:val="20"/>
                <w:szCs w:val="20"/>
              </w:rPr>
              <w:t>Default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113512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ACC">
              <w:rPr>
                <w:rFonts w:ascii="Arial" w:hAnsi="Arial" w:cs="Arial"/>
                <w:color w:val="000000"/>
                <w:sz w:val="20"/>
                <w:szCs w:val="20"/>
              </w:rPr>
              <w:t>Exp+1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2DCDC1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ACC">
              <w:rPr>
                <w:rFonts w:ascii="Arial" w:hAnsi="Arial" w:cs="Arial"/>
                <w:color w:val="000000"/>
                <w:sz w:val="20"/>
                <w:szCs w:val="20"/>
              </w:rPr>
              <w:t>HDR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3B3343" w14:textId="77777777" w:rsidR="00A25ACC" w:rsidRPr="00A25ACC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5ACC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</w:tc>
      </w:tr>
      <w:tr w:rsidR="00A25ACC" w:rsidRPr="000F7ED5" w14:paraId="0F2304B8" w14:textId="77777777" w:rsidTr="008266E6">
        <w:trPr>
          <w:trHeight w:val="284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697AA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67A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61E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7E5" w14:textId="1202F454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1774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5ACC" w:rsidRPr="000F7ED5" w14:paraId="3D22D413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78C93B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CB3BA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17B180" w14:textId="77777777" w:rsidR="00A25ACC" w:rsidRPr="008D5BA4" w:rsidRDefault="00A25ACC" w:rsidP="005008BF">
            <w:pPr>
              <w:jc w:val="center"/>
              <w:rPr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202122"/>
                <w:sz w:val="20"/>
                <w:szCs w:val="20"/>
                <w:shd w:val="clear" w:color="auto" w:fill="FDFDFD"/>
              </w:rPr>
              <w:t>−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01478E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25ACC" w:rsidRPr="000F7ED5" w14:paraId="1193F153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EAD4C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38FE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2FD5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C3C4" w14:textId="1663FFFA" w:rsidR="00A25ACC" w:rsidRPr="008D5BA4" w:rsidRDefault="00177402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5ACC" w:rsidRPr="000F7ED5" w14:paraId="0C302571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9DBCB0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55CAD58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F72B0C1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DF3C742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5ACC" w:rsidRPr="000F7ED5" w14:paraId="0A944820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91A46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A814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C709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477C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5ACC" w:rsidRPr="000F7ED5" w14:paraId="288E5246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9FB290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A922E55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5083BA3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7E49E00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25ACC" w:rsidRPr="000F7ED5" w14:paraId="5B9E87CB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right w:val="nil"/>
            </w:tcBorders>
            <w:vAlign w:val="bottom"/>
          </w:tcPr>
          <w:p w14:paraId="76F70CF6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8C8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84C2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2F1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25ACC" w:rsidRPr="000F7ED5" w14:paraId="0FB8839D" w14:textId="77777777" w:rsidTr="008266E6">
        <w:trPr>
          <w:trHeight w:val="284"/>
        </w:trPr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BCC5454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C15B3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693F2E" w14:textId="77777777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A9A8AB" w14:textId="155FDBE9" w:rsidR="00A25ACC" w:rsidRPr="008D5BA4" w:rsidRDefault="00A25ACC" w:rsidP="00500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5BA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1774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49DC932" w14:textId="77777777" w:rsidR="00A25ACC" w:rsidRDefault="00A25ACC" w:rsidP="00A25ACC">
      <w:pPr>
        <w:jc w:val="center"/>
        <w:rPr>
          <w:rFonts w:ascii="Arial" w:hAnsi="Arial" w:cs="Arial"/>
          <w:b/>
          <w:bCs/>
        </w:rPr>
      </w:pPr>
      <w:r>
        <w:rPr>
          <w:noProof/>
        </w:rPr>
        <w:t xml:space="preserve">  </w:t>
      </w:r>
    </w:p>
    <w:p w14:paraId="243C4E9E" w14:textId="77777777" w:rsidR="00A25ACC" w:rsidRDefault="00A25ACC" w:rsidP="00A25A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F8B630" w14:textId="66F2FEE6" w:rsidR="00A32DC8" w:rsidRDefault="00A32DC8" w:rsidP="0048151E">
      <w:pPr>
        <w:rPr>
          <w:rFonts w:ascii="Arial" w:hAnsi="Arial" w:cs="Arial"/>
          <w:sz w:val="22"/>
          <w:szCs w:val="22"/>
        </w:rPr>
      </w:pPr>
      <w:r w:rsidRPr="008266E6">
        <w:rPr>
          <w:rFonts w:ascii="Arial" w:hAnsi="Arial" w:cs="Arial"/>
          <w:b/>
          <w:bCs/>
          <w:sz w:val="22"/>
          <w:szCs w:val="22"/>
        </w:rPr>
        <w:lastRenderedPageBreak/>
        <w:t>Supplemental Figure 1.</w:t>
      </w:r>
      <w:r w:rsidRPr="008266E6">
        <w:rPr>
          <w:rFonts w:ascii="Arial" w:hAnsi="Arial" w:cs="Arial"/>
          <w:sz w:val="22"/>
          <w:szCs w:val="22"/>
        </w:rPr>
        <w:t xml:space="preserve"> </w:t>
      </w:r>
      <w:r w:rsidRPr="008266E6">
        <w:rPr>
          <w:rFonts w:ascii="Arial" w:hAnsi="Arial" w:cs="Arial"/>
          <w:b/>
          <w:bCs/>
          <w:sz w:val="22"/>
          <w:szCs w:val="22"/>
        </w:rPr>
        <w:t xml:space="preserve">Cumulative estimates of sensitivity across the range of </w:t>
      </w:r>
      <w:r>
        <w:rPr>
          <w:rFonts w:ascii="Arial" w:hAnsi="Arial" w:cs="Arial"/>
          <w:b/>
          <w:bCs/>
          <w:sz w:val="22"/>
          <w:szCs w:val="22"/>
        </w:rPr>
        <w:t>time elapsed since corneal culture</w:t>
      </w:r>
      <w:r w:rsidRPr="008266E6">
        <w:rPr>
          <w:rFonts w:ascii="Arial" w:hAnsi="Arial" w:cs="Arial"/>
          <w:b/>
          <w:bCs/>
          <w:sz w:val="22"/>
          <w:szCs w:val="22"/>
        </w:rPr>
        <w:t>.</w:t>
      </w:r>
      <w:r w:rsidRPr="008266E6">
        <w:rPr>
          <w:rFonts w:ascii="Arial" w:hAnsi="Arial" w:cs="Arial"/>
          <w:sz w:val="22"/>
          <w:szCs w:val="22"/>
        </w:rPr>
        <w:t xml:space="preserve"> The 90 eyes with a reference standard opacity were ordered from </w:t>
      </w:r>
      <w:r>
        <w:rPr>
          <w:rFonts w:ascii="Arial" w:hAnsi="Arial" w:cs="Arial"/>
          <w:sz w:val="22"/>
          <w:szCs w:val="22"/>
        </w:rPr>
        <w:t xml:space="preserve">most recent to longest time since corneal culture, </w:t>
      </w:r>
      <w:r w:rsidRPr="008266E6">
        <w:rPr>
          <w:rFonts w:ascii="Arial" w:hAnsi="Arial" w:cs="Arial"/>
          <w:sz w:val="22"/>
          <w:szCs w:val="22"/>
        </w:rPr>
        <w:t xml:space="preserve">and sensitivity was estimated cumulatively along this ordered set of 90 opacities. Specifically, for each corneal opacity, the cumulative sensitivity was estimated including all eyes with the same or a </w:t>
      </w:r>
      <w:r>
        <w:rPr>
          <w:rFonts w:ascii="Arial" w:hAnsi="Arial" w:cs="Arial"/>
          <w:sz w:val="22"/>
          <w:szCs w:val="22"/>
        </w:rPr>
        <w:t>more recent opacity</w:t>
      </w:r>
      <w:r w:rsidRPr="008266E6">
        <w:rPr>
          <w:rFonts w:ascii="Arial" w:hAnsi="Arial" w:cs="Arial"/>
          <w:sz w:val="22"/>
          <w:szCs w:val="22"/>
        </w:rPr>
        <w:t>. Panel A shows the cumulative sensitivity for the individual 13 graders (each in a different color), and Panel B shows the cumulative sensitivity for the consensus grade. In panel B, each dot represents an eye; dots are colored according to their visual acuity status have some transparency in order to better depict overlying points.</w:t>
      </w:r>
    </w:p>
    <w:p w14:paraId="1329A8C8" w14:textId="77777777" w:rsidR="001B2066" w:rsidRDefault="001B2066" w:rsidP="0048151E">
      <w:pPr>
        <w:rPr>
          <w:rFonts w:ascii="Arial" w:hAnsi="Arial" w:cs="Arial"/>
          <w:sz w:val="22"/>
          <w:szCs w:val="22"/>
        </w:rPr>
      </w:pPr>
    </w:p>
    <w:p w14:paraId="30D832F2" w14:textId="40CF4D2A" w:rsidR="001B2066" w:rsidRPr="008266E6" w:rsidRDefault="001B2066" w:rsidP="0048151E">
      <w:pPr>
        <w:rPr>
          <w:rFonts w:ascii="Arial" w:hAnsi="Arial" w:cs="Arial"/>
          <w:sz w:val="22"/>
          <w:szCs w:val="22"/>
        </w:rPr>
      </w:pPr>
      <w:r w:rsidRPr="001B2066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6BD02536" wp14:editId="2B308A78">
            <wp:extent cx="6223000" cy="474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66" w:rsidRPr="008266E6" w:rsidSect="00A25AC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55595" w14:textId="77777777" w:rsidR="00404AEE" w:rsidRDefault="00404AEE" w:rsidP="0052623F">
      <w:r>
        <w:separator/>
      </w:r>
    </w:p>
  </w:endnote>
  <w:endnote w:type="continuationSeparator" w:id="0">
    <w:p w14:paraId="5E103F66" w14:textId="77777777" w:rsidR="00404AEE" w:rsidRDefault="00404AEE" w:rsidP="005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43117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9712D" w14:textId="6B0C9CF9" w:rsidR="0052623F" w:rsidRDefault="0052623F" w:rsidP="008E0A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BA6033" w14:textId="77777777" w:rsidR="0052623F" w:rsidRDefault="0052623F" w:rsidP="005262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-1415547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02760" w14:textId="0F75BFB4" w:rsidR="0052623F" w:rsidRPr="0052623F" w:rsidRDefault="0052623F" w:rsidP="008E0AF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5262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5262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5262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22EB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5262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5AD58870" w14:textId="77777777" w:rsidR="0052623F" w:rsidRPr="0052623F" w:rsidRDefault="0052623F" w:rsidP="0052623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B719C" w14:textId="77777777" w:rsidR="00404AEE" w:rsidRDefault="00404AEE" w:rsidP="0052623F">
      <w:r>
        <w:separator/>
      </w:r>
    </w:p>
  </w:footnote>
  <w:footnote w:type="continuationSeparator" w:id="0">
    <w:p w14:paraId="12D6D7BA" w14:textId="77777777" w:rsidR="00404AEE" w:rsidRDefault="00404AEE" w:rsidP="0052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1A77"/>
    <w:multiLevelType w:val="hybridMultilevel"/>
    <w:tmpl w:val="CBE221D6"/>
    <w:lvl w:ilvl="0" w:tplc="6AD01DA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E"/>
    <w:rsid w:val="00013113"/>
    <w:rsid w:val="000227D4"/>
    <w:rsid w:val="00024305"/>
    <w:rsid w:val="00043E75"/>
    <w:rsid w:val="00046D9E"/>
    <w:rsid w:val="00051A5E"/>
    <w:rsid w:val="000620ED"/>
    <w:rsid w:val="0006455D"/>
    <w:rsid w:val="000658C5"/>
    <w:rsid w:val="00067996"/>
    <w:rsid w:val="00082FB3"/>
    <w:rsid w:val="000B3ACA"/>
    <w:rsid w:val="000B4358"/>
    <w:rsid w:val="000D3112"/>
    <w:rsid w:val="000E0CAF"/>
    <w:rsid w:val="000E2EAC"/>
    <w:rsid w:val="000E635F"/>
    <w:rsid w:val="0012388E"/>
    <w:rsid w:val="001315AB"/>
    <w:rsid w:val="00134DD5"/>
    <w:rsid w:val="00135248"/>
    <w:rsid w:val="001552F4"/>
    <w:rsid w:val="00172770"/>
    <w:rsid w:val="00173DEE"/>
    <w:rsid w:val="00177402"/>
    <w:rsid w:val="00192CD2"/>
    <w:rsid w:val="00194331"/>
    <w:rsid w:val="00195C8F"/>
    <w:rsid w:val="00196252"/>
    <w:rsid w:val="001A1A4E"/>
    <w:rsid w:val="001B2066"/>
    <w:rsid w:val="001B292E"/>
    <w:rsid w:val="001B5CE3"/>
    <w:rsid w:val="001C1810"/>
    <w:rsid w:val="001C2D4F"/>
    <w:rsid w:val="001C504B"/>
    <w:rsid w:val="001F0B86"/>
    <w:rsid w:val="002004D5"/>
    <w:rsid w:val="00223BB3"/>
    <w:rsid w:val="002245C1"/>
    <w:rsid w:val="00225EDA"/>
    <w:rsid w:val="00241D6D"/>
    <w:rsid w:val="002425EA"/>
    <w:rsid w:val="00260CCB"/>
    <w:rsid w:val="00284E3B"/>
    <w:rsid w:val="00290293"/>
    <w:rsid w:val="00291B46"/>
    <w:rsid w:val="002961E8"/>
    <w:rsid w:val="002A48FF"/>
    <w:rsid w:val="002A6C59"/>
    <w:rsid w:val="002D4124"/>
    <w:rsid w:val="002E7B82"/>
    <w:rsid w:val="002F17B7"/>
    <w:rsid w:val="002F43BC"/>
    <w:rsid w:val="00303785"/>
    <w:rsid w:val="003042EA"/>
    <w:rsid w:val="0030491A"/>
    <w:rsid w:val="00306F32"/>
    <w:rsid w:val="00307CDA"/>
    <w:rsid w:val="00322EB2"/>
    <w:rsid w:val="003334A2"/>
    <w:rsid w:val="00341879"/>
    <w:rsid w:val="003442C8"/>
    <w:rsid w:val="003500C4"/>
    <w:rsid w:val="003647C7"/>
    <w:rsid w:val="00371212"/>
    <w:rsid w:val="00376794"/>
    <w:rsid w:val="00380746"/>
    <w:rsid w:val="00380C69"/>
    <w:rsid w:val="00396DD4"/>
    <w:rsid w:val="003A3AC5"/>
    <w:rsid w:val="003B2D4E"/>
    <w:rsid w:val="003C1313"/>
    <w:rsid w:val="003D079A"/>
    <w:rsid w:val="00404439"/>
    <w:rsid w:val="00404AEE"/>
    <w:rsid w:val="00404D2C"/>
    <w:rsid w:val="0042594A"/>
    <w:rsid w:val="00451F1B"/>
    <w:rsid w:val="00454571"/>
    <w:rsid w:val="004646E1"/>
    <w:rsid w:val="00466DCB"/>
    <w:rsid w:val="0048151E"/>
    <w:rsid w:val="00485484"/>
    <w:rsid w:val="004874D5"/>
    <w:rsid w:val="004A1418"/>
    <w:rsid w:val="004A2352"/>
    <w:rsid w:val="004A6750"/>
    <w:rsid w:val="004A7339"/>
    <w:rsid w:val="004B1766"/>
    <w:rsid w:val="004B1AA6"/>
    <w:rsid w:val="004B359E"/>
    <w:rsid w:val="004B5078"/>
    <w:rsid w:val="004E5EBF"/>
    <w:rsid w:val="004F5480"/>
    <w:rsid w:val="0050217D"/>
    <w:rsid w:val="00503AFF"/>
    <w:rsid w:val="00515551"/>
    <w:rsid w:val="0052623F"/>
    <w:rsid w:val="005269D4"/>
    <w:rsid w:val="0054208D"/>
    <w:rsid w:val="005431CA"/>
    <w:rsid w:val="00547D8C"/>
    <w:rsid w:val="0056351C"/>
    <w:rsid w:val="00566C7F"/>
    <w:rsid w:val="00576AB1"/>
    <w:rsid w:val="0058161C"/>
    <w:rsid w:val="00591C9B"/>
    <w:rsid w:val="00594844"/>
    <w:rsid w:val="005C6443"/>
    <w:rsid w:val="005D6C57"/>
    <w:rsid w:val="005F274F"/>
    <w:rsid w:val="006031CB"/>
    <w:rsid w:val="00615A77"/>
    <w:rsid w:val="006170BE"/>
    <w:rsid w:val="0062070E"/>
    <w:rsid w:val="006207FF"/>
    <w:rsid w:val="00620A8D"/>
    <w:rsid w:val="00633B05"/>
    <w:rsid w:val="00637154"/>
    <w:rsid w:val="00656357"/>
    <w:rsid w:val="00656F68"/>
    <w:rsid w:val="0066020E"/>
    <w:rsid w:val="00664524"/>
    <w:rsid w:val="006826FA"/>
    <w:rsid w:val="00684DC3"/>
    <w:rsid w:val="00691E13"/>
    <w:rsid w:val="00692520"/>
    <w:rsid w:val="006B0615"/>
    <w:rsid w:val="006B17D4"/>
    <w:rsid w:val="006B4B95"/>
    <w:rsid w:val="006D52EC"/>
    <w:rsid w:val="006D6A11"/>
    <w:rsid w:val="006D756B"/>
    <w:rsid w:val="006E1644"/>
    <w:rsid w:val="006E54AD"/>
    <w:rsid w:val="00703D6B"/>
    <w:rsid w:val="00704E54"/>
    <w:rsid w:val="0071475A"/>
    <w:rsid w:val="0072717D"/>
    <w:rsid w:val="0074540B"/>
    <w:rsid w:val="00747BC1"/>
    <w:rsid w:val="00763CEA"/>
    <w:rsid w:val="007763BB"/>
    <w:rsid w:val="007825B1"/>
    <w:rsid w:val="00786969"/>
    <w:rsid w:val="00790278"/>
    <w:rsid w:val="00792242"/>
    <w:rsid w:val="0079225E"/>
    <w:rsid w:val="007C1578"/>
    <w:rsid w:val="007C3A95"/>
    <w:rsid w:val="007C7FC0"/>
    <w:rsid w:val="007D143A"/>
    <w:rsid w:val="007E5B92"/>
    <w:rsid w:val="007F55E0"/>
    <w:rsid w:val="007F76E4"/>
    <w:rsid w:val="007F772F"/>
    <w:rsid w:val="0080101F"/>
    <w:rsid w:val="00803F7F"/>
    <w:rsid w:val="008113F3"/>
    <w:rsid w:val="008147A4"/>
    <w:rsid w:val="008266E6"/>
    <w:rsid w:val="00834B2C"/>
    <w:rsid w:val="00841B59"/>
    <w:rsid w:val="00842FDA"/>
    <w:rsid w:val="0084569F"/>
    <w:rsid w:val="00846A03"/>
    <w:rsid w:val="00846BEE"/>
    <w:rsid w:val="00847533"/>
    <w:rsid w:val="00851FC9"/>
    <w:rsid w:val="008538DF"/>
    <w:rsid w:val="00856F73"/>
    <w:rsid w:val="008603A4"/>
    <w:rsid w:val="00865A99"/>
    <w:rsid w:val="0086684B"/>
    <w:rsid w:val="00875981"/>
    <w:rsid w:val="00883019"/>
    <w:rsid w:val="0088547F"/>
    <w:rsid w:val="008B6582"/>
    <w:rsid w:val="008B680C"/>
    <w:rsid w:val="008C4FD7"/>
    <w:rsid w:val="008C625D"/>
    <w:rsid w:val="008D5EB9"/>
    <w:rsid w:val="008E027E"/>
    <w:rsid w:val="008E04E2"/>
    <w:rsid w:val="008E7593"/>
    <w:rsid w:val="008E7CAF"/>
    <w:rsid w:val="008F013F"/>
    <w:rsid w:val="00901F0D"/>
    <w:rsid w:val="00911BCD"/>
    <w:rsid w:val="009157E7"/>
    <w:rsid w:val="00915E10"/>
    <w:rsid w:val="009230E5"/>
    <w:rsid w:val="00926D75"/>
    <w:rsid w:val="00935517"/>
    <w:rsid w:val="0093574A"/>
    <w:rsid w:val="0093578A"/>
    <w:rsid w:val="00936E9F"/>
    <w:rsid w:val="00944F7E"/>
    <w:rsid w:val="00950C7D"/>
    <w:rsid w:val="00951D18"/>
    <w:rsid w:val="009553FC"/>
    <w:rsid w:val="00955C24"/>
    <w:rsid w:val="0095619D"/>
    <w:rsid w:val="00957587"/>
    <w:rsid w:val="00974119"/>
    <w:rsid w:val="00991605"/>
    <w:rsid w:val="009A22E8"/>
    <w:rsid w:val="009A50B8"/>
    <w:rsid w:val="009B0539"/>
    <w:rsid w:val="009B5650"/>
    <w:rsid w:val="009C5BB7"/>
    <w:rsid w:val="009C604E"/>
    <w:rsid w:val="009C76BC"/>
    <w:rsid w:val="009D7C32"/>
    <w:rsid w:val="009E173E"/>
    <w:rsid w:val="009E4EEA"/>
    <w:rsid w:val="009F60A9"/>
    <w:rsid w:val="00A06DF8"/>
    <w:rsid w:val="00A10333"/>
    <w:rsid w:val="00A119D6"/>
    <w:rsid w:val="00A15AF3"/>
    <w:rsid w:val="00A16674"/>
    <w:rsid w:val="00A25ACC"/>
    <w:rsid w:val="00A31840"/>
    <w:rsid w:val="00A32DC8"/>
    <w:rsid w:val="00A431C9"/>
    <w:rsid w:val="00A62EF3"/>
    <w:rsid w:val="00A6593F"/>
    <w:rsid w:val="00A77036"/>
    <w:rsid w:val="00A776B9"/>
    <w:rsid w:val="00A812AB"/>
    <w:rsid w:val="00A85F25"/>
    <w:rsid w:val="00A92ABF"/>
    <w:rsid w:val="00AA76BD"/>
    <w:rsid w:val="00AB7E82"/>
    <w:rsid w:val="00AC5740"/>
    <w:rsid w:val="00AD223F"/>
    <w:rsid w:val="00AD5458"/>
    <w:rsid w:val="00AD7292"/>
    <w:rsid w:val="00AE53C1"/>
    <w:rsid w:val="00AF1A46"/>
    <w:rsid w:val="00B07478"/>
    <w:rsid w:val="00B1160A"/>
    <w:rsid w:val="00B13557"/>
    <w:rsid w:val="00B17DCE"/>
    <w:rsid w:val="00B31711"/>
    <w:rsid w:val="00B41989"/>
    <w:rsid w:val="00B51DDF"/>
    <w:rsid w:val="00B53260"/>
    <w:rsid w:val="00B55071"/>
    <w:rsid w:val="00B571BA"/>
    <w:rsid w:val="00B721FD"/>
    <w:rsid w:val="00B72B32"/>
    <w:rsid w:val="00B763B6"/>
    <w:rsid w:val="00B9435F"/>
    <w:rsid w:val="00B96EB5"/>
    <w:rsid w:val="00BD6951"/>
    <w:rsid w:val="00BE46D4"/>
    <w:rsid w:val="00BE6BB4"/>
    <w:rsid w:val="00BF3120"/>
    <w:rsid w:val="00BF590F"/>
    <w:rsid w:val="00BF5949"/>
    <w:rsid w:val="00BF6E16"/>
    <w:rsid w:val="00C01E08"/>
    <w:rsid w:val="00C24847"/>
    <w:rsid w:val="00C27CF8"/>
    <w:rsid w:val="00C30490"/>
    <w:rsid w:val="00C33C1E"/>
    <w:rsid w:val="00C35642"/>
    <w:rsid w:val="00C42E9E"/>
    <w:rsid w:val="00C46F22"/>
    <w:rsid w:val="00C62C88"/>
    <w:rsid w:val="00C65B89"/>
    <w:rsid w:val="00C765D5"/>
    <w:rsid w:val="00C965BF"/>
    <w:rsid w:val="00CC01BD"/>
    <w:rsid w:val="00CD3112"/>
    <w:rsid w:val="00CD43F3"/>
    <w:rsid w:val="00CD44A1"/>
    <w:rsid w:val="00CD609D"/>
    <w:rsid w:val="00CE24B8"/>
    <w:rsid w:val="00CE4188"/>
    <w:rsid w:val="00CE43E2"/>
    <w:rsid w:val="00CF3102"/>
    <w:rsid w:val="00CF3194"/>
    <w:rsid w:val="00D00F1E"/>
    <w:rsid w:val="00D05A6C"/>
    <w:rsid w:val="00D064DA"/>
    <w:rsid w:val="00D20769"/>
    <w:rsid w:val="00D44543"/>
    <w:rsid w:val="00D50153"/>
    <w:rsid w:val="00D53DBE"/>
    <w:rsid w:val="00D710D7"/>
    <w:rsid w:val="00D74FBD"/>
    <w:rsid w:val="00D77C41"/>
    <w:rsid w:val="00D87FF3"/>
    <w:rsid w:val="00D92FE9"/>
    <w:rsid w:val="00D96B96"/>
    <w:rsid w:val="00DB1501"/>
    <w:rsid w:val="00DB6184"/>
    <w:rsid w:val="00DC090E"/>
    <w:rsid w:val="00DC161F"/>
    <w:rsid w:val="00DE1031"/>
    <w:rsid w:val="00DF57B9"/>
    <w:rsid w:val="00E01C61"/>
    <w:rsid w:val="00E03641"/>
    <w:rsid w:val="00E13965"/>
    <w:rsid w:val="00E205FC"/>
    <w:rsid w:val="00E32761"/>
    <w:rsid w:val="00E340EC"/>
    <w:rsid w:val="00E50BD0"/>
    <w:rsid w:val="00E567E1"/>
    <w:rsid w:val="00E64993"/>
    <w:rsid w:val="00E76828"/>
    <w:rsid w:val="00E9470E"/>
    <w:rsid w:val="00EA0E1C"/>
    <w:rsid w:val="00EA3E2C"/>
    <w:rsid w:val="00EA46FB"/>
    <w:rsid w:val="00EB7BDE"/>
    <w:rsid w:val="00EE2D7C"/>
    <w:rsid w:val="00EE596E"/>
    <w:rsid w:val="00EE6969"/>
    <w:rsid w:val="00EE743A"/>
    <w:rsid w:val="00EF31EB"/>
    <w:rsid w:val="00EF57E0"/>
    <w:rsid w:val="00EF5B2C"/>
    <w:rsid w:val="00F00481"/>
    <w:rsid w:val="00F00AD9"/>
    <w:rsid w:val="00F1272A"/>
    <w:rsid w:val="00F132F2"/>
    <w:rsid w:val="00F20DD8"/>
    <w:rsid w:val="00F50550"/>
    <w:rsid w:val="00F51A50"/>
    <w:rsid w:val="00F547A6"/>
    <w:rsid w:val="00F62011"/>
    <w:rsid w:val="00F73F1B"/>
    <w:rsid w:val="00F85944"/>
    <w:rsid w:val="00F90B36"/>
    <w:rsid w:val="00FA23EB"/>
    <w:rsid w:val="00FC6516"/>
    <w:rsid w:val="00FD2A6D"/>
    <w:rsid w:val="00FE4576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600E"/>
  <w15:chartTrackingRefBased/>
  <w15:docId w15:val="{71ED9E1F-EF98-6243-8F3E-549D413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48151E"/>
    <w:pPr>
      <w:spacing w:line="480" w:lineRule="auto"/>
    </w:pPr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8151E"/>
    <w:rPr>
      <w:rFonts w:ascii="Arial" w:eastAsia="Times New Roman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815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151E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51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E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2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623F"/>
  </w:style>
  <w:style w:type="paragraph" w:styleId="Header">
    <w:name w:val="header"/>
    <w:basedOn w:val="Normal"/>
    <w:link w:val="HeaderChar"/>
    <w:uiPriority w:val="99"/>
    <w:unhideWhenUsed/>
    <w:rsid w:val="0052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23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505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Jeremy</dc:creator>
  <cp:keywords/>
  <dc:description/>
  <cp:lastModifiedBy>Suresh Perumal, Integra-PDY, IN</cp:lastModifiedBy>
  <cp:revision>2</cp:revision>
  <cp:lastPrinted>2020-11-14T03:49:00Z</cp:lastPrinted>
  <dcterms:created xsi:type="dcterms:W3CDTF">2021-09-24T07:36:00Z</dcterms:created>
  <dcterms:modified xsi:type="dcterms:W3CDTF">2021-09-24T07:36:00Z</dcterms:modified>
</cp:coreProperties>
</file>