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DA3F5" w14:textId="70207856" w:rsidR="008A1D72" w:rsidRPr="00861B35" w:rsidRDefault="008A1D72" w:rsidP="008A1D72">
      <w:pPr>
        <w:spacing w:line="360" w:lineRule="auto"/>
        <w:jc w:val="center"/>
        <w:rPr>
          <w:b/>
          <w:bCs/>
          <w:lang w:val="en-US"/>
        </w:rPr>
      </w:pPr>
      <w:r w:rsidRPr="00861B35">
        <w:rPr>
          <w:b/>
          <w:bCs/>
          <w:lang w:val="en-US"/>
        </w:rPr>
        <w:t>Supplementary Materials</w:t>
      </w:r>
    </w:p>
    <w:p w14:paraId="249C8F96" w14:textId="178E6453" w:rsidR="008A1D72" w:rsidRPr="00861B35" w:rsidRDefault="0051606A" w:rsidP="008A1D72">
      <w:pPr>
        <w:rPr>
          <w:lang w:val="en-US"/>
        </w:rPr>
      </w:pPr>
      <w:r>
        <w:rPr>
          <w:lang w:val="en-US"/>
        </w:rPr>
        <w:t>Figure</w:t>
      </w:r>
      <w:r w:rsidR="008A1D72" w:rsidRPr="00861B35">
        <w:rPr>
          <w:lang w:val="en-US"/>
        </w:rPr>
        <w:t xml:space="preserve"> S1. The Stability of Strength Centrality Scores Using Case-Dropping Bootstrapping at </w:t>
      </w:r>
      <w:r w:rsidR="00417B20" w:rsidRPr="00861B35">
        <w:rPr>
          <w:lang w:val="en-US"/>
        </w:rPr>
        <w:t>T1-4</w:t>
      </w:r>
    </w:p>
    <w:p w14:paraId="589E2A89" w14:textId="77777777" w:rsidR="008A1D72" w:rsidRPr="00861B35" w:rsidRDefault="008A1D72" w:rsidP="008A1D72">
      <w:pPr>
        <w:rPr>
          <w:lang w:val="en-US"/>
        </w:rPr>
      </w:pPr>
    </w:p>
    <w:p w14:paraId="20E84B0A" w14:textId="4EAEFFDD" w:rsidR="008A1D72" w:rsidRPr="00861B35" w:rsidRDefault="0051606A" w:rsidP="008A1D72">
      <w:pPr>
        <w:rPr>
          <w:lang w:val="en-US"/>
        </w:rPr>
      </w:pPr>
      <w:r>
        <w:rPr>
          <w:lang w:val="en-US"/>
        </w:rPr>
        <w:t>Figure</w:t>
      </w:r>
      <w:r w:rsidR="008A1D72" w:rsidRPr="00861B35">
        <w:rPr>
          <w:lang w:val="en-US"/>
        </w:rPr>
        <w:t xml:space="preserve"> S2. The Stability of Bridge Expected Influence (BEI) Scores Using Case-Dropping Bootstrapping at </w:t>
      </w:r>
      <w:r w:rsidR="00417B20" w:rsidRPr="00861B35">
        <w:rPr>
          <w:lang w:val="en-US"/>
        </w:rPr>
        <w:t>T1-4</w:t>
      </w:r>
    </w:p>
    <w:p w14:paraId="1DA9DD81" w14:textId="77777777" w:rsidR="008A1D72" w:rsidRPr="00861B35" w:rsidRDefault="008A1D72" w:rsidP="008A1D72">
      <w:pPr>
        <w:rPr>
          <w:lang w:val="en-US"/>
        </w:rPr>
      </w:pPr>
    </w:p>
    <w:p w14:paraId="424AC12B" w14:textId="18A3674C" w:rsidR="008A1D72" w:rsidRPr="00861B35" w:rsidRDefault="008A1D72" w:rsidP="008A1D72">
      <w:pPr>
        <w:rPr>
          <w:color w:val="000000" w:themeColor="text1"/>
          <w:lang w:val="en-US"/>
        </w:rPr>
      </w:pPr>
      <w:r w:rsidRPr="00861B35">
        <w:rPr>
          <w:lang w:val="en-US"/>
        </w:rPr>
        <w:t xml:space="preserve">Table S3-6. </w:t>
      </w:r>
      <w:r w:rsidRPr="00861B35">
        <w:rPr>
          <w:color w:val="000000" w:themeColor="text1"/>
          <w:lang w:val="en-US"/>
        </w:rPr>
        <w:t>Bootstrapped Confidence Intervals of All Edge-Weights at T1-4</w:t>
      </w:r>
    </w:p>
    <w:p w14:paraId="4FBE8262" w14:textId="77777777" w:rsidR="008A1D72" w:rsidRPr="00861B35" w:rsidRDefault="008A1D72" w:rsidP="008A1D72">
      <w:pPr>
        <w:rPr>
          <w:lang w:val="en-US"/>
        </w:rPr>
      </w:pPr>
    </w:p>
    <w:p w14:paraId="5E8D81C2" w14:textId="5A9CD725" w:rsidR="008A1D72" w:rsidRPr="00861B35" w:rsidRDefault="008A1D72" w:rsidP="008A1D72">
      <w:pPr>
        <w:rPr>
          <w:lang w:val="en-US"/>
        </w:rPr>
      </w:pPr>
      <w:r w:rsidRPr="00861B35">
        <w:rPr>
          <w:lang w:val="en-US"/>
        </w:rPr>
        <w:t>Figure S7-10. Bootstrapped Difference Tests for Strength Centrality Index at T1-4</w:t>
      </w:r>
    </w:p>
    <w:p w14:paraId="4DF695B6" w14:textId="77777777" w:rsidR="008A1D72" w:rsidRPr="00861B35" w:rsidRDefault="008A1D72" w:rsidP="008A1D72">
      <w:pPr>
        <w:rPr>
          <w:lang w:val="en-US"/>
        </w:rPr>
      </w:pPr>
    </w:p>
    <w:p w14:paraId="7977D3F4" w14:textId="07DA36D8" w:rsidR="008A1D72" w:rsidRPr="00861B35" w:rsidRDefault="008A1D72" w:rsidP="008A1D72">
      <w:pPr>
        <w:rPr>
          <w:lang w:val="en-US"/>
        </w:rPr>
      </w:pPr>
      <w:r w:rsidRPr="00861B35">
        <w:rPr>
          <w:lang w:val="en-US"/>
        </w:rPr>
        <w:t>Figure S11-14 Bootstrapped Difference Tests for Edge-Weights at T1-4</w:t>
      </w:r>
    </w:p>
    <w:p w14:paraId="5976BA22" w14:textId="77777777" w:rsidR="008A1D72" w:rsidRPr="00861B35" w:rsidRDefault="008A1D72" w:rsidP="008A1D72">
      <w:pPr>
        <w:rPr>
          <w:lang w:val="en-US"/>
        </w:rPr>
      </w:pPr>
    </w:p>
    <w:p w14:paraId="6CEA0FC0" w14:textId="70549F80" w:rsidR="008A1D72" w:rsidRPr="00861B35" w:rsidRDefault="008A1D72" w:rsidP="008A1D72">
      <w:pPr>
        <w:rPr>
          <w:lang w:val="en-US"/>
        </w:rPr>
      </w:pPr>
      <w:r w:rsidRPr="00861B35">
        <w:rPr>
          <w:lang w:val="en-US"/>
        </w:rPr>
        <w:t xml:space="preserve">Figure S15. </w:t>
      </w:r>
      <w:r w:rsidRPr="00861B35">
        <w:rPr>
          <w:color w:val="000000"/>
          <w:lang w:val="en-US"/>
        </w:rPr>
        <w:t>A Directed Acyclic Graph (DAG) of PSTD and Depression Symptoms at T1 (</w:t>
      </w:r>
      <w:r w:rsidRPr="00861B35">
        <w:rPr>
          <w:i/>
          <w:iCs/>
          <w:color w:val="000000"/>
          <w:lang w:val="en-US"/>
        </w:rPr>
        <w:t>N</w:t>
      </w:r>
      <w:r w:rsidRPr="00861B35">
        <w:rPr>
          <w:color w:val="000000"/>
          <w:lang w:val="en-US"/>
        </w:rPr>
        <w:t xml:space="preserve"> = 340)</w:t>
      </w:r>
    </w:p>
    <w:p w14:paraId="698B966D" w14:textId="6A6B2F5C" w:rsidR="008A1D72" w:rsidRPr="00861B35" w:rsidRDefault="008A1D72" w:rsidP="008A1D72">
      <w:pPr>
        <w:rPr>
          <w:lang w:val="en-US"/>
        </w:rPr>
      </w:pPr>
    </w:p>
    <w:p w14:paraId="2597959E" w14:textId="765DFD56" w:rsidR="008A1D72" w:rsidRPr="00E801E4" w:rsidRDefault="008A1D72" w:rsidP="001C0104">
      <w:pPr>
        <w:rPr>
          <w:lang w:val="en-US"/>
        </w:rPr>
      </w:pPr>
    </w:p>
    <w:p w14:paraId="766AD761" w14:textId="77777777" w:rsidR="008A1D72" w:rsidRPr="00E801E4" w:rsidRDefault="008A1D72" w:rsidP="001C0104">
      <w:pPr>
        <w:rPr>
          <w:lang w:val="en-US"/>
        </w:rPr>
      </w:pPr>
    </w:p>
    <w:p w14:paraId="4CDEC28F" w14:textId="77777777" w:rsidR="008A1D72" w:rsidRPr="00E801E4" w:rsidRDefault="008A1D72" w:rsidP="001C0104">
      <w:pPr>
        <w:rPr>
          <w:lang w:val="en-US"/>
        </w:rPr>
      </w:pPr>
    </w:p>
    <w:p w14:paraId="1E1213FC" w14:textId="77777777" w:rsidR="008A1D72" w:rsidRPr="00E801E4" w:rsidRDefault="008A1D72" w:rsidP="001C0104">
      <w:pPr>
        <w:rPr>
          <w:lang w:val="en-US"/>
        </w:rPr>
      </w:pPr>
    </w:p>
    <w:p w14:paraId="1D4486D5" w14:textId="77777777" w:rsidR="008A1D72" w:rsidRPr="00E801E4" w:rsidRDefault="008A1D72" w:rsidP="001C0104">
      <w:pPr>
        <w:rPr>
          <w:lang w:val="en-US"/>
        </w:rPr>
      </w:pPr>
    </w:p>
    <w:p w14:paraId="2A8E85D0" w14:textId="77777777" w:rsidR="008A1D72" w:rsidRPr="00E801E4" w:rsidRDefault="008A1D72" w:rsidP="001C0104">
      <w:pPr>
        <w:rPr>
          <w:lang w:val="en-US"/>
        </w:rPr>
      </w:pPr>
    </w:p>
    <w:p w14:paraId="5BDEEDE8" w14:textId="77777777" w:rsidR="008A1D72" w:rsidRPr="00E801E4" w:rsidRDefault="008A1D72" w:rsidP="001C0104">
      <w:pPr>
        <w:rPr>
          <w:lang w:val="en-US"/>
        </w:rPr>
      </w:pPr>
    </w:p>
    <w:p w14:paraId="161AFA37" w14:textId="77777777" w:rsidR="008A1D72" w:rsidRPr="00E801E4" w:rsidRDefault="008A1D72" w:rsidP="001C0104">
      <w:pPr>
        <w:rPr>
          <w:lang w:val="en-US"/>
        </w:rPr>
      </w:pPr>
    </w:p>
    <w:p w14:paraId="5876FA3A" w14:textId="77777777" w:rsidR="008A1D72" w:rsidRPr="00E801E4" w:rsidRDefault="008A1D72" w:rsidP="001C0104">
      <w:pPr>
        <w:rPr>
          <w:lang w:val="en-US"/>
        </w:rPr>
      </w:pPr>
    </w:p>
    <w:p w14:paraId="796686B0" w14:textId="77777777" w:rsidR="008A1D72" w:rsidRPr="00E801E4" w:rsidRDefault="008A1D72" w:rsidP="001C0104">
      <w:pPr>
        <w:rPr>
          <w:lang w:val="en-US"/>
        </w:rPr>
      </w:pPr>
    </w:p>
    <w:p w14:paraId="4D6388F2" w14:textId="77777777" w:rsidR="008A1D72" w:rsidRPr="00E801E4" w:rsidRDefault="008A1D72" w:rsidP="001C0104">
      <w:pPr>
        <w:rPr>
          <w:lang w:val="en-US"/>
        </w:rPr>
      </w:pPr>
    </w:p>
    <w:p w14:paraId="7C925225" w14:textId="77777777" w:rsidR="008A1D72" w:rsidRPr="00E801E4" w:rsidRDefault="008A1D72" w:rsidP="001C0104">
      <w:pPr>
        <w:rPr>
          <w:lang w:val="en-US"/>
        </w:rPr>
      </w:pPr>
    </w:p>
    <w:p w14:paraId="33AE7B2C" w14:textId="77777777" w:rsidR="008A1D72" w:rsidRPr="00E801E4" w:rsidRDefault="008A1D72" w:rsidP="001C0104">
      <w:pPr>
        <w:rPr>
          <w:lang w:val="en-US"/>
        </w:rPr>
      </w:pPr>
    </w:p>
    <w:p w14:paraId="7EF82300" w14:textId="77777777" w:rsidR="008A1D72" w:rsidRPr="00E801E4" w:rsidRDefault="008A1D72" w:rsidP="001C0104">
      <w:pPr>
        <w:rPr>
          <w:lang w:val="en-US"/>
        </w:rPr>
      </w:pPr>
    </w:p>
    <w:p w14:paraId="5C07FC9B" w14:textId="77777777" w:rsidR="008A1D72" w:rsidRPr="00E801E4" w:rsidRDefault="008A1D72" w:rsidP="001C0104">
      <w:pPr>
        <w:rPr>
          <w:lang w:val="en-US"/>
        </w:rPr>
      </w:pPr>
    </w:p>
    <w:p w14:paraId="7E7C37B4" w14:textId="77777777" w:rsidR="008A1D72" w:rsidRPr="00E801E4" w:rsidRDefault="008A1D72" w:rsidP="001C0104">
      <w:pPr>
        <w:rPr>
          <w:lang w:val="en-US"/>
        </w:rPr>
      </w:pPr>
    </w:p>
    <w:p w14:paraId="75FA8ECB" w14:textId="77777777" w:rsidR="008A1D72" w:rsidRPr="00E801E4" w:rsidRDefault="008A1D72" w:rsidP="001C0104">
      <w:pPr>
        <w:rPr>
          <w:lang w:val="en-US"/>
        </w:rPr>
      </w:pPr>
    </w:p>
    <w:p w14:paraId="7646C89D" w14:textId="77777777" w:rsidR="008A1D72" w:rsidRPr="00E801E4" w:rsidRDefault="008A1D72" w:rsidP="001C0104">
      <w:pPr>
        <w:rPr>
          <w:lang w:val="en-US"/>
        </w:rPr>
      </w:pPr>
    </w:p>
    <w:p w14:paraId="38E83CC5" w14:textId="77777777" w:rsidR="008A1D72" w:rsidRPr="00E801E4" w:rsidRDefault="008A1D72" w:rsidP="001C0104">
      <w:pPr>
        <w:rPr>
          <w:lang w:val="en-US"/>
        </w:rPr>
      </w:pPr>
    </w:p>
    <w:p w14:paraId="2904B48D" w14:textId="77777777" w:rsidR="008A1D72" w:rsidRPr="00E801E4" w:rsidRDefault="008A1D72" w:rsidP="001C0104">
      <w:pPr>
        <w:rPr>
          <w:lang w:val="en-US"/>
        </w:rPr>
      </w:pPr>
    </w:p>
    <w:p w14:paraId="79812E87" w14:textId="77777777" w:rsidR="008A1D72" w:rsidRPr="00E801E4" w:rsidRDefault="008A1D72" w:rsidP="001C0104">
      <w:pPr>
        <w:rPr>
          <w:lang w:val="en-US"/>
        </w:rPr>
      </w:pPr>
    </w:p>
    <w:p w14:paraId="7A3A07A1" w14:textId="77777777" w:rsidR="008A1D72" w:rsidRPr="00E801E4" w:rsidRDefault="008A1D72" w:rsidP="001C0104">
      <w:pPr>
        <w:rPr>
          <w:lang w:val="en-US"/>
        </w:rPr>
      </w:pPr>
    </w:p>
    <w:p w14:paraId="036BE80D" w14:textId="77777777" w:rsidR="008A1D72" w:rsidRPr="00E801E4" w:rsidRDefault="008A1D72" w:rsidP="001C0104">
      <w:pPr>
        <w:rPr>
          <w:lang w:val="en-US"/>
        </w:rPr>
      </w:pPr>
    </w:p>
    <w:p w14:paraId="0C5F9F79" w14:textId="77777777" w:rsidR="008A1D72" w:rsidRPr="00E801E4" w:rsidRDefault="008A1D72" w:rsidP="001C0104">
      <w:pPr>
        <w:rPr>
          <w:lang w:val="en-US"/>
        </w:rPr>
      </w:pPr>
    </w:p>
    <w:p w14:paraId="795D0C62" w14:textId="77777777" w:rsidR="008A1D72" w:rsidRPr="00E801E4" w:rsidRDefault="008A1D72" w:rsidP="001C0104">
      <w:pPr>
        <w:rPr>
          <w:lang w:val="en-US"/>
        </w:rPr>
      </w:pPr>
    </w:p>
    <w:p w14:paraId="7C27FD4E" w14:textId="77777777" w:rsidR="008A1D72" w:rsidRPr="00E801E4" w:rsidRDefault="008A1D72" w:rsidP="001C0104">
      <w:pPr>
        <w:rPr>
          <w:lang w:val="en-US"/>
        </w:rPr>
      </w:pPr>
    </w:p>
    <w:p w14:paraId="7D153BDB" w14:textId="01B0F15C" w:rsidR="001C0104" w:rsidRPr="00861B35" w:rsidRDefault="001C0104" w:rsidP="001C0104">
      <w:r w:rsidRPr="00861B35">
        <w:rPr>
          <w:noProof/>
        </w:rPr>
        <w:lastRenderedPageBreak/>
        <w:drawing>
          <wp:inline distT="0" distB="0" distL="0" distR="0" wp14:anchorId="764D53A9" wp14:editId="0F8F7CB3">
            <wp:extent cx="5943600" cy="44932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910E" w14:textId="332DA814" w:rsidR="00CA240C" w:rsidRPr="00861B35" w:rsidRDefault="001C0104" w:rsidP="00CA240C">
      <w:pPr>
        <w:spacing w:before="100" w:beforeAutospacing="1" w:after="100" w:afterAutospacing="1"/>
        <w:rPr>
          <w:i/>
          <w:iCs/>
          <w:lang w:val="en-US"/>
        </w:rPr>
      </w:pPr>
      <w:r w:rsidRPr="00861B35">
        <w:rPr>
          <w:color w:val="000000"/>
          <w:lang w:val="en-US"/>
        </w:rPr>
        <w:t>Figure S1.</w:t>
      </w:r>
      <w:r w:rsidR="00D71C2D" w:rsidRPr="00861B35">
        <w:rPr>
          <w:lang w:val="en-US"/>
        </w:rPr>
        <w:t xml:space="preserve"> </w:t>
      </w:r>
      <w:r w:rsidR="00CA240C" w:rsidRPr="00861B35">
        <w:rPr>
          <w:i/>
          <w:iCs/>
          <w:lang w:val="en-US"/>
        </w:rPr>
        <w:t>The Stability of Strength Centrality Scores Using Case-Dropping Bootstrapping</w:t>
      </w:r>
      <w:r w:rsidR="00CA240C" w:rsidRPr="00861B35">
        <w:rPr>
          <w:lang w:val="en-US"/>
        </w:rPr>
        <w:t xml:space="preserve"> </w:t>
      </w:r>
      <w:r w:rsidR="008A1D72" w:rsidRPr="00861B35">
        <w:rPr>
          <w:i/>
          <w:iCs/>
          <w:lang w:val="en-US"/>
        </w:rPr>
        <w:t xml:space="preserve">at </w:t>
      </w:r>
      <w:r w:rsidR="00417B20" w:rsidRPr="00861B35">
        <w:rPr>
          <w:i/>
          <w:iCs/>
          <w:lang w:val="en-US"/>
        </w:rPr>
        <w:t>T1-4</w:t>
      </w:r>
    </w:p>
    <w:p w14:paraId="2DE737D5" w14:textId="26A55625" w:rsidR="001C0104" w:rsidRPr="00861B35" w:rsidRDefault="00CA240C" w:rsidP="00CA240C">
      <w:pPr>
        <w:spacing w:before="100" w:beforeAutospacing="1" w:after="100" w:afterAutospacing="1"/>
        <w:rPr>
          <w:i/>
          <w:iCs/>
          <w:lang w:val="en-US"/>
        </w:rPr>
      </w:pPr>
      <w:r w:rsidRPr="00861B35">
        <w:rPr>
          <w:i/>
          <w:iCs/>
          <w:lang w:val="en-US"/>
        </w:rPr>
        <w:t>Note.</w:t>
      </w:r>
      <w:r w:rsidRPr="00861B35">
        <w:rPr>
          <w:lang w:val="en-US"/>
        </w:rPr>
        <w:t xml:space="preserve"> The x-axis denotes the percentage of </w:t>
      </w:r>
      <w:r w:rsidR="008A1D72" w:rsidRPr="00861B35">
        <w:rPr>
          <w:lang w:val="en-US"/>
        </w:rPr>
        <w:t>participants</w:t>
      </w:r>
      <w:r w:rsidRPr="00861B35">
        <w:rPr>
          <w:lang w:val="en-US"/>
        </w:rPr>
        <w:t xml:space="preserve"> of the original sample included</w:t>
      </w:r>
      <w:r w:rsidR="008A1D72" w:rsidRPr="00861B35">
        <w:rPr>
          <w:lang w:val="en-US"/>
        </w:rPr>
        <w:t xml:space="preserve"> in the new samples</w:t>
      </w:r>
      <w:r w:rsidRPr="00861B35">
        <w:rPr>
          <w:lang w:val="en-US"/>
        </w:rPr>
        <w:t xml:space="preserve">. The y-axis indicates the averaged correlations between the centrality </w:t>
      </w:r>
      <w:r w:rsidR="008A1D72" w:rsidRPr="00861B35">
        <w:rPr>
          <w:lang w:val="en-US"/>
        </w:rPr>
        <w:t>scores</w:t>
      </w:r>
      <w:r w:rsidRPr="00861B35">
        <w:rPr>
          <w:lang w:val="en-US"/>
        </w:rPr>
        <w:t xml:space="preserve"> from the original network and the centrality </w:t>
      </w:r>
      <w:r w:rsidR="008A1D72" w:rsidRPr="00861B35">
        <w:rPr>
          <w:lang w:val="en-US"/>
        </w:rPr>
        <w:t>scores</w:t>
      </w:r>
      <w:r w:rsidRPr="00861B35">
        <w:rPr>
          <w:lang w:val="en-US"/>
        </w:rPr>
        <w:t xml:space="preserve"> from the networks that were </w:t>
      </w:r>
      <w:r w:rsidR="008A1D72" w:rsidRPr="00861B35">
        <w:rPr>
          <w:lang w:val="en-US"/>
        </w:rPr>
        <w:t xml:space="preserve">newly </w:t>
      </w:r>
      <w:r w:rsidRPr="00861B35">
        <w:rPr>
          <w:lang w:val="en-US"/>
        </w:rPr>
        <w:t xml:space="preserve">estimated after </w:t>
      </w:r>
      <w:r w:rsidR="008A1D72" w:rsidRPr="00861B35">
        <w:rPr>
          <w:lang w:val="en-US"/>
        </w:rPr>
        <w:t>dropping increasing percentages of participants.</w:t>
      </w:r>
    </w:p>
    <w:p w14:paraId="1A55C23E" w14:textId="77777777" w:rsidR="001C0104" w:rsidRPr="00861B35" w:rsidRDefault="001C0104" w:rsidP="001C0104">
      <w:pPr>
        <w:spacing w:before="100" w:beforeAutospacing="1" w:after="100" w:afterAutospacing="1"/>
        <w:ind w:left="567" w:hanging="567"/>
        <w:rPr>
          <w:color w:val="000000"/>
          <w:lang w:val="en-US"/>
        </w:rPr>
      </w:pPr>
    </w:p>
    <w:p w14:paraId="67099286" w14:textId="77777777" w:rsidR="001C0104" w:rsidRPr="00861B35" w:rsidRDefault="001C0104" w:rsidP="001C0104">
      <w:pPr>
        <w:spacing w:before="100" w:beforeAutospacing="1" w:after="100" w:afterAutospacing="1"/>
        <w:ind w:left="567" w:hanging="567"/>
        <w:rPr>
          <w:color w:val="000000"/>
          <w:lang w:val="en-US"/>
        </w:rPr>
      </w:pPr>
    </w:p>
    <w:p w14:paraId="7546FBE3" w14:textId="77777777" w:rsidR="001C0104" w:rsidRPr="00861B35" w:rsidRDefault="001C0104" w:rsidP="001C0104">
      <w:pPr>
        <w:spacing w:before="100" w:beforeAutospacing="1" w:after="100" w:afterAutospacing="1"/>
        <w:ind w:left="567" w:hanging="567"/>
        <w:rPr>
          <w:color w:val="000000"/>
          <w:lang w:val="en-US"/>
        </w:rPr>
      </w:pPr>
    </w:p>
    <w:p w14:paraId="3F3A322B" w14:textId="77777777" w:rsidR="001C0104" w:rsidRPr="00861B35" w:rsidRDefault="001C0104" w:rsidP="001C0104">
      <w:pPr>
        <w:spacing w:before="100" w:beforeAutospacing="1" w:after="100" w:afterAutospacing="1"/>
        <w:ind w:left="567" w:hanging="567"/>
        <w:rPr>
          <w:color w:val="000000"/>
          <w:lang w:val="en-US"/>
        </w:rPr>
      </w:pPr>
    </w:p>
    <w:p w14:paraId="36A37B75" w14:textId="77777777" w:rsidR="001C0104" w:rsidRPr="00861B35" w:rsidRDefault="001C0104" w:rsidP="001C0104">
      <w:pPr>
        <w:spacing w:before="100" w:beforeAutospacing="1" w:after="100" w:afterAutospacing="1"/>
        <w:ind w:left="567" w:hanging="567"/>
        <w:rPr>
          <w:color w:val="000000"/>
          <w:lang w:val="en-US"/>
        </w:rPr>
      </w:pPr>
    </w:p>
    <w:p w14:paraId="38C3F732" w14:textId="77777777" w:rsidR="001C0104" w:rsidRPr="00861B35" w:rsidRDefault="001C0104" w:rsidP="001C0104">
      <w:pPr>
        <w:spacing w:before="100" w:beforeAutospacing="1" w:after="100" w:afterAutospacing="1"/>
        <w:ind w:left="567" w:hanging="567"/>
        <w:rPr>
          <w:color w:val="000000"/>
          <w:lang w:val="en-US"/>
        </w:rPr>
      </w:pPr>
    </w:p>
    <w:p w14:paraId="50EEFBC6" w14:textId="77777777" w:rsidR="001C0104" w:rsidRPr="00861B35" w:rsidRDefault="001C0104" w:rsidP="001C0104">
      <w:pPr>
        <w:spacing w:before="100" w:beforeAutospacing="1" w:after="100" w:afterAutospacing="1"/>
        <w:ind w:left="567" w:hanging="567"/>
        <w:rPr>
          <w:color w:val="000000"/>
          <w:lang w:val="en-US"/>
        </w:rPr>
      </w:pPr>
      <w:r w:rsidRPr="00861B35">
        <w:rPr>
          <w:noProof/>
          <w:color w:val="000000"/>
          <w:lang w:val="en-US"/>
        </w:rPr>
        <w:lastRenderedPageBreak/>
        <w:drawing>
          <wp:inline distT="0" distB="0" distL="0" distR="0" wp14:anchorId="0EAF8DB6" wp14:editId="7FDC38CF">
            <wp:extent cx="5943600" cy="44932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CEBFE" w14:textId="36FD7BF6" w:rsidR="008A1D72" w:rsidRPr="00861B35" w:rsidRDefault="001C0104" w:rsidP="008A1D72">
      <w:pPr>
        <w:spacing w:before="100" w:beforeAutospacing="1" w:after="100" w:afterAutospacing="1"/>
        <w:rPr>
          <w:i/>
          <w:iCs/>
          <w:lang w:val="en-US"/>
        </w:rPr>
      </w:pPr>
      <w:r w:rsidRPr="00861B35">
        <w:rPr>
          <w:color w:val="000000"/>
          <w:lang w:val="en-US"/>
        </w:rPr>
        <w:t>Figure S2.</w:t>
      </w:r>
      <w:r w:rsidR="008A1D72" w:rsidRPr="00861B35">
        <w:rPr>
          <w:color w:val="000000"/>
          <w:lang w:val="en-US"/>
        </w:rPr>
        <w:t xml:space="preserve"> </w:t>
      </w:r>
      <w:r w:rsidR="008A1D72" w:rsidRPr="00861B35">
        <w:rPr>
          <w:i/>
          <w:iCs/>
          <w:lang w:val="en-US"/>
        </w:rPr>
        <w:t>The Stability of Bridge Expected Influence (BEI) Scores Using Case-Dropping Bootstrapping</w:t>
      </w:r>
      <w:r w:rsidR="008A1D72" w:rsidRPr="00861B35">
        <w:rPr>
          <w:lang w:val="en-US"/>
        </w:rPr>
        <w:t xml:space="preserve"> </w:t>
      </w:r>
      <w:r w:rsidR="008A1D72" w:rsidRPr="00861B35">
        <w:rPr>
          <w:i/>
          <w:iCs/>
          <w:lang w:val="en-US"/>
        </w:rPr>
        <w:t xml:space="preserve">at </w:t>
      </w:r>
      <w:r w:rsidR="00417B20" w:rsidRPr="00861B35">
        <w:rPr>
          <w:i/>
          <w:iCs/>
          <w:lang w:val="en-US"/>
        </w:rPr>
        <w:t>T1-4</w:t>
      </w:r>
    </w:p>
    <w:p w14:paraId="509648AA" w14:textId="6F278263" w:rsidR="008A1D72" w:rsidRPr="00861B35" w:rsidRDefault="008A1D72" w:rsidP="008A1D72">
      <w:pPr>
        <w:spacing w:before="100" w:beforeAutospacing="1" w:after="100" w:afterAutospacing="1"/>
        <w:rPr>
          <w:i/>
          <w:iCs/>
          <w:lang w:val="en-US"/>
        </w:rPr>
      </w:pPr>
      <w:r w:rsidRPr="00861B35">
        <w:rPr>
          <w:i/>
          <w:iCs/>
          <w:lang w:val="en-US"/>
        </w:rPr>
        <w:t>Note.</w:t>
      </w:r>
      <w:r w:rsidRPr="00861B35">
        <w:rPr>
          <w:lang w:val="en-US"/>
        </w:rPr>
        <w:t xml:space="preserve"> The x-axis denotes the percentage of participants of the original sample included in the new samples. The y-axis indicates the averaged correlations between the BEI scores from the original network and the BEI scores from the networks that were newly estimated after dropping increasing percentages of participants.</w:t>
      </w:r>
    </w:p>
    <w:p w14:paraId="7B3DC71F" w14:textId="306E6FFC" w:rsidR="001C0104" w:rsidRPr="00861B35" w:rsidRDefault="001C0104" w:rsidP="001C0104">
      <w:pPr>
        <w:spacing w:before="100" w:beforeAutospacing="1" w:after="100" w:afterAutospacing="1"/>
        <w:rPr>
          <w:color w:val="000000"/>
          <w:lang w:val="en-US"/>
        </w:rPr>
      </w:pPr>
    </w:p>
    <w:p w14:paraId="0C0CFB8F" w14:textId="77777777" w:rsidR="001C0104" w:rsidRPr="00861B35" w:rsidRDefault="001C0104" w:rsidP="001C0104">
      <w:pPr>
        <w:spacing w:before="100" w:beforeAutospacing="1" w:after="100" w:afterAutospacing="1"/>
        <w:rPr>
          <w:color w:val="000000"/>
          <w:lang w:val="en-US"/>
        </w:rPr>
      </w:pPr>
    </w:p>
    <w:p w14:paraId="691B43D6" w14:textId="77777777" w:rsidR="001C0104" w:rsidRPr="00861B35" w:rsidRDefault="001C0104" w:rsidP="001C0104">
      <w:pPr>
        <w:spacing w:before="100" w:beforeAutospacing="1" w:after="100" w:afterAutospacing="1"/>
        <w:ind w:left="567" w:hanging="567"/>
        <w:rPr>
          <w:color w:val="000000"/>
          <w:lang w:val="en-US"/>
        </w:rPr>
      </w:pPr>
    </w:p>
    <w:p w14:paraId="56064CFF" w14:textId="77777777" w:rsidR="001C0104" w:rsidRPr="00861B35" w:rsidRDefault="001C0104" w:rsidP="001C0104">
      <w:pPr>
        <w:spacing w:before="100" w:beforeAutospacing="1" w:after="100" w:afterAutospacing="1"/>
        <w:ind w:left="567" w:hanging="567"/>
        <w:rPr>
          <w:color w:val="000000"/>
          <w:lang w:val="en-US"/>
        </w:rPr>
      </w:pPr>
    </w:p>
    <w:p w14:paraId="4AC4ADD3" w14:textId="77777777" w:rsidR="001C0104" w:rsidRPr="00861B35" w:rsidRDefault="001C0104" w:rsidP="001C0104">
      <w:pPr>
        <w:spacing w:before="100" w:beforeAutospacing="1" w:after="100" w:afterAutospacing="1"/>
        <w:ind w:left="567" w:hanging="567"/>
        <w:rPr>
          <w:color w:val="000000"/>
          <w:lang w:val="en-US"/>
        </w:rPr>
      </w:pPr>
    </w:p>
    <w:p w14:paraId="01B9A41D" w14:textId="77777777" w:rsidR="002264DF" w:rsidRPr="00861B35" w:rsidRDefault="002264DF" w:rsidP="00A93C83">
      <w:pPr>
        <w:spacing w:before="100" w:beforeAutospacing="1" w:after="100" w:afterAutospacing="1"/>
        <w:ind w:left="567" w:hanging="567"/>
        <w:rPr>
          <w:color w:val="000000"/>
          <w:lang w:val="en-US"/>
        </w:rPr>
        <w:sectPr w:rsidR="002264DF" w:rsidRPr="00861B35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49CBF07D" w14:textId="2640F7B6" w:rsidR="002264DF" w:rsidRPr="00861B35" w:rsidRDefault="002264DF" w:rsidP="00A93C83">
      <w:pPr>
        <w:spacing w:before="100" w:beforeAutospacing="1" w:after="100" w:afterAutospacing="1"/>
        <w:ind w:left="567" w:hanging="567"/>
        <w:rPr>
          <w:color w:val="000000"/>
          <w:lang w:val="en-US"/>
        </w:rPr>
      </w:pPr>
      <w:r w:rsidRPr="00861B35">
        <w:rPr>
          <w:noProof/>
        </w:rPr>
        <w:lastRenderedPageBreak/>
        <w:drawing>
          <wp:inline distT="0" distB="0" distL="0" distR="0" wp14:anchorId="00295EE0" wp14:editId="760C2140">
            <wp:extent cx="6798181" cy="4508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9743" cy="452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6E8EA" w14:textId="2A7B6E3A" w:rsidR="00D27452" w:rsidRPr="00861B35" w:rsidRDefault="00A2694E" w:rsidP="00D27452">
      <w:pPr>
        <w:rPr>
          <w:color w:val="000000" w:themeColor="text1"/>
          <w:lang w:val="en-US"/>
        </w:rPr>
      </w:pPr>
      <w:r w:rsidRPr="00861B35">
        <w:rPr>
          <w:color w:val="000000"/>
          <w:lang w:val="en-US"/>
        </w:rPr>
        <w:t>Figure S</w:t>
      </w:r>
      <w:r w:rsidR="00362890" w:rsidRPr="00861B35">
        <w:rPr>
          <w:color w:val="000000"/>
          <w:lang w:val="en-US"/>
        </w:rPr>
        <w:t>3</w:t>
      </w:r>
      <w:r w:rsidRPr="00861B35">
        <w:rPr>
          <w:color w:val="000000"/>
          <w:lang w:val="en-US"/>
        </w:rPr>
        <w:t>.</w:t>
      </w:r>
      <w:r w:rsidR="00D27452" w:rsidRPr="00861B35">
        <w:rPr>
          <w:lang w:val="en-US"/>
        </w:rPr>
        <w:t xml:space="preserve"> </w:t>
      </w:r>
      <w:r w:rsidR="00D27452" w:rsidRPr="00861B35">
        <w:rPr>
          <w:i/>
          <w:iCs/>
          <w:color w:val="000000" w:themeColor="text1"/>
          <w:lang w:val="en-US"/>
        </w:rPr>
        <w:t>Bootstrapped Confidence Intervals of All Edge-Weights at T1</w:t>
      </w:r>
      <w:r w:rsidR="00D27452" w:rsidRPr="00861B35">
        <w:rPr>
          <w:color w:val="000000" w:themeColor="text1"/>
          <w:lang w:val="en-US"/>
        </w:rPr>
        <w:t xml:space="preserve"> </w:t>
      </w:r>
    </w:p>
    <w:p w14:paraId="67C679BE" w14:textId="77777777" w:rsidR="00D27452" w:rsidRPr="00861B35" w:rsidRDefault="00D27452" w:rsidP="00D27452">
      <w:pPr>
        <w:rPr>
          <w:color w:val="000000" w:themeColor="text1"/>
          <w:lang w:val="en-US"/>
        </w:rPr>
      </w:pPr>
    </w:p>
    <w:p w14:paraId="64FAEA90" w14:textId="702FF550" w:rsidR="0082404F" w:rsidRPr="00861B35" w:rsidRDefault="00D27452" w:rsidP="00CA240C">
      <w:pPr>
        <w:rPr>
          <w:color w:val="000000" w:themeColor="text1"/>
          <w:lang w:val="en-US"/>
        </w:rPr>
      </w:pPr>
      <w:r w:rsidRPr="00861B35">
        <w:rPr>
          <w:i/>
          <w:iCs/>
          <w:color w:val="000000" w:themeColor="text1"/>
          <w:lang w:val="en-US"/>
        </w:rPr>
        <w:t>Note.</w:t>
      </w:r>
      <w:r w:rsidR="005B7E90" w:rsidRPr="00861B35">
        <w:rPr>
          <w:color w:val="000000" w:themeColor="text1"/>
          <w:lang w:val="en-US"/>
        </w:rPr>
        <w:t xml:space="preserve"> </w:t>
      </w:r>
      <w:r w:rsidRPr="00861B35">
        <w:rPr>
          <w:color w:val="000000" w:themeColor="text1"/>
          <w:lang w:val="en-US"/>
        </w:rPr>
        <w:t xml:space="preserve">The red dots </w:t>
      </w:r>
      <w:r w:rsidR="005B7E90" w:rsidRPr="00861B35">
        <w:rPr>
          <w:color w:val="000000" w:themeColor="text1"/>
          <w:lang w:val="en-US"/>
        </w:rPr>
        <w:t>represent</w:t>
      </w:r>
      <w:r w:rsidRPr="00861B35">
        <w:rPr>
          <w:color w:val="000000" w:themeColor="text1"/>
          <w:lang w:val="en-US"/>
        </w:rPr>
        <w:t xml:space="preserve"> </w:t>
      </w:r>
      <w:r w:rsidR="005B7E90" w:rsidRPr="00861B35">
        <w:rPr>
          <w:color w:val="000000" w:themeColor="text1"/>
          <w:lang w:val="en-US"/>
        </w:rPr>
        <w:t>each e</w:t>
      </w:r>
      <w:r w:rsidRPr="00861B35">
        <w:rPr>
          <w:color w:val="000000" w:themeColor="text1"/>
          <w:lang w:val="en-US"/>
        </w:rPr>
        <w:t>dge</w:t>
      </w:r>
      <w:r w:rsidR="005B7E90" w:rsidRPr="00861B35">
        <w:rPr>
          <w:color w:val="000000" w:themeColor="text1"/>
          <w:lang w:val="en-US"/>
        </w:rPr>
        <w:t>-</w:t>
      </w:r>
      <w:r w:rsidRPr="00861B35">
        <w:rPr>
          <w:color w:val="000000" w:themeColor="text1"/>
          <w:lang w:val="en-US"/>
        </w:rPr>
        <w:t>weight</w:t>
      </w:r>
      <w:r w:rsidR="005B7E90" w:rsidRPr="00861B35">
        <w:rPr>
          <w:color w:val="000000" w:themeColor="text1"/>
          <w:lang w:val="en-US"/>
        </w:rPr>
        <w:t>’s score</w:t>
      </w:r>
      <w:r w:rsidRPr="00861B35">
        <w:rPr>
          <w:color w:val="000000" w:themeColor="text1"/>
          <w:lang w:val="en-US"/>
        </w:rPr>
        <w:t xml:space="preserve"> </w:t>
      </w:r>
      <w:r w:rsidR="005B7E90" w:rsidRPr="00861B35">
        <w:rPr>
          <w:color w:val="000000" w:themeColor="text1"/>
          <w:lang w:val="en-US"/>
        </w:rPr>
        <w:t xml:space="preserve">in the network, while </w:t>
      </w:r>
      <w:r w:rsidRPr="00861B35">
        <w:rPr>
          <w:color w:val="000000" w:themeColor="text1"/>
          <w:lang w:val="en-US"/>
        </w:rPr>
        <w:t xml:space="preserve">the black dots </w:t>
      </w:r>
      <w:r w:rsidR="005B7E90" w:rsidRPr="00861B35">
        <w:rPr>
          <w:color w:val="000000" w:themeColor="text1"/>
          <w:lang w:val="en-US"/>
        </w:rPr>
        <w:t>represent</w:t>
      </w:r>
      <w:r w:rsidRPr="00861B35">
        <w:rPr>
          <w:color w:val="000000" w:themeColor="text1"/>
          <w:lang w:val="en-US"/>
        </w:rPr>
        <w:t xml:space="preserve"> each edge</w:t>
      </w:r>
      <w:r w:rsidR="005B7E90" w:rsidRPr="00861B35">
        <w:rPr>
          <w:color w:val="000000" w:themeColor="text1"/>
          <w:lang w:val="en-US"/>
        </w:rPr>
        <w:t>-</w:t>
      </w:r>
      <w:r w:rsidRPr="00861B35">
        <w:rPr>
          <w:color w:val="000000" w:themeColor="text1"/>
          <w:lang w:val="en-US"/>
        </w:rPr>
        <w:t>weight</w:t>
      </w:r>
      <w:r w:rsidR="005B7E90" w:rsidRPr="00861B35">
        <w:rPr>
          <w:color w:val="000000" w:themeColor="text1"/>
          <w:lang w:val="en-US"/>
        </w:rPr>
        <w:t xml:space="preserve">’s </w:t>
      </w:r>
      <w:r w:rsidR="00CA240C" w:rsidRPr="00861B35">
        <w:rPr>
          <w:color w:val="000000" w:themeColor="text1"/>
          <w:lang w:val="en-US"/>
        </w:rPr>
        <w:t xml:space="preserve">estimated </w:t>
      </w:r>
      <w:r w:rsidR="005B7E90" w:rsidRPr="00861B35">
        <w:rPr>
          <w:color w:val="000000" w:themeColor="text1"/>
          <w:lang w:val="en-US"/>
        </w:rPr>
        <w:t xml:space="preserve">score </w:t>
      </w:r>
      <w:r w:rsidR="00CA240C" w:rsidRPr="00861B35">
        <w:rPr>
          <w:color w:val="000000" w:themeColor="text1"/>
          <w:lang w:val="en-US"/>
        </w:rPr>
        <w:t>estimated</w:t>
      </w:r>
      <w:r w:rsidR="005B7E90" w:rsidRPr="00861B35">
        <w:rPr>
          <w:color w:val="000000" w:themeColor="text1"/>
          <w:lang w:val="en-US"/>
        </w:rPr>
        <w:t xml:space="preserve"> by means of non-parametric bootstrapping with 5,000 bootstraps (nboots = 5,000</w:t>
      </w:r>
      <w:r w:rsidR="00CA240C" w:rsidRPr="00861B35">
        <w:rPr>
          <w:color w:val="000000" w:themeColor="text1"/>
          <w:lang w:val="en-US"/>
        </w:rPr>
        <w:t>.</w:t>
      </w:r>
      <w:r w:rsidRPr="00861B35">
        <w:rPr>
          <w:color w:val="000000" w:themeColor="text1"/>
          <w:lang w:val="en-US"/>
        </w:rPr>
        <w:t xml:space="preserve"> The gray area </w:t>
      </w:r>
      <w:r w:rsidR="005B7E90" w:rsidRPr="00861B35">
        <w:rPr>
          <w:color w:val="000000" w:themeColor="text1"/>
          <w:lang w:val="en-US"/>
        </w:rPr>
        <w:t>shows</w:t>
      </w:r>
      <w:r w:rsidRPr="00861B35">
        <w:rPr>
          <w:color w:val="000000" w:themeColor="text1"/>
          <w:lang w:val="en-US"/>
        </w:rPr>
        <w:t xml:space="preserve"> the 95% </w:t>
      </w:r>
      <w:r w:rsidR="005B7E90" w:rsidRPr="00861B35">
        <w:rPr>
          <w:color w:val="000000" w:themeColor="text1"/>
          <w:lang w:val="en-US"/>
        </w:rPr>
        <w:t>c</w:t>
      </w:r>
      <w:r w:rsidRPr="00861B35">
        <w:rPr>
          <w:color w:val="000000" w:themeColor="text1"/>
          <w:lang w:val="en-US"/>
        </w:rPr>
        <w:t xml:space="preserve">onfidence </w:t>
      </w:r>
      <w:r w:rsidR="005B7E90" w:rsidRPr="00861B35">
        <w:rPr>
          <w:color w:val="000000" w:themeColor="text1"/>
          <w:lang w:val="en-US"/>
        </w:rPr>
        <w:t>i</w:t>
      </w:r>
      <w:r w:rsidRPr="00861B35">
        <w:rPr>
          <w:color w:val="000000" w:themeColor="text1"/>
          <w:lang w:val="en-US"/>
        </w:rPr>
        <w:t xml:space="preserve">ntervals of </w:t>
      </w:r>
      <w:r w:rsidR="005B7E90" w:rsidRPr="00861B35">
        <w:rPr>
          <w:color w:val="000000" w:themeColor="text1"/>
          <w:lang w:val="en-US"/>
        </w:rPr>
        <w:t xml:space="preserve">each </w:t>
      </w:r>
      <w:r w:rsidRPr="00861B35">
        <w:rPr>
          <w:color w:val="000000" w:themeColor="text1"/>
          <w:lang w:val="en-US"/>
        </w:rPr>
        <w:t>edge</w:t>
      </w:r>
      <w:r w:rsidR="005B7E90" w:rsidRPr="00861B35">
        <w:rPr>
          <w:color w:val="000000" w:themeColor="text1"/>
          <w:lang w:val="en-US"/>
        </w:rPr>
        <w:t>-</w:t>
      </w:r>
      <w:r w:rsidRPr="00861B35">
        <w:rPr>
          <w:color w:val="000000" w:themeColor="text1"/>
          <w:lang w:val="en-US"/>
        </w:rPr>
        <w:t xml:space="preserve">weight, estimated </w:t>
      </w:r>
      <w:r w:rsidR="005B7E90" w:rsidRPr="00861B35">
        <w:rPr>
          <w:color w:val="000000" w:themeColor="text1"/>
          <w:lang w:val="en-US"/>
        </w:rPr>
        <w:t xml:space="preserve">by means of </w:t>
      </w:r>
      <w:r w:rsidRPr="00861B35">
        <w:rPr>
          <w:color w:val="000000" w:themeColor="text1"/>
          <w:lang w:val="en-US"/>
        </w:rPr>
        <w:t>non-parametric bootstrap</w:t>
      </w:r>
      <w:r w:rsidR="005B7E90" w:rsidRPr="00861B35">
        <w:rPr>
          <w:color w:val="000000" w:themeColor="text1"/>
          <w:lang w:val="en-US"/>
        </w:rPr>
        <w:t>ping with 5,000 bootstraps (nboots = 5,000)</w:t>
      </w:r>
      <w:r w:rsidRPr="00861B35">
        <w:rPr>
          <w:color w:val="000000" w:themeColor="text1"/>
          <w:lang w:val="en-US"/>
        </w:rPr>
        <w:t>. Wide</w:t>
      </w:r>
      <w:r w:rsidR="005B7E90" w:rsidRPr="00861B35">
        <w:rPr>
          <w:color w:val="000000" w:themeColor="text1"/>
          <w:lang w:val="en-US"/>
        </w:rPr>
        <w:t>r</w:t>
      </w:r>
      <w:r w:rsidRPr="00861B35">
        <w:rPr>
          <w:color w:val="000000" w:themeColor="text1"/>
          <w:lang w:val="en-US"/>
        </w:rPr>
        <w:t xml:space="preserve"> </w:t>
      </w:r>
      <w:r w:rsidR="005B7E90" w:rsidRPr="00861B35">
        <w:rPr>
          <w:color w:val="000000" w:themeColor="text1"/>
          <w:lang w:val="en-US"/>
        </w:rPr>
        <w:t xml:space="preserve">confidence </w:t>
      </w:r>
      <w:r w:rsidRPr="00861B35">
        <w:rPr>
          <w:color w:val="000000" w:themeColor="text1"/>
          <w:lang w:val="en-US"/>
        </w:rPr>
        <w:t xml:space="preserve">intervals </w:t>
      </w:r>
      <w:r w:rsidR="005B7E90" w:rsidRPr="00861B35">
        <w:rPr>
          <w:color w:val="000000" w:themeColor="text1"/>
          <w:lang w:val="en-US"/>
        </w:rPr>
        <w:t>denote</w:t>
      </w:r>
      <w:r w:rsidRPr="00861B35">
        <w:rPr>
          <w:color w:val="000000" w:themeColor="text1"/>
          <w:lang w:val="en-US"/>
        </w:rPr>
        <w:t xml:space="preserve"> lower stability and narrow</w:t>
      </w:r>
      <w:r w:rsidR="005B7E90" w:rsidRPr="00861B35">
        <w:rPr>
          <w:color w:val="000000" w:themeColor="text1"/>
          <w:lang w:val="en-US"/>
        </w:rPr>
        <w:t>er</w:t>
      </w:r>
      <w:r w:rsidRPr="00861B35">
        <w:rPr>
          <w:color w:val="000000" w:themeColor="text1"/>
          <w:lang w:val="en-US"/>
        </w:rPr>
        <w:t xml:space="preserve"> intervals </w:t>
      </w:r>
      <w:r w:rsidR="005B7E90" w:rsidRPr="00861B35">
        <w:rPr>
          <w:color w:val="000000" w:themeColor="text1"/>
          <w:lang w:val="en-US"/>
        </w:rPr>
        <w:t>denote</w:t>
      </w:r>
      <w:r w:rsidRPr="00861B35">
        <w:rPr>
          <w:color w:val="000000" w:themeColor="text1"/>
          <w:lang w:val="en-US"/>
        </w:rPr>
        <w:t xml:space="preserve"> higher stability.</w:t>
      </w:r>
    </w:p>
    <w:p w14:paraId="342D317E" w14:textId="44D07462" w:rsidR="0082404F" w:rsidRPr="00861B35" w:rsidRDefault="0082404F" w:rsidP="00A93C83">
      <w:pPr>
        <w:spacing w:before="100" w:beforeAutospacing="1" w:after="100" w:afterAutospacing="1"/>
        <w:ind w:left="567" w:hanging="567"/>
        <w:rPr>
          <w:color w:val="000000"/>
          <w:lang w:val="en-US"/>
        </w:rPr>
      </w:pPr>
      <w:r w:rsidRPr="00861B35">
        <w:rPr>
          <w:noProof/>
          <w:color w:val="000000"/>
          <w:lang w:val="en-US"/>
        </w:rPr>
        <w:lastRenderedPageBreak/>
        <w:drawing>
          <wp:inline distT="0" distB="0" distL="0" distR="0" wp14:anchorId="0C0DA3A1" wp14:editId="024B0AAB">
            <wp:extent cx="6800400" cy="470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00400" cy="47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6ACEB" w14:textId="60A13398" w:rsidR="00CA240C" w:rsidRPr="00861B35" w:rsidRDefault="00A2694E" w:rsidP="00CA240C">
      <w:pPr>
        <w:rPr>
          <w:color w:val="000000" w:themeColor="text1"/>
          <w:lang w:val="en-US"/>
        </w:rPr>
      </w:pPr>
      <w:r w:rsidRPr="00861B35">
        <w:rPr>
          <w:color w:val="000000"/>
          <w:lang w:val="en-US"/>
        </w:rPr>
        <w:t>Figure S</w:t>
      </w:r>
      <w:r w:rsidR="00362890" w:rsidRPr="00861B35">
        <w:rPr>
          <w:color w:val="000000"/>
          <w:lang w:val="en-US"/>
        </w:rPr>
        <w:t>4</w:t>
      </w:r>
      <w:r w:rsidRPr="00861B35">
        <w:rPr>
          <w:color w:val="000000"/>
          <w:lang w:val="en-US"/>
        </w:rPr>
        <w:t>.</w:t>
      </w:r>
      <w:r w:rsidR="00CA240C" w:rsidRPr="00861B35">
        <w:rPr>
          <w:color w:val="000000"/>
          <w:lang w:val="en-US"/>
        </w:rPr>
        <w:t xml:space="preserve"> </w:t>
      </w:r>
      <w:r w:rsidR="00CA240C" w:rsidRPr="00861B35">
        <w:rPr>
          <w:i/>
          <w:iCs/>
          <w:color w:val="000000" w:themeColor="text1"/>
          <w:lang w:val="en-US"/>
        </w:rPr>
        <w:t>Bootstrapped Confidence Intervals of All Edge-Weights at T2</w:t>
      </w:r>
    </w:p>
    <w:p w14:paraId="76F49F0A" w14:textId="77777777" w:rsidR="00CA240C" w:rsidRPr="00861B35" w:rsidRDefault="00CA240C" w:rsidP="00CA240C">
      <w:pPr>
        <w:rPr>
          <w:color w:val="000000" w:themeColor="text1"/>
          <w:lang w:val="en-US"/>
        </w:rPr>
      </w:pPr>
    </w:p>
    <w:p w14:paraId="22830CA8" w14:textId="23453459" w:rsidR="002264DF" w:rsidRPr="00861B35" w:rsidRDefault="00CA240C" w:rsidP="00CA240C">
      <w:pPr>
        <w:rPr>
          <w:color w:val="000000" w:themeColor="text1"/>
          <w:lang w:val="en-US"/>
        </w:rPr>
      </w:pPr>
      <w:r w:rsidRPr="00861B35">
        <w:rPr>
          <w:i/>
          <w:iCs/>
          <w:color w:val="000000" w:themeColor="text1"/>
          <w:lang w:val="en-US"/>
        </w:rPr>
        <w:t>Note.</w:t>
      </w:r>
      <w:r w:rsidRPr="00861B35">
        <w:rPr>
          <w:color w:val="000000" w:themeColor="text1"/>
          <w:lang w:val="en-US"/>
        </w:rPr>
        <w:t xml:space="preserve"> The red dots represent each edge-weight’s score in the network, while the black dots represent each edge-weight’s estimated score estimated by means of non-parametric bootstrapping with 5,000 bootstraps (nboots = 5,000. The gray area shows the 95% confidence intervals of each edge-weight, estimated by means of non-parametric bootstrapping with 5,000 bootstraps (nboots = 5,000). Wider confidence intervals denote lower stability and narrower intervals denote higher stability.</w:t>
      </w:r>
    </w:p>
    <w:p w14:paraId="2A365FE9" w14:textId="77777777" w:rsidR="002264DF" w:rsidRPr="00861B35" w:rsidRDefault="002264DF" w:rsidP="002264DF">
      <w:r w:rsidRPr="00861B35">
        <w:rPr>
          <w:noProof/>
        </w:rPr>
        <w:lastRenderedPageBreak/>
        <w:drawing>
          <wp:inline distT="0" distB="0" distL="0" distR="0" wp14:anchorId="4091878B" wp14:editId="2E570997">
            <wp:extent cx="6799580" cy="4698124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7119" cy="47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E9B8" w14:textId="01A27D85" w:rsidR="00CA240C" w:rsidRPr="00861B35" w:rsidRDefault="00A2694E" w:rsidP="00CA240C">
      <w:pPr>
        <w:rPr>
          <w:color w:val="000000" w:themeColor="text1"/>
          <w:lang w:val="en-US"/>
        </w:rPr>
      </w:pPr>
      <w:r w:rsidRPr="00861B35">
        <w:rPr>
          <w:color w:val="000000"/>
          <w:lang w:val="en-US"/>
        </w:rPr>
        <w:t>Figure S</w:t>
      </w:r>
      <w:r w:rsidR="00362890" w:rsidRPr="00861B35">
        <w:rPr>
          <w:color w:val="000000"/>
          <w:lang w:val="en-US"/>
        </w:rPr>
        <w:t>5</w:t>
      </w:r>
      <w:r w:rsidRPr="00861B35">
        <w:rPr>
          <w:color w:val="000000"/>
          <w:lang w:val="en-US"/>
        </w:rPr>
        <w:t>.</w:t>
      </w:r>
      <w:r w:rsidR="00CA240C" w:rsidRPr="00861B35">
        <w:rPr>
          <w:color w:val="000000"/>
          <w:lang w:val="en-US"/>
        </w:rPr>
        <w:t xml:space="preserve"> </w:t>
      </w:r>
      <w:r w:rsidR="00CA240C" w:rsidRPr="00861B35">
        <w:rPr>
          <w:i/>
          <w:iCs/>
          <w:color w:val="000000" w:themeColor="text1"/>
          <w:lang w:val="en-US"/>
        </w:rPr>
        <w:t>Bootstrapped Confidence Intervals of All Edge-Weights at T3</w:t>
      </w:r>
    </w:p>
    <w:p w14:paraId="63131D25" w14:textId="77777777" w:rsidR="00CA240C" w:rsidRPr="00861B35" w:rsidRDefault="00CA240C" w:rsidP="00CA240C">
      <w:pPr>
        <w:rPr>
          <w:color w:val="000000" w:themeColor="text1"/>
          <w:lang w:val="en-US"/>
        </w:rPr>
      </w:pPr>
    </w:p>
    <w:p w14:paraId="6F520475" w14:textId="77777777" w:rsidR="00CA240C" w:rsidRPr="00861B35" w:rsidRDefault="00CA240C" w:rsidP="00CA240C">
      <w:pPr>
        <w:rPr>
          <w:color w:val="000000" w:themeColor="text1"/>
          <w:lang w:val="en-US"/>
        </w:rPr>
      </w:pPr>
      <w:r w:rsidRPr="00861B35">
        <w:rPr>
          <w:i/>
          <w:iCs/>
          <w:color w:val="000000" w:themeColor="text1"/>
          <w:lang w:val="en-US"/>
        </w:rPr>
        <w:t>Note.</w:t>
      </w:r>
      <w:r w:rsidRPr="00861B35">
        <w:rPr>
          <w:color w:val="000000" w:themeColor="text1"/>
          <w:lang w:val="en-US"/>
        </w:rPr>
        <w:t xml:space="preserve"> The red dots represent each edge-weight’s score in the network, while the black dots represent each edge-weight’s estimated score estimated by means of non-parametric bootstrapping with 5,000 bootstraps (nboots = 5,000. The gray area shows the 95% confidence intervals of each edge-weight, estimated by means of non-parametric bootstrapping with 5,000 bootstraps (nboots = 5,000). Wider confidence intervals denote lower stability and narrower intervals denote higher stability.</w:t>
      </w:r>
    </w:p>
    <w:p w14:paraId="7F9E759A" w14:textId="77777777" w:rsidR="0082404F" w:rsidRPr="00E801E4" w:rsidRDefault="0082404F" w:rsidP="002264DF">
      <w:pPr>
        <w:rPr>
          <w:lang w:val="en-US"/>
        </w:rPr>
      </w:pPr>
    </w:p>
    <w:p w14:paraId="4643FFA4" w14:textId="77777777" w:rsidR="00A2694E" w:rsidRPr="00861B35" w:rsidRDefault="0082404F" w:rsidP="00A2694E">
      <w:r w:rsidRPr="00861B35">
        <w:rPr>
          <w:noProof/>
        </w:rPr>
        <w:lastRenderedPageBreak/>
        <w:drawing>
          <wp:inline distT="0" distB="0" distL="0" distR="0" wp14:anchorId="41CA5A01" wp14:editId="43923C4E">
            <wp:extent cx="6850800" cy="470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0800" cy="47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B42E9" w14:textId="0092EA46" w:rsidR="00CA240C" w:rsidRPr="00861B35" w:rsidRDefault="00A2694E" w:rsidP="00CA240C">
      <w:pPr>
        <w:rPr>
          <w:color w:val="000000" w:themeColor="text1"/>
          <w:lang w:val="en-US"/>
        </w:rPr>
      </w:pPr>
      <w:r w:rsidRPr="00861B35">
        <w:rPr>
          <w:color w:val="000000"/>
          <w:lang w:val="en-US"/>
        </w:rPr>
        <w:t>Figure S</w:t>
      </w:r>
      <w:r w:rsidR="00362890" w:rsidRPr="00861B35">
        <w:rPr>
          <w:lang w:val="en-US"/>
        </w:rPr>
        <w:t>6.</w:t>
      </w:r>
      <w:r w:rsidR="00CA240C" w:rsidRPr="00861B35">
        <w:rPr>
          <w:lang w:val="en-US"/>
        </w:rPr>
        <w:t xml:space="preserve"> </w:t>
      </w:r>
      <w:r w:rsidR="00CA240C" w:rsidRPr="00861B35">
        <w:rPr>
          <w:i/>
          <w:iCs/>
          <w:color w:val="000000" w:themeColor="text1"/>
          <w:lang w:val="en-US"/>
        </w:rPr>
        <w:t>Bootstrapped Confidence Intervals of All Edge-Weights at T4</w:t>
      </w:r>
    </w:p>
    <w:p w14:paraId="46C2C5AD" w14:textId="77777777" w:rsidR="00CA240C" w:rsidRPr="00861B35" w:rsidRDefault="00CA240C" w:rsidP="00CA240C">
      <w:pPr>
        <w:rPr>
          <w:color w:val="000000" w:themeColor="text1"/>
          <w:lang w:val="en-US"/>
        </w:rPr>
      </w:pPr>
    </w:p>
    <w:p w14:paraId="51749D0C" w14:textId="3BC14442" w:rsidR="00A2694E" w:rsidRPr="00861B35" w:rsidRDefault="00CA240C" w:rsidP="002264DF">
      <w:pPr>
        <w:rPr>
          <w:color w:val="000000" w:themeColor="text1"/>
          <w:lang w:val="en-US"/>
        </w:rPr>
        <w:sectPr w:rsidR="00A2694E" w:rsidRPr="00861B35" w:rsidSect="002264DF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861B35">
        <w:rPr>
          <w:i/>
          <w:iCs/>
          <w:color w:val="000000" w:themeColor="text1"/>
          <w:lang w:val="en-US"/>
        </w:rPr>
        <w:t>Note.</w:t>
      </w:r>
      <w:r w:rsidRPr="00861B35">
        <w:rPr>
          <w:color w:val="000000" w:themeColor="text1"/>
          <w:lang w:val="en-US"/>
        </w:rPr>
        <w:t xml:space="preserve"> The red dots represent each edge-weight’s score in the network, while the black dots represent each edge-weight’s estimated score estimated by means of non-parametric bootstrapping with 5,000 bootstraps (nboots = 5,000. The gray area shows the 95% confidence intervals of each edge-weight, estimated by means of non-parametric bootstrapping with 5,000 bootstraps (nboots = 5,000). Wider confidence intervals denote lower stability and narrower intervals denote higher stability.</w:t>
      </w:r>
    </w:p>
    <w:p w14:paraId="08E7C689" w14:textId="3EB83D07" w:rsidR="0017380F" w:rsidRPr="00861B35" w:rsidRDefault="0017380F" w:rsidP="00362890">
      <w:pPr>
        <w:spacing w:before="100" w:beforeAutospacing="1" w:after="100" w:afterAutospacing="1"/>
        <w:rPr>
          <w:color w:val="000000"/>
          <w:lang w:val="en-US"/>
        </w:rPr>
      </w:pPr>
    </w:p>
    <w:p w14:paraId="3D0A056B" w14:textId="7B759C86" w:rsidR="0017380F" w:rsidRPr="00861B35" w:rsidRDefault="0017380F" w:rsidP="00A93C83">
      <w:pPr>
        <w:spacing w:before="100" w:beforeAutospacing="1" w:after="100" w:afterAutospacing="1"/>
        <w:ind w:left="567" w:hanging="567"/>
        <w:rPr>
          <w:noProof/>
          <w:lang w:val="en-US"/>
        </w:rPr>
      </w:pPr>
      <w:r w:rsidRPr="00861B35">
        <w:rPr>
          <w:noProof/>
          <w:color w:val="000000"/>
          <w:lang w:val="en-US"/>
        </w:rPr>
        <w:drawing>
          <wp:inline distT="0" distB="0" distL="0" distR="0" wp14:anchorId="42802EB0" wp14:editId="03640976">
            <wp:extent cx="5943600" cy="57892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B35">
        <w:rPr>
          <w:noProof/>
          <w:lang w:val="en-US"/>
        </w:rPr>
        <w:t xml:space="preserve"> </w:t>
      </w:r>
    </w:p>
    <w:p w14:paraId="0F77C81F" w14:textId="3AC051C4" w:rsidR="00D71C2D" w:rsidRPr="00861B35" w:rsidRDefault="00362890" w:rsidP="00D71C2D">
      <w:pPr>
        <w:spacing w:before="100" w:beforeAutospacing="1" w:after="100" w:afterAutospacing="1"/>
        <w:rPr>
          <w:i/>
          <w:iCs/>
          <w:lang w:val="en-US"/>
        </w:rPr>
      </w:pPr>
      <w:r w:rsidRPr="00861B35">
        <w:rPr>
          <w:color w:val="000000"/>
          <w:lang w:val="en-US"/>
        </w:rPr>
        <w:t>Figure S7.</w:t>
      </w:r>
      <w:r w:rsidR="00D71C2D" w:rsidRPr="00861B35">
        <w:rPr>
          <w:color w:val="000000"/>
          <w:lang w:val="en-US"/>
        </w:rPr>
        <w:t xml:space="preserve"> </w:t>
      </w:r>
      <w:r w:rsidR="00D71C2D" w:rsidRPr="00861B35">
        <w:rPr>
          <w:i/>
          <w:iCs/>
          <w:lang w:val="en-US"/>
        </w:rPr>
        <w:t>Bootstrapped Difference Tests for Strength Centrality Index at T1</w:t>
      </w:r>
    </w:p>
    <w:p w14:paraId="44CB7526" w14:textId="4660301B" w:rsidR="00D71C2D" w:rsidRPr="00861B35" w:rsidRDefault="00D71C2D" w:rsidP="00D71C2D">
      <w:pPr>
        <w:rPr>
          <w:lang w:val="en-US"/>
        </w:rPr>
      </w:pPr>
      <w:r w:rsidRPr="00861B35">
        <w:rPr>
          <w:i/>
          <w:iCs/>
          <w:lang w:val="en-US"/>
        </w:rPr>
        <w:t>Note</w:t>
      </w:r>
      <w:r w:rsidRPr="00861B35">
        <w:rPr>
          <w:lang w:val="en-US"/>
        </w:rPr>
        <w:t>. The difference tests for strength centrality are depicted in this Figure. The color of the boxes indicates whether there is a significant difference in their centrality operationalized by their strength centrality scores between nodes. Grey boxes indicate no significant differences and black boxes indicate significant differences (</w:t>
      </w:r>
      <w:r w:rsidRPr="00861B35">
        <w:t>α</w:t>
      </w:r>
      <w:r w:rsidRPr="00861B35">
        <w:rPr>
          <w:lang w:val="en-US"/>
        </w:rPr>
        <w:t xml:space="preserve"> = 0.05). The value in the white boxes indicates the value of node strength centrality scores of a specific node.</w:t>
      </w:r>
    </w:p>
    <w:p w14:paraId="400121B0" w14:textId="06762F36" w:rsidR="0017380F" w:rsidRPr="00861B35" w:rsidRDefault="0017380F" w:rsidP="00362890">
      <w:pPr>
        <w:spacing w:before="100" w:beforeAutospacing="1" w:after="100" w:afterAutospacing="1"/>
        <w:rPr>
          <w:noProof/>
          <w:lang w:val="en-US"/>
        </w:rPr>
      </w:pPr>
    </w:p>
    <w:p w14:paraId="2E6D39B3" w14:textId="77777777" w:rsidR="00D71C2D" w:rsidRPr="00861B35" w:rsidRDefault="0017380F" w:rsidP="00D71C2D">
      <w:r w:rsidRPr="00861B35">
        <w:rPr>
          <w:noProof/>
        </w:rPr>
        <w:lastRenderedPageBreak/>
        <w:drawing>
          <wp:inline distT="0" distB="0" distL="0" distR="0" wp14:anchorId="174E2C3F" wp14:editId="594B9A8A">
            <wp:extent cx="5943600" cy="57892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D62D6" w14:textId="77777777" w:rsidR="00D71C2D" w:rsidRPr="00861B35" w:rsidRDefault="00D71C2D" w:rsidP="00D71C2D"/>
    <w:p w14:paraId="119C0A3D" w14:textId="48E5A74C" w:rsidR="00D71C2D" w:rsidRPr="00861B35" w:rsidRDefault="00362890" w:rsidP="00D71C2D">
      <w:pPr>
        <w:rPr>
          <w:i/>
          <w:iCs/>
          <w:lang w:val="en-US"/>
        </w:rPr>
      </w:pPr>
      <w:r w:rsidRPr="00861B35">
        <w:rPr>
          <w:color w:val="000000"/>
          <w:lang w:val="en-US"/>
        </w:rPr>
        <w:t>Figure S8.</w:t>
      </w:r>
      <w:r w:rsidR="00D71C2D" w:rsidRPr="00861B35">
        <w:rPr>
          <w:i/>
          <w:iCs/>
          <w:lang w:val="en-US"/>
        </w:rPr>
        <w:t xml:space="preserve"> Bootstrapped Difference Tests for Strength Centrality Index at T2</w:t>
      </w:r>
    </w:p>
    <w:p w14:paraId="2D4FFCAE" w14:textId="77777777" w:rsidR="00D71C2D" w:rsidRPr="00E801E4" w:rsidRDefault="00D71C2D" w:rsidP="00D71C2D">
      <w:pPr>
        <w:rPr>
          <w:lang w:val="en-US"/>
        </w:rPr>
      </w:pPr>
    </w:p>
    <w:p w14:paraId="2A4174D8" w14:textId="40095120" w:rsidR="00D71C2D" w:rsidRPr="00861B35" w:rsidRDefault="00D71C2D" w:rsidP="00D71C2D">
      <w:pPr>
        <w:rPr>
          <w:lang w:val="en-US"/>
        </w:rPr>
      </w:pPr>
      <w:r w:rsidRPr="00861B35">
        <w:rPr>
          <w:i/>
          <w:iCs/>
          <w:lang w:val="en-US"/>
        </w:rPr>
        <w:t>Note.</w:t>
      </w:r>
      <w:r w:rsidRPr="00861B35">
        <w:rPr>
          <w:lang w:val="en-US"/>
        </w:rPr>
        <w:t xml:space="preserve"> The difference tests for strength centrality are depicted in this Figure. The color of the boxes indicates whether there is a significant difference in their centrality operationalized by their strength centrality scores between nodes. Grey boxes indicate no significant differences and black boxes indicate significant differences (</w:t>
      </w:r>
      <w:r w:rsidRPr="00861B35">
        <w:t>α</w:t>
      </w:r>
      <w:r w:rsidRPr="00861B35">
        <w:rPr>
          <w:lang w:val="en-US"/>
        </w:rPr>
        <w:t xml:space="preserve"> = 0.05). The value in the white boxes indicates the value of node strength centrality scores of a specific node.</w:t>
      </w:r>
    </w:p>
    <w:p w14:paraId="0ED1EF98" w14:textId="2C2C3C2A" w:rsidR="0017380F" w:rsidRPr="00861B35" w:rsidRDefault="0017380F" w:rsidP="00362890">
      <w:pPr>
        <w:spacing w:before="100" w:beforeAutospacing="1" w:after="100" w:afterAutospacing="1"/>
        <w:rPr>
          <w:color w:val="000000"/>
          <w:lang w:val="en-US"/>
        </w:rPr>
      </w:pPr>
    </w:p>
    <w:p w14:paraId="2CEA11C7" w14:textId="2AB8C0EF" w:rsidR="0017380F" w:rsidRPr="00E801E4" w:rsidRDefault="0017380F" w:rsidP="0017380F">
      <w:pPr>
        <w:rPr>
          <w:lang w:val="en-US"/>
        </w:rPr>
      </w:pPr>
    </w:p>
    <w:p w14:paraId="10358E4F" w14:textId="71A12771" w:rsidR="0017380F" w:rsidRPr="00E801E4" w:rsidRDefault="0017380F" w:rsidP="0017380F">
      <w:pPr>
        <w:rPr>
          <w:lang w:val="en-US"/>
        </w:rPr>
      </w:pPr>
    </w:p>
    <w:p w14:paraId="406C2562" w14:textId="77C2EE6E" w:rsidR="00D71C2D" w:rsidRPr="00861B35" w:rsidRDefault="0017380F" w:rsidP="00D71C2D">
      <w:pPr>
        <w:rPr>
          <w:i/>
          <w:iCs/>
          <w:lang w:val="en-US"/>
        </w:rPr>
      </w:pPr>
      <w:r w:rsidRPr="00861B35">
        <w:rPr>
          <w:noProof/>
        </w:rPr>
        <w:lastRenderedPageBreak/>
        <w:drawing>
          <wp:inline distT="0" distB="0" distL="0" distR="0" wp14:anchorId="4514A906" wp14:editId="60C91305">
            <wp:extent cx="5943600" cy="57892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890" w:rsidRPr="00861B35">
        <w:rPr>
          <w:color w:val="000000"/>
          <w:lang w:val="en-US"/>
        </w:rPr>
        <w:t>Figure S9.</w:t>
      </w:r>
      <w:r w:rsidR="00D71C2D" w:rsidRPr="00861B35">
        <w:rPr>
          <w:color w:val="000000"/>
          <w:lang w:val="en-US"/>
        </w:rPr>
        <w:t xml:space="preserve"> </w:t>
      </w:r>
      <w:r w:rsidR="00D71C2D" w:rsidRPr="00861B35">
        <w:rPr>
          <w:i/>
          <w:iCs/>
          <w:lang w:val="en-US"/>
        </w:rPr>
        <w:t>Bootstrapped Difference Tests for Strength Centrality Index at T3</w:t>
      </w:r>
    </w:p>
    <w:p w14:paraId="0FE2F473" w14:textId="77777777" w:rsidR="00D71C2D" w:rsidRPr="00E801E4" w:rsidRDefault="00D71C2D" w:rsidP="00D71C2D">
      <w:pPr>
        <w:rPr>
          <w:lang w:val="en-US"/>
        </w:rPr>
      </w:pPr>
    </w:p>
    <w:p w14:paraId="10C89D12" w14:textId="2859751E" w:rsidR="00D71C2D" w:rsidRPr="00861B35" w:rsidRDefault="00D71C2D" w:rsidP="00D71C2D">
      <w:pPr>
        <w:rPr>
          <w:lang w:val="en-US"/>
        </w:rPr>
      </w:pPr>
      <w:r w:rsidRPr="00861B35">
        <w:rPr>
          <w:i/>
          <w:iCs/>
          <w:lang w:val="en-US"/>
        </w:rPr>
        <w:t>Notes</w:t>
      </w:r>
      <w:r w:rsidRPr="00861B35">
        <w:rPr>
          <w:lang w:val="en-US"/>
        </w:rPr>
        <w:t>. The difference tests for strength centrality are depicted in this Figure. The color of the boxes indicates whether there is a significant difference in their centrality operationalized by their strength centrality scores between nodes. Grey boxes indicate no significant differences and black boxes indicate significant differences (</w:t>
      </w:r>
      <w:r w:rsidRPr="00861B35">
        <w:t>α</w:t>
      </w:r>
      <w:r w:rsidRPr="00861B35">
        <w:rPr>
          <w:lang w:val="en-US"/>
        </w:rPr>
        <w:t xml:space="preserve"> = 0.05). The value in the white boxes indicates the value of node strength centrality scores of a specific node.</w:t>
      </w:r>
    </w:p>
    <w:p w14:paraId="69372206" w14:textId="7B3E8557" w:rsidR="00362890" w:rsidRPr="00861B35" w:rsidRDefault="00362890" w:rsidP="00D71C2D">
      <w:pPr>
        <w:rPr>
          <w:lang w:val="en-US"/>
        </w:rPr>
      </w:pPr>
    </w:p>
    <w:p w14:paraId="68B2E883" w14:textId="328EC694" w:rsidR="0017380F" w:rsidRPr="00E801E4" w:rsidRDefault="0017380F" w:rsidP="0017380F">
      <w:pPr>
        <w:rPr>
          <w:lang w:val="en-US"/>
        </w:rPr>
      </w:pPr>
    </w:p>
    <w:p w14:paraId="2A64DF34" w14:textId="7AD393A5" w:rsidR="0017380F" w:rsidRPr="00E801E4" w:rsidRDefault="0017380F" w:rsidP="0017380F">
      <w:pPr>
        <w:rPr>
          <w:lang w:val="en-US"/>
        </w:rPr>
      </w:pPr>
    </w:p>
    <w:p w14:paraId="21D42544" w14:textId="62A67326" w:rsidR="0017380F" w:rsidRPr="00E801E4" w:rsidRDefault="0017380F" w:rsidP="0017380F">
      <w:pPr>
        <w:rPr>
          <w:lang w:val="en-US"/>
        </w:rPr>
      </w:pPr>
    </w:p>
    <w:p w14:paraId="269C63A8" w14:textId="58A7D841" w:rsidR="0017380F" w:rsidRPr="00E801E4" w:rsidRDefault="0017380F" w:rsidP="0017380F">
      <w:pPr>
        <w:rPr>
          <w:lang w:val="en-US"/>
        </w:rPr>
      </w:pPr>
    </w:p>
    <w:p w14:paraId="6D8041CB" w14:textId="6C68EF78" w:rsidR="0017380F" w:rsidRPr="00E801E4" w:rsidRDefault="0017380F" w:rsidP="0017380F">
      <w:pPr>
        <w:rPr>
          <w:lang w:val="en-US"/>
        </w:rPr>
      </w:pPr>
    </w:p>
    <w:p w14:paraId="10B7D000" w14:textId="2EAE9C00" w:rsidR="0017380F" w:rsidRPr="00861B35" w:rsidRDefault="0017380F" w:rsidP="0017380F">
      <w:r w:rsidRPr="00861B35">
        <w:rPr>
          <w:noProof/>
        </w:rPr>
        <w:lastRenderedPageBreak/>
        <w:drawing>
          <wp:inline distT="0" distB="0" distL="0" distR="0" wp14:anchorId="7BA376ED" wp14:editId="5417ABF9">
            <wp:extent cx="5943600" cy="57892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F3A83" w14:textId="323A179A" w:rsidR="00D71C2D" w:rsidRPr="00861B35" w:rsidRDefault="00362890" w:rsidP="00D71C2D">
      <w:pPr>
        <w:rPr>
          <w:i/>
          <w:iCs/>
          <w:lang w:val="en-US"/>
        </w:rPr>
      </w:pPr>
      <w:r w:rsidRPr="00861B35">
        <w:rPr>
          <w:color w:val="000000"/>
          <w:lang w:val="en-US"/>
        </w:rPr>
        <w:t>Figure S10.</w:t>
      </w:r>
      <w:r w:rsidR="00D71C2D" w:rsidRPr="00861B35">
        <w:rPr>
          <w:color w:val="000000"/>
          <w:lang w:val="en-US"/>
        </w:rPr>
        <w:t xml:space="preserve"> </w:t>
      </w:r>
      <w:r w:rsidR="00D71C2D" w:rsidRPr="00861B35">
        <w:rPr>
          <w:i/>
          <w:iCs/>
          <w:lang w:val="en-US"/>
        </w:rPr>
        <w:t>Bootstrapped Difference Tests for Strength Centrality Index at T4</w:t>
      </w:r>
    </w:p>
    <w:p w14:paraId="3AA4ACAD" w14:textId="77777777" w:rsidR="00D71C2D" w:rsidRPr="00E801E4" w:rsidRDefault="00D71C2D" w:rsidP="00D71C2D">
      <w:pPr>
        <w:rPr>
          <w:lang w:val="en-US"/>
        </w:rPr>
      </w:pPr>
    </w:p>
    <w:p w14:paraId="5A813C3E" w14:textId="77777777" w:rsidR="00D71C2D" w:rsidRPr="00861B35" w:rsidRDefault="00D71C2D" w:rsidP="00D71C2D">
      <w:pPr>
        <w:rPr>
          <w:lang w:val="en-US"/>
        </w:rPr>
      </w:pPr>
      <w:r w:rsidRPr="00861B35">
        <w:rPr>
          <w:i/>
          <w:iCs/>
          <w:lang w:val="en-US"/>
        </w:rPr>
        <w:t>Notes</w:t>
      </w:r>
      <w:r w:rsidRPr="00861B35">
        <w:rPr>
          <w:lang w:val="en-US"/>
        </w:rPr>
        <w:t>. The difference tests for strength centrality are depicted in this Figure. The color of the boxes indicates whether there is a significant difference in their centrality operationalized by their strength centrality scores between nodes. Grey boxes indicate no significant differences and black boxes indicate significant differences (</w:t>
      </w:r>
      <w:r w:rsidRPr="00861B35">
        <w:t>α</w:t>
      </w:r>
      <w:r w:rsidRPr="00861B35">
        <w:rPr>
          <w:lang w:val="en-US"/>
        </w:rPr>
        <w:t xml:space="preserve"> = 0.05). The value in the white boxes indicates the value of node strength centrality scores of a specific node.</w:t>
      </w:r>
    </w:p>
    <w:p w14:paraId="257E064D" w14:textId="2AF0F6BC" w:rsidR="0017380F" w:rsidRPr="00861B35" w:rsidRDefault="0017380F" w:rsidP="00362890">
      <w:pPr>
        <w:spacing w:before="100" w:beforeAutospacing="1" w:after="100" w:afterAutospacing="1"/>
        <w:rPr>
          <w:color w:val="000000"/>
          <w:lang w:val="en-US"/>
        </w:rPr>
      </w:pPr>
    </w:p>
    <w:p w14:paraId="02A27233" w14:textId="2B2D6519" w:rsidR="0017380F" w:rsidRPr="00861B35" w:rsidRDefault="0017380F" w:rsidP="00A93C83">
      <w:pPr>
        <w:spacing w:before="100" w:beforeAutospacing="1" w:after="100" w:afterAutospacing="1"/>
        <w:ind w:left="567" w:hanging="567"/>
        <w:rPr>
          <w:noProof/>
          <w:lang w:val="en-US"/>
        </w:rPr>
      </w:pPr>
    </w:p>
    <w:p w14:paraId="298D9350" w14:textId="77777777" w:rsidR="0017380F" w:rsidRPr="00861B35" w:rsidRDefault="0017380F" w:rsidP="00362890">
      <w:pPr>
        <w:spacing w:before="100" w:beforeAutospacing="1" w:after="100" w:afterAutospacing="1"/>
        <w:rPr>
          <w:noProof/>
          <w:lang w:val="en-US"/>
        </w:rPr>
      </w:pPr>
    </w:p>
    <w:p w14:paraId="0544A5E2" w14:textId="0C8032FB" w:rsidR="0017380F" w:rsidRPr="00861B35" w:rsidRDefault="000473A9" w:rsidP="00A93C83">
      <w:pPr>
        <w:spacing w:before="100" w:beforeAutospacing="1" w:after="100" w:afterAutospacing="1"/>
        <w:ind w:left="567" w:hanging="567"/>
        <w:rPr>
          <w:noProof/>
        </w:rPr>
      </w:pPr>
      <w:r w:rsidRPr="00861B35">
        <w:rPr>
          <w:noProof/>
        </w:rPr>
        <w:lastRenderedPageBreak/>
        <w:drawing>
          <wp:inline distT="0" distB="0" distL="0" distR="0" wp14:anchorId="2D30859A" wp14:editId="7EC46680">
            <wp:extent cx="59436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0D83B" w14:textId="5B526040" w:rsidR="00A40179" w:rsidRPr="00861B35" w:rsidRDefault="00362890" w:rsidP="00A40179">
      <w:pPr>
        <w:spacing w:line="360" w:lineRule="auto"/>
        <w:rPr>
          <w:i/>
          <w:iCs/>
          <w:lang w:val="en-US"/>
        </w:rPr>
      </w:pPr>
      <w:r w:rsidRPr="00861B35">
        <w:rPr>
          <w:color w:val="000000"/>
          <w:lang w:val="en-US"/>
        </w:rPr>
        <w:t>Figure S11.</w:t>
      </w:r>
      <w:r w:rsidR="00A40179" w:rsidRPr="00861B35">
        <w:rPr>
          <w:color w:val="000000"/>
          <w:lang w:val="en-US"/>
        </w:rPr>
        <w:t xml:space="preserve"> </w:t>
      </w:r>
      <w:r w:rsidR="00A40179" w:rsidRPr="00861B35">
        <w:rPr>
          <w:i/>
          <w:iCs/>
          <w:lang w:val="en-US"/>
        </w:rPr>
        <w:t xml:space="preserve">Bootstrapped Difference Tests for Edge-Weights at T1 </w:t>
      </w:r>
    </w:p>
    <w:p w14:paraId="22C43231" w14:textId="09881D44" w:rsidR="00A40179" w:rsidRPr="00861B35" w:rsidRDefault="00A40179" w:rsidP="00A40179">
      <w:pPr>
        <w:rPr>
          <w:lang w:val="en-US"/>
        </w:rPr>
      </w:pPr>
      <w:r w:rsidRPr="00861B35">
        <w:rPr>
          <w:i/>
          <w:iCs/>
          <w:lang w:val="en-US"/>
        </w:rPr>
        <w:t>Notes.</w:t>
      </w:r>
      <w:r w:rsidRPr="00861B35">
        <w:rPr>
          <w:lang w:val="en-US"/>
        </w:rPr>
        <w:t xml:space="preserve"> The results of the bootstrapped difference tests for edge-weights </w:t>
      </w:r>
      <w:r w:rsidR="00D27452" w:rsidRPr="00861B35">
        <w:rPr>
          <w:lang w:val="en-US"/>
        </w:rPr>
        <w:t>are</w:t>
      </w:r>
      <w:r w:rsidRPr="00861B35">
        <w:rPr>
          <w:lang w:val="en-US"/>
        </w:rPr>
        <w:t xml:space="preserve"> depicted in this figure. In total, there were (37*(37-1))/2 = 666 edges between 37 symptoms (20-item CES-D and 17-item PDS-C). The color of the boxes indicates whether there is a significant difference in edge-weights (</w:t>
      </w:r>
      <w:r w:rsidRPr="00861B35">
        <w:t>α</w:t>
      </w:r>
      <w:r w:rsidRPr="00861B35">
        <w:rPr>
          <w:lang w:val="en-US"/>
        </w:rPr>
        <w:t xml:space="preserve"> = 0.05). Grey boxes indicate no significant differences, while black boxes indicate significant differences (</w:t>
      </w:r>
      <w:r w:rsidRPr="00861B35">
        <w:t>α</w:t>
      </w:r>
      <w:r w:rsidRPr="00861B35">
        <w:rPr>
          <w:lang w:val="en-US"/>
        </w:rPr>
        <w:t xml:space="preserve"> = 0.05). The </w:t>
      </w:r>
      <w:r w:rsidR="00D27452" w:rsidRPr="00861B35">
        <w:rPr>
          <w:lang w:val="en-US"/>
        </w:rPr>
        <w:t xml:space="preserve">mostly white boxes forming the </w:t>
      </w:r>
      <w:r w:rsidRPr="00861B35">
        <w:rPr>
          <w:lang w:val="en-US"/>
        </w:rPr>
        <w:t>diagonal line indicat</w:t>
      </w:r>
      <w:r w:rsidR="00C861B1" w:rsidRPr="00861B35">
        <w:rPr>
          <w:lang w:val="en-US"/>
        </w:rPr>
        <w:t>e</w:t>
      </w:r>
      <w:r w:rsidRPr="00861B35">
        <w:rPr>
          <w:lang w:val="en-US"/>
        </w:rPr>
        <w:t xml:space="preserve"> the strength of </w:t>
      </w:r>
      <w:r w:rsidR="00D27452" w:rsidRPr="00861B35">
        <w:rPr>
          <w:lang w:val="en-US"/>
        </w:rPr>
        <w:t xml:space="preserve">each </w:t>
      </w:r>
      <w:r w:rsidRPr="00861B35">
        <w:rPr>
          <w:lang w:val="en-US"/>
        </w:rPr>
        <w:t>edge-weight</w:t>
      </w:r>
      <w:r w:rsidR="00D27452" w:rsidRPr="00861B35">
        <w:rPr>
          <w:lang w:val="en-US"/>
        </w:rPr>
        <w:t>. R</w:t>
      </w:r>
      <w:r w:rsidRPr="00861B35">
        <w:rPr>
          <w:lang w:val="en-US"/>
        </w:rPr>
        <w:t xml:space="preserve">ed </w:t>
      </w:r>
      <w:r w:rsidR="00D27452" w:rsidRPr="00861B35">
        <w:rPr>
          <w:lang w:val="en-US"/>
        </w:rPr>
        <w:t xml:space="preserve">boxes indicate </w:t>
      </w:r>
      <w:r w:rsidRPr="00861B35">
        <w:rPr>
          <w:lang w:val="en-US"/>
        </w:rPr>
        <w:t>negative associations</w:t>
      </w:r>
      <w:r w:rsidR="00D27452" w:rsidRPr="00861B35">
        <w:rPr>
          <w:lang w:val="en-US"/>
        </w:rPr>
        <w:t xml:space="preserve">; </w:t>
      </w:r>
      <w:r w:rsidRPr="00861B35">
        <w:rPr>
          <w:lang w:val="en-US"/>
        </w:rPr>
        <w:t xml:space="preserve">white </w:t>
      </w:r>
      <w:r w:rsidR="00D27452" w:rsidRPr="00861B35">
        <w:rPr>
          <w:lang w:val="en-US"/>
        </w:rPr>
        <w:t>boxes indicate weaker associations;</w:t>
      </w:r>
      <w:r w:rsidRPr="00861B35">
        <w:rPr>
          <w:lang w:val="en-US"/>
        </w:rPr>
        <w:t xml:space="preserve"> blue </w:t>
      </w:r>
      <w:r w:rsidR="00D27452" w:rsidRPr="00861B35">
        <w:rPr>
          <w:lang w:val="en-US"/>
        </w:rPr>
        <w:t>boxes indicate</w:t>
      </w:r>
      <w:r w:rsidRPr="00861B35">
        <w:rPr>
          <w:lang w:val="en-US"/>
        </w:rPr>
        <w:t xml:space="preserve"> stronger </w:t>
      </w:r>
      <w:r w:rsidR="00D27452" w:rsidRPr="00861B35">
        <w:rPr>
          <w:lang w:val="en-US"/>
        </w:rPr>
        <w:t>associations.</w:t>
      </w:r>
    </w:p>
    <w:p w14:paraId="034841BF" w14:textId="060EDF3B" w:rsidR="00FD7933" w:rsidRPr="00861B35" w:rsidRDefault="00FD7933" w:rsidP="00D27452">
      <w:pPr>
        <w:spacing w:before="100" w:beforeAutospacing="1" w:after="100" w:afterAutospacing="1"/>
        <w:rPr>
          <w:color w:val="000000"/>
          <w:lang w:val="en-US"/>
        </w:rPr>
      </w:pPr>
    </w:p>
    <w:p w14:paraId="03969FAC" w14:textId="4A2175FD" w:rsidR="00FD7933" w:rsidRPr="00861B35" w:rsidRDefault="00FD7933" w:rsidP="00A93C83">
      <w:pPr>
        <w:spacing w:before="100" w:beforeAutospacing="1" w:after="100" w:afterAutospacing="1"/>
        <w:ind w:left="567" w:hanging="567"/>
        <w:rPr>
          <w:color w:val="000000"/>
          <w:lang w:val="en-US"/>
        </w:rPr>
      </w:pPr>
      <w:r w:rsidRPr="00861B35">
        <w:rPr>
          <w:noProof/>
          <w:color w:val="000000"/>
          <w:lang w:val="en-US"/>
        </w:rPr>
        <w:lastRenderedPageBreak/>
        <w:drawing>
          <wp:inline distT="0" distB="0" distL="0" distR="0" wp14:anchorId="71F94B94" wp14:editId="096EA17D">
            <wp:extent cx="594360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C4BC" w14:textId="0C9BE1A9" w:rsidR="00D27452" w:rsidRPr="00861B35" w:rsidRDefault="00362890" w:rsidP="00D27452">
      <w:pPr>
        <w:spacing w:line="360" w:lineRule="auto"/>
        <w:rPr>
          <w:i/>
          <w:iCs/>
          <w:lang w:val="en-US"/>
        </w:rPr>
      </w:pPr>
      <w:r w:rsidRPr="00861B35">
        <w:rPr>
          <w:color w:val="000000"/>
          <w:lang w:val="en-US"/>
        </w:rPr>
        <w:t>Figure S12.</w:t>
      </w:r>
      <w:r w:rsidR="00D27452" w:rsidRPr="00861B35">
        <w:rPr>
          <w:color w:val="000000"/>
          <w:lang w:val="en-US"/>
        </w:rPr>
        <w:t xml:space="preserve"> </w:t>
      </w:r>
      <w:r w:rsidR="00D27452" w:rsidRPr="00861B35">
        <w:rPr>
          <w:i/>
          <w:iCs/>
          <w:lang w:val="en-US"/>
        </w:rPr>
        <w:t>Bootstrapped Difference Tests for Edge-Weights at T2</w:t>
      </w:r>
    </w:p>
    <w:p w14:paraId="66F72DEC" w14:textId="45D77E43" w:rsidR="00D27452" w:rsidRPr="00861B35" w:rsidRDefault="00D27452" w:rsidP="00D27452">
      <w:pPr>
        <w:rPr>
          <w:lang w:val="en-US"/>
        </w:rPr>
      </w:pPr>
      <w:r w:rsidRPr="00861B35">
        <w:rPr>
          <w:i/>
          <w:iCs/>
          <w:lang w:val="en-US"/>
        </w:rPr>
        <w:t>Notes.</w:t>
      </w:r>
      <w:r w:rsidRPr="00861B35">
        <w:rPr>
          <w:lang w:val="en-US"/>
        </w:rPr>
        <w:t xml:space="preserve"> The results of the bootstrapped difference tests for edge-weights are depicted in this figure. In total, there were (37*(37-1))/2 = 666 edges between 37 symptoms (20-item CES-D and 17-item PDS-C). The color of the boxes indicates whether there is a significant difference in edge-weights (</w:t>
      </w:r>
      <w:r w:rsidRPr="00861B35">
        <w:t>α</w:t>
      </w:r>
      <w:r w:rsidRPr="00861B35">
        <w:rPr>
          <w:lang w:val="en-US"/>
        </w:rPr>
        <w:t xml:space="preserve"> = 0.05). Grey boxes indicate no significant differences, while black boxes indicate significant differences (</w:t>
      </w:r>
      <w:r w:rsidRPr="00861B35">
        <w:t>α</w:t>
      </w:r>
      <w:r w:rsidRPr="00861B35">
        <w:rPr>
          <w:lang w:val="en-US"/>
        </w:rPr>
        <w:t xml:space="preserve"> = 0.05). The mostly white boxes forming the diagonal line indicate the strength of each edge-weight. Red boxes indicate negative associations; white boxes indicate weaker associations; blue boxes indicate stronger associations.</w:t>
      </w:r>
    </w:p>
    <w:p w14:paraId="3CB5149B" w14:textId="09E45B60" w:rsidR="00FD7933" w:rsidRPr="00861B35" w:rsidRDefault="00FD7933" w:rsidP="00D27452">
      <w:pPr>
        <w:spacing w:before="100" w:beforeAutospacing="1" w:after="100" w:afterAutospacing="1"/>
        <w:rPr>
          <w:color w:val="000000"/>
          <w:lang w:val="en-US"/>
        </w:rPr>
      </w:pPr>
    </w:p>
    <w:p w14:paraId="69A41D0F" w14:textId="4735C2A2" w:rsidR="00FD7933" w:rsidRPr="00861B35" w:rsidRDefault="00FD7933" w:rsidP="00A93C83">
      <w:pPr>
        <w:spacing w:before="100" w:beforeAutospacing="1" w:after="100" w:afterAutospacing="1"/>
        <w:ind w:left="567" w:hanging="567"/>
        <w:rPr>
          <w:color w:val="000000"/>
          <w:lang w:val="en-US"/>
        </w:rPr>
      </w:pPr>
      <w:r w:rsidRPr="00861B35">
        <w:rPr>
          <w:noProof/>
          <w:color w:val="000000"/>
          <w:lang w:val="en-US"/>
        </w:rPr>
        <w:lastRenderedPageBreak/>
        <w:drawing>
          <wp:inline distT="0" distB="0" distL="0" distR="0" wp14:anchorId="7478A9AC" wp14:editId="34E9F15A">
            <wp:extent cx="5943600" cy="5943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FB031" w14:textId="73DB1B1A" w:rsidR="00D27452" w:rsidRPr="00861B35" w:rsidRDefault="00362890" w:rsidP="00D27452">
      <w:pPr>
        <w:spacing w:line="360" w:lineRule="auto"/>
        <w:rPr>
          <w:i/>
          <w:iCs/>
          <w:lang w:val="en-US"/>
        </w:rPr>
      </w:pPr>
      <w:r w:rsidRPr="00861B35">
        <w:rPr>
          <w:color w:val="000000"/>
          <w:lang w:val="en-US"/>
        </w:rPr>
        <w:t>Figure S13.</w:t>
      </w:r>
      <w:r w:rsidR="00D27452" w:rsidRPr="00861B35">
        <w:rPr>
          <w:color w:val="000000"/>
          <w:lang w:val="en-US"/>
        </w:rPr>
        <w:t xml:space="preserve"> </w:t>
      </w:r>
      <w:r w:rsidR="00D27452" w:rsidRPr="00861B35">
        <w:rPr>
          <w:i/>
          <w:iCs/>
          <w:lang w:val="en-US"/>
        </w:rPr>
        <w:t>Bootstrapped Difference Tests for Edge-Weights at T3</w:t>
      </w:r>
    </w:p>
    <w:p w14:paraId="22AEE8B4" w14:textId="7713B1E5" w:rsidR="00FD7933" w:rsidRPr="00861B35" w:rsidRDefault="00D27452" w:rsidP="00D27452">
      <w:pPr>
        <w:rPr>
          <w:lang w:val="en-US"/>
        </w:rPr>
      </w:pPr>
      <w:r w:rsidRPr="00861B35">
        <w:rPr>
          <w:i/>
          <w:iCs/>
          <w:lang w:val="en-US"/>
        </w:rPr>
        <w:t>Notes.</w:t>
      </w:r>
      <w:r w:rsidRPr="00861B35">
        <w:rPr>
          <w:lang w:val="en-US"/>
        </w:rPr>
        <w:t xml:space="preserve"> The results of the bootstrapped difference tests for edge-weights are depicted in this figure. In total, there were (37*(37-1))/2 = 666 edges between 37 symptoms (20-item CES-D and 17-item PDS-C). The color of the boxes indicates whether there is a significant difference in edge-weights (</w:t>
      </w:r>
      <w:r w:rsidRPr="00861B35">
        <w:t>α</w:t>
      </w:r>
      <w:r w:rsidRPr="00861B35">
        <w:rPr>
          <w:lang w:val="en-US"/>
        </w:rPr>
        <w:t xml:space="preserve"> = 0.05). Grey boxes indicate no significant differences, while black boxes indicate significant differences (</w:t>
      </w:r>
      <w:r w:rsidRPr="00861B35">
        <w:t>α</w:t>
      </w:r>
      <w:r w:rsidRPr="00861B35">
        <w:rPr>
          <w:lang w:val="en-US"/>
        </w:rPr>
        <w:t xml:space="preserve"> = 0.05). The mostly white boxes forming the diagonal line indicate the strength of each edge-weight. Red boxes indicate negative associations; white boxes indicate weaker associations; blue boxes indicate stronger associations.</w:t>
      </w:r>
    </w:p>
    <w:p w14:paraId="50D59928" w14:textId="6E680C8F" w:rsidR="00FD7933" w:rsidRPr="00861B35" w:rsidRDefault="00FD7933" w:rsidP="00A93C83">
      <w:pPr>
        <w:spacing w:before="100" w:beforeAutospacing="1" w:after="100" w:afterAutospacing="1"/>
        <w:ind w:left="567" w:hanging="567"/>
        <w:rPr>
          <w:color w:val="000000"/>
          <w:lang w:val="en-US"/>
        </w:rPr>
      </w:pPr>
      <w:r w:rsidRPr="00861B35">
        <w:rPr>
          <w:noProof/>
          <w:color w:val="000000"/>
          <w:lang w:val="en-US"/>
        </w:rPr>
        <w:lastRenderedPageBreak/>
        <w:drawing>
          <wp:inline distT="0" distB="0" distL="0" distR="0" wp14:anchorId="28B6C129" wp14:editId="445377EC">
            <wp:extent cx="5943600" cy="5943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AE2D" w14:textId="37A102C6" w:rsidR="00D27452" w:rsidRPr="00861B35" w:rsidRDefault="00362890" w:rsidP="00D27452">
      <w:pPr>
        <w:spacing w:line="360" w:lineRule="auto"/>
        <w:rPr>
          <w:i/>
          <w:iCs/>
          <w:lang w:val="en-US"/>
        </w:rPr>
      </w:pPr>
      <w:r w:rsidRPr="00861B35">
        <w:rPr>
          <w:color w:val="000000"/>
          <w:lang w:val="en-US"/>
        </w:rPr>
        <w:t>Figure S14.</w:t>
      </w:r>
      <w:r w:rsidR="00D27452" w:rsidRPr="00861B35">
        <w:rPr>
          <w:color w:val="000000"/>
          <w:lang w:val="en-US"/>
        </w:rPr>
        <w:t xml:space="preserve"> </w:t>
      </w:r>
      <w:r w:rsidR="00D27452" w:rsidRPr="00861B35">
        <w:rPr>
          <w:i/>
          <w:iCs/>
          <w:lang w:val="en-US"/>
        </w:rPr>
        <w:t>Bootstrapped Difference Tests for Edge-Weights at T4</w:t>
      </w:r>
    </w:p>
    <w:p w14:paraId="57E6BDFE" w14:textId="499C8B10" w:rsidR="00FD7933" w:rsidRPr="00861B35" w:rsidRDefault="00D27452" w:rsidP="00D27452">
      <w:pPr>
        <w:rPr>
          <w:lang w:val="en-US"/>
        </w:rPr>
      </w:pPr>
      <w:r w:rsidRPr="00861B35">
        <w:rPr>
          <w:i/>
          <w:iCs/>
          <w:lang w:val="en-US"/>
        </w:rPr>
        <w:t>Notes.</w:t>
      </w:r>
      <w:r w:rsidRPr="00861B35">
        <w:rPr>
          <w:lang w:val="en-US"/>
        </w:rPr>
        <w:t xml:space="preserve"> The results of the bootstrapped difference tests for edge-weights are depicted in this figure. In total, there were (37*(37-1))/2 = 666 edges between 37 symptoms (20-item CES-D and 17-item PDS-C). The color of the boxes indicates whether there is a significant difference in edge-weights (</w:t>
      </w:r>
      <w:r w:rsidRPr="00861B35">
        <w:t>α</w:t>
      </w:r>
      <w:r w:rsidRPr="00861B35">
        <w:rPr>
          <w:lang w:val="en-US"/>
        </w:rPr>
        <w:t xml:space="preserve"> = 0.05). Grey boxes indicate no significant differences, while black boxes indicate significant differences (</w:t>
      </w:r>
      <w:r w:rsidRPr="00861B35">
        <w:t>α</w:t>
      </w:r>
      <w:r w:rsidRPr="00861B35">
        <w:rPr>
          <w:lang w:val="en-US"/>
        </w:rPr>
        <w:t xml:space="preserve"> = 0.05). The mostly white boxes forming the diagonal line indicate the strength of each edge-weight. Red boxes indicate negative associations; white boxes indicate weaker associations; blue boxes indicate stronger associations.</w:t>
      </w:r>
    </w:p>
    <w:p w14:paraId="73888B52" w14:textId="64E42E04" w:rsidR="00A93C83" w:rsidRPr="00861B35" w:rsidRDefault="00A93C83" w:rsidP="00A93C83">
      <w:pPr>
        <w:spacing w:before="100" w:beforeAutospacing="1" w:after="100" w:afterAutospacing="1"/>
        <w:ind w:left="567" w:hanging="567"/>
        <w:rPr>
          <w:color w:val="000000"/>
          <w:lang w:val="en-US"/>
        </w:rPr>
      </w:pPr>
    </w:p>
    <w:p w14:paraId="1E95839B" w14:textId="77777777" w:rsidR="00C861B1" w:rsidRPr="00861B35" w:rsidRDefault="00C861B1" w:rsidP="00A93C83">
      <w:pPr>
        <w:spacing w:before="100" w:beforeAutospacing="1" w:after="100" w:afterAutospacing="1"/>
        <w:ind w:left="567" w:hanging="567"/>
        <w:rPr>
          <w:color w:val="000000"/>
          <w:lang w:val="en-US"/>
        </w:rPr>
      </w:pPr>
      <w:r w:rsidRPr="00861B35">
        <w:rPr>
          <w:noProof/>
          <w:color w:val="000000"/>
          <w:lang w:val="en-US"/>
        </w:rPr>
        <w:lastRenderedPageBreak/>
        <w:drawing>
          <wp:inline distT="0" distB="0" distL="0" distR="0" wp14:anchorId="68BCAF06" wp14:editId="29911BDE">
            <wp:extent cx="4396740" cy="5143153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700" cy="519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5148B" w14:textId="4ACFBD14" w:rsidR="00A93C83" w:rsidRPr="00861B35" w:rsidRDefault="00A93C83" w:rsidP="00A93C83">
      <w:pPr>
        <w:spacing w:before="100" w:beforeAutospacing="1" w:after="100" w:afterAutospacing="1"/>
        <w:ind w:left="567" w:hanging="567"/>
        <w:rPr>
          <w:i/>
          <w:iCs/>
          <w:color w:val="000000"/>
          <w:lang w:val="en-US"/>
        </w:rPr>
      </w:pPr>
      <w:r w:rsidRPr="00861B35">
        <w:rPr>
          <w:color w:val="000000"/>
          <w:lang w:val="en-US"/>
        </w:rPr>
        <w:t>Figure S</w:t>
      </w:r>
      <w:r w:rsidR="00B90ABA" w:rsidRPr="00861B35">
        <w:rPr>
          <w:color w:val="000000"/>
          <w:lang w:val="en-US"/>
        </w:rPr>
        <w:t>15</w:t>
      </w:r>
      <w:r w:rsidRPr="00861B35">
        <w:rPr>
          <w:color w:val="000000"/>
          <w:lang w:val="en-US"/>
        </w:rPr>
        <w:t xml:space="preserve">. </w:t>
      </w:r>
      <w:r w:rsidRPr="00861B35">
        <w:rPr>
          <w:i/>
          <w:iCs/>
          <w:color w:val="000000"/>
          <w:lang w:val="en-US"/>
        </w:rPr>
        <w:t>A Directed Acyclic Graph (DAG) of PSTD and Depression Symptoms at T1 (N = 340)</w:t>
      </w:r>
    </w:p>
    <w:p w14:paraId="2C5595E2" w14:textId="2FC95759" w:rsidR="00A93C83" w:rsidRPr="00861B35" w:rsidRDefault="00A93C83" w:rsidP="00C861B1">
      <w:pPr>
        <w:spacing w:before="100" w:beforeAutospacing="1" w:after="100" w:afterAutospacing="1"/>
        <w:rPr>
          <w:color w:val="000000"/>
          <w:lang w:val="en-US"/>
        </w:rPr>
      </w:pPr>
      <w:r w:rsidRPr="00861B35">
        <w:rPr>
          <w:i/>
          <w:iCs/>
          <w:color w:val="000000"/>
          <w:lang w:val="en-US"/>
        </w:rPr>
        <w:t xml:space="preserve">Note. </w:t>
      </w:r>
      <w:r w:rsidR="00861B35">
        <w:rPr>
          <w:color w:val="000000"/>
          <w:lang w:val="en-US"/>
        </w:rPr>
        <w:t>(R)</w:t>
      </w:r>
      <w:r w:rsidR="00C861B1" w:rsidRPr="00861B35">
        <w:rPr>
          <w:i/>
          <w:iCs/>
          <w:color w:val="000000"/>
          <w:lang w:val="en-US"/>
        </w:rPr>
        <w:t xml:space="preserve"> </w:t>
      </w:r>
      <w:r w:rsidR="00C861B1" w:rsidRPr="00861B35">
        <w:rPr>
          <w:color w:val="000000"/>
          <w:lang w:val="en-US"/>
        </w:rPr>
        <w:t xml:space="preserve">= reverse scored and worded. Bother = Feel bothered. PAppetite = </w:t>
      </w:r>
      <w:r w:rsidR="00861B35" w:rsidRPr="00861B35">
        <w:rPr>
          <w:rFonts w:eastAsiaTheme="minorEastAsia"/>
          <w:color w:val="000000"/>
          <w:lang w:val="en-US"/>
        </w:rPr>
        <w:t>Poor</w:t>
      </w:r>
      <w:r w:rsidR="00861B35" w:rsidRPr="00861B35">
        <w:rPr>
          <w:color w:val="000000"/>
          <w:lang w:val="en-US"/>
        </w:rPr>
        <w:t xml:space="preserve"> Appetite</w:t>
      </w:r>
      <w:r w:rsidR="00C861B1" w:rsidRPr="00861B35">
        <w:rPr>
          <w:color w:val="000000"/>
          <w:lang w:val="en-US"/>
        </w:rPr>
        <w:t>. Blue = Feel blue. Good (R) = Lack feeling good. Mindless = Trouble keeping my mind. Depressed = Depressed mood. Effort = Effortful. Hope (R) = Hopelessness. Failure = Feel failure. Fear = Fearful. RestSleep = Restless sleep. Happy (R) = Lack happiness. TalkLess = Talk less. Lonely = Lonely. Unfriendly = Find people unfriendly. Enjoy (R) = Lack enjoyment. Cry = Crying. Sad = Sadness. Disliked = Feel disliked. NotGetGo = Cannot get going. ThIntrusive = Intrusive thought. Nightmare = Nightmare. Flashback = Flashback. EmoReact Emotional cue. PhyReact = Physiological cue. ThAvoid = Avoid thought. Upset = Upset. RemAvoid = Avoid reminder. LInterest = Loss of interest. Detach = Detachment. RestrictA = Restricted affect. FortFuture = Foreshortened future. DisSleep = Sleep disturbance. Irritate = Irritability/anger. DiffConcen = Difficulty concentrating. HVigilant = Hypervigilance. Startle = Exaggerated startle.</w:t>
      </w:r>
    </w:p>
    <w:sectPr w:rsidR="00A93C83" w:rsidRPr="00861B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C83"/>
    <w:rsid w:val="000473A9"/>
    <w:rsid w:val="0017380F"/>
    <w:rsid w:val="001C0104"/>
    <w:rsid w:val="002264DF"/>
    <w:rsid w:val="00362890"/>
    <w:rsid w:val="00417B20"/>
    <w:rsid w:val="004B239C"/>
    <w:rsid w:val="0051606A"/>
    <w:rsid w:val="005B7E90"/>
    <w:rsid w:val="0082404F"/>
    <w:rsid w:val="00861B35"/>
    <w:rsid w:val="008A1D72"/>
    <w:rsid w:val="00A2694E"/>
    <w:rsid w:val="00A40179"/>
    <w:rsid w:val="00A93C83"/>
    <w:rsid w:val="00B85D2C"/>
    <w:rsid w:val="00B90ABA"/>
    <w:rsid w:val="00C861B1"/>
    <w:rsid w:val="00CA240C"/>
    <w:rsid w:val="00CF48E0"/>
    <w:rsid w:val="00D27452"/>
    <w:rsid w:val="00D71C2D"/>
    <w:rsid w:val="00E801E4"/>
    <w:rsid w:val="00FD7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5388E"/>
  <w15:chartTrackingRefBased/>
  <w15:docId w15:val="{1196BE7E-87D6-514E-A106-B016F8B37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3C83"/>
    <w:rPr>
      <w:rFonts w:ascii="Times New Roman" w:eastAsia="Times New Roman" w:hAnsi="Times New Roman" w:cs="Times New Roman"/>
      <w:lang w:val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0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1458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Chen S. Mark</cp:lastModifiedBy>
  <cp:revision>3</cp:revision>
  <dcterms:created xsi:type="dcterms:W3CDTF">2022-05-05T01:51:00Z</dcterms:created>
  <dcterms:modified xsi:type="dcterms:W3CDTF">2022-05-05T01:52:00Z</dcterms:modified>
</cp:coreProperties>
</file>