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1405" w14:textId="77777777" w:rsidR="00602C02" w:rsidRPr="00236666" w:rsidRDefault="00602C02" w:rsidP="00602C0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36666">
        <w:rPr>
          <w:rFonts w:ascii="Times New Roman" w:hAnsi="Times New Roman" w:cs="Times New Roman"/>
          <w:b/>
          <w:sz w:val="24"/>
          <w:szCs w:val="24"/>
          <w:lang w:val="en-GB"/>
        </w:rPr>
        <w:t>The impact of renal denervation procedure on use of antihypertensive drugs in the real-life setting</w:t>
      </w:r>
    </w:p>
    <w:p w14:paraId="749709B6" w14:textId="77777777" w:rsidR="00602C02" w:rsidRPr="00236666" w:rsidRDefault="00602C02" w:rsidP="00602C02">
      <w:pPr>
        <w:spacing w:before="240" w:after="240" w:line="480" w:lineRule="auto"/>
        <w:ind w:right="-6"/>
        <w:jc w:val="center"/>
        <w:rPr>
          <w:rFonts w:ascii="Times New Roman" w:hAnsi="Times New Roman"/>
        </w:rPr>
      </w:pPr>
      <w:r w:rsidRPr="00236666">
        <w:rPr>
          <w:rFonts w:ascii="Times New Roman" w:hAnsi="Times New Roman"/>
        </w:rPr>
        <w:t xml:space="preserve">Federico REA </w:t>
      </w:r>
      <w:r w:rsidRPr="00236666">
        <w:rPr>
          <w:rFonts w:ascii="Times New Roman" w:hAnsi="Times New Roman"/>
          <w:vertAlign w:val="superscript"/>
        </w:rPr>
        <w:t>1,2</w:t>
      </w:r>
      <w:r w:rsidRPr="00236666">
        <w:rPr>
          <w:rFonts w:ascii="Times New Roman" w:hAnsi="Times New Roman"/>
        </w:rPr>
        <w:t xml:space="preserve">, Gabriella MORABITO </w:t>
      </w:r>
      <w:r w:rsidRPr="00236666">
        <w:rPr>
          <w:rFonts w:ascii="Times New Roman" w:hAnsi="Times New Roman"/>
          <w:vertAlign w:val="superscript"/>
        </w:rPr>
        <w:t>1</w:t>
      </w:r>
      <w:r w:rsidRPr="00236666">
        <w:rPr>
          <w:rFonts w:ascii="Times New Roman" w:hAnsi="Times New Roman"/>
        </w:rPr>
        <w:t>, Laura SAVAR</w:t>
      </w:r>
      <w:r w:rsidRPr="00236666">
        <w:rPr>
          <w:rFonts w:ascii="Times New Roman" w:hAnsi="Times New Roman"/>
          <w:caps/>
        </w:rPr>
        <w:t>é</w:t>
      </w:r>
      <w:r w:rsidRPr="00236666">
        <w:rPr>
          <w:rFonts w:ascii="Times New Roman" w:hAnsi="Times New Roman"/>
        </w:rPr>
        <w:t xml:space="preserve"> </w:t>
      </w:r>
      <w:r w:rsidRPr="00236666">
        <w:rPr>
          <w:rFonts w:ascii="Times New Roman" w:hAnsi="Times New Roman"/>
          <w:vertAlign w:val="superscript"/>
        </w:rPr>
        <w:t>1,3,4</w:t>
      </w:r>
      <w:r w:rsidRPr="00236666">
        <w:rPr>
          <w:rFonts w:ascii="Times New Roman" w:hAnsi="Times New Roman"/>
        </w:rPr>
        <w:t xml:space="preserve">, Giovanni CORRAO </w:t>
      </w:r>
      <w:r w:rsidRPr="00236666">
        <w:rPr>
          <w:rFonts w:ascii="Times New Roman" w:hAnsi="Times New Roman"/>
          <w:vertAlign w:val="superscript"/>
        </w:rPr>
        <w:t>1,2</w:t>
      </w:r>
      <w:r w:rsidRPr="00236666">
        <w:rPr>
          <w:rFonts w:ascii="Times New Roman" w:hAnsi="Times New Roman"/>
        </w:rPr>
        <w:t xml:space="preserve">, Giuseppe MANCIA </w:t>
      </w:r>
      <w:r w:rsidRPr="00236666">
        <w:rPr>
          <w:rFonts w:ascii="Times New Roman" w:hAnsi="Times New Roman"/>
          <w:vertAlign w:val="superscript"/>
        </w:rPr>
        <w:t>5</w:t>
      </w:r>
    </w:p>
    <w:p w14:paraId="615C7BBC" w14:textId="77777777" w:rsidR="00602C02" w:rsidRPr="00236666" w:rsidRDefault="00602C02" w:rsidP="00602C02">
      <w:pPr>
        <w:spacing w:before="240" w:after="240" w:line="480" w:lineRule="auto"/>
        <w:ind w:right="-6"/>
        <w:jc w:val="both"/>
        <w:rPr>
          <w:rFonts w:ascii="Times New Roman" w:hAnsi="Times New Roman"/>
        </w:rPr>
      </w:pPr>
    </w:p>
    <w:p w14:paraId="3403B570" w14:textId="77777777" w:rsidR="00602C02" w:rsidRPr="00236666" w:rsidRDefault="00602C02" w:rsidP="00602C02">
      <w:pPr>
        <w:spacing w:before="240" w:after="240" w:line="480" w:lineRule="auto"/>
        <w:ind w:right="-6"/>
        <w:jc w:val="both"/>
        <w:rPr>
          <w:rFonts w:ascii="Times New Roman" w:hAnsi="Times New Roman"/>
          <w:sz w:val="24"/>
          <w:lang w:val="en"/>
        </w:rPr>
      </w:pPr>
      <w:r w:rsidRPr="00236666">
        <w:rPr>
          <w:rFonts w:ascii="Times New Roman" w:hAnsi="Times New Roman"/>
          <w:sz w:val="24"/>
          <w:vertAlign w:val="superscript"/>
          <w:lang w:val="en-GB"/>
        </w:rPr>
        <w:t>1</w:t>
      </w:r>
      <w:r w:rsidRPr="00236666">
        <w:rPr>
          <w:rFonts w:ascii="Times New Roman" w:hAnsi="Times New Roman"/>
          <w:sz w:val="24"/>
          <w:lang w:val="en"/>
        </w:rPr>
        <w:t xml:space="preserve"> National Centre for Healthcare Research &amp; Pharmacoepidemiology, at the University of Milano-Bicocca Milan, Italy</w:t>
      </w:r>
    </w:p>
    <w:p w14:paraId="0D5450DF" w14:textId="77777777" w:rsidR="00602C02" w:rsidRPr="00236666" w:rsidRDefault="00602C02" w:rsidP="00602C02">
      <w:pPr>
        <w:spacing w:before="240" w:after="240" w:line="480" w:lineRule="auto"/>
        <w:ind w:right="-6"/>
        <w:jc w:val="both"/>
        <w:rPr>
          <w:rFonts w:ascii="Times New Roman" w:hAnsi="Times New Roman"/>
          <w:sz w:val="24"/>
          <w:lang w:val="en"/>
        </w:rPr>
      </w:pPr>
      <w:r w:rsidRPr="00236666">
        <w:rPr>
          <w:rFonts w:ascii="Times New Roman" w:hAnsi="Times New Roman"/>
          <w:sz w:val="24"/>
          <w:vertAlign w:val="superscript"/>
          <w:lang w:val="en"/>
        </w:rPr>
        <w:t>2</w:t>
      </w:r>
      <w:r w:rsidRPr="00236666">
        <w:rPr>
          <w:rFonts w:ascii="Times New Roman" w:hAnsi="Times New Roman"/>
          <w:sz w:val="24"/>
          <w:lang w:val="en"/>
        </w:rPr>
        <w:t xml:space="preserve"> Laboratory of Healthcare Research &amp; Pharmacoepidemiology, Unit of Biostatistics, Epidemiology and Public Health, Department of Statistics and Quantitative Methods, University of Milano-Bicocca, Milan, Italy</w:t>
      </w:r>
    </w:p>
    <w:p w14:paraId="76AF43EA" w14:textId="77777777" w:rsidR="00602C02" w:rsidRPr="00236666" w:rsidRDefault="00602C02" w:rsidP="00602C02">
      <w:pPr>
        <w:spacing w:before="240" w:after="240" w:line="480" w:lineRule="auto"/>
        <w:ind w:right="-6"/>
        <w:jc w:val="both"/>
        <w:rPr>
          <w:rFonts w:ascii="Times New Roman" w:hAnsi="Times New Roman"/>
          <w:sz w:val="24"/>
          <w:lang w:val="en"/>
        </w:rPr>
      </w:pPr>
      <w:r w:rsidRPr="00236666">
        <w:rPr>
          <w:rFonts w:ascii="Times New Roman" w:hAnsi="Times New Roman"/>
          <w:sz w:val="24"/>
          <w:vertAlign w:val="superscript"/>
          <w:lang w:val="en"/>
        </w:rPr>
        <w:t>3</w:t>
      </w:r>
      <w:r w:rsidRPr="00236666">
        <w:rPr>
          <w:rFonts w:ascii="Times New Roman" w:hAnsi="Times New Roman"/>
          <w:sz w:val="24"/>
          <w:lang w:val="en"/>
        </w:rPr>
        <w:t xml:space="preserve"> MOX - Laboratory for Modeling and Scientific Computing, Department of Mathematics, Politecnico di Milano, Milan, Italy</w:t>
      </w:r>
    </w:p>
    <w:p w14:paraId="3CCD5E18" w14:textId="77777777" w:rsidR="00602C02" w:rsidRPr="00236666" w:rsidRDefault="00602C02" w:rsidP="00602C02">
      <w:pPr>
        <w:spacing w:before="240" w:after="240" w:line="480" w:lineRule="auto"/>
        <w:ind w:right="-6"/>
        <w:jc w:val="both"/>
        <w:rPr>
          <w:rFonts w:ascii="Times New Roman" w:hAnsi="Times New Roman"/>
          <w:sz w:val="24"/>
          <w:lang w:val="en"/>
        </w:rPr>
      </w:pPr>
      <w:r w:rsidRPr="00236666">
        <w:rPr>
          <w:rFonts w:ascii="Times New Roman" w:hAnsi="Times New Roman"/>
          <w:sz w:val="24"/>
          <w:vertAlign w:val="superscript"/>
          <w:lang w:val="en"/>
        </w:rPr>
        <w:t>4</w:t>
      </w:r>
      <w:r w:rsidRPr="00236666">
        <w:rPr>
          <w:rFonts w:ascii="Times New Roman" w:hAnsi="Times New Roman"/>
          <w:sz w:val="24"/>
          <w:lang w:val="en"/>
        </w:rPr>
        <w:t xml:space="preserve"> CADS - Center for Analysis Decisions and Society, Human Technopole, Milan, Italy</w:t>
      </w:r>
    </w:p>
    <w:p w14:paraId="2D9FA2C0" w14:textId="77777777" w:rsidR="00602C02" w:rsidRPr="00236666" w:rsidRDefault="00602C02" w:rsidP="00602C02">
      <w:pPr>
        <w:spacing w:before="240" w:after="240" w:line="480" w:lineRule="auto"/>
        <w:ind w:right="-6"/>
        <w:jc w:val="both"/>
        <w:rPr>
          <w:rFonts w:ascii="Times New Roman" w:hAnsi="Times New Roman"/>
          <w:sz w:val="24"/>
          <w:lang w:val="en-US"/>
        </w:rPr>
      </w:pPr>
      <w:r w:rsidRPr="00236666">
        <w:rPr>
          <w:rFonts w:ascii="Times New Roman" w:hAnsi="Times New Roman"/>
          <w:sz w:val="24"/>
          <w:vertAlign w:val="superscript"/>
          <w:lang w:val="en-US"/>
        </w:rPr>
        <w:t>5</w:t>
      </w:r>
      <w:r w:rsidRPr="00236666">
        <w:rPr>
          <w:rFonts w:ascii="Times New Roman" w:hAnsi="Times New Roman"/>
          <w:sz w:val="24"/>
          <w:lang w:val="en-US"/>
        </w:rPr>
        <w:t xml:space="preserve"> University of Milano-Bicocca (Emeritus Professor), Milan, Italy</w:t>
      </w:r>
    </w:p>
    <w:p w14:paraId="60336608" w14:textId="77777777" w:rsidR="00602C02" w:rsidRPr="00236666" w:rsidRDefault="00602C02" w:rsidP="00602C02">
      <w:pPr>
        <w:spacing w:before="240" w:after="240" w:line="480" w:lineRule="auto"/>
        <w:ind w:right="-6"/>
        <w:jc w:val="both"/>
        <w:rPr>
          <w:rFonts w:ascii="Times New Roman" w:hAnsi="Times New Roman"/>
          <w:sz w:val="24"/>
          <w:lang w:val="en-US"/>
        </w:rPr>
      </w:pPr>
    </w:p>
    <w:p w14:paraId="1BE289F9" w14:textId="44380A0E" w:rsidR="00602C02" w:rsidRPr="00236666" w:rsidRDefault="00602C02" w:rsidP="00602C02">
      <w:pPr>
        <w:spacing w:after="0" w:line="480" w:lineRule="auto"/>
        <w:jc w:val="center"/>
        <w:rPr>
          <w:rFonts w:ascii="Times New Roman" w:hAnsi="Times New Roman" w:cs="Times New Roman"/>
          <w:bCs/>
          <w:sz w:val="40"/>
          <w:szCs w:val="40"/>
          <w:lang w:val="en-US"/>
        </w:rPr>
      </w:pPr>
      <w:r w:rsidRPr="00236666">
        <w:rPr>
          <w:rFonts w:ascii="Times New Roman" w:hAnsi="Times New Roman" w:cs="Times New Roman"/>
          <w:b/>
          <w:sz w:val="40"/>
          <w:szCs w:val="40"/>
          <w:lang w:val="en-US"/>
        </w:rPr>
        <w:t>SUPPLEMENTARY MATERIAL</w:t>
      </w:r>
    </w:p>
    <w:p w14:paraId="44AAC0AB" w14:textId="77777777" w:rsidR="00602C02" w:rsidRPr="00236666" w:rsidRDefault="00602C0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36666"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2837860E" w14:textId="7DD64AC3" w:rsidR="00352210" w:rsidRPr="00236666" w:rsidRDefault="00352210" w:rsidP="0035221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36666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Supplementary Table S</w:t>
      </w:r>
      <w:r w:rsidR="00AC6ED0" w:rsidRPr="00236666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Pr="0023666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C6ED0" w:rsidRPr="00236666">
        <w:rPr>
          <w:rFonts w:ascii="Times New Roman" w:hAnsi="Times New Roman" w:cs="Times New Roman"/>
          <w:sz w:val="24"/>
          <w:szCs w:val="24"/>
          <w:lang w:val="en-GB"/>
        </w:rPr>
        <w:t xml:space="preserve">Non-antihypertensive </w:t>
      </w:r>
      <w:r w:rsidRPr="00236666">
        <w:rPr>
          <w:rFonts w:ascii="Times New Roman" w:hAnsi="Times New Roman" w:cs="Times New Roman"/>
          <w:sz w:val="24"/>
          <w:szCs w:val="24"/>
          <w:lang w:val="en-GB"/>
        </w:rPr>
        <w:t>drugs</w:t>
      </w:r>
      <w:r w:rsidR="00AC6ED0" w:rsidRPr="0023666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36666">
        <w:rPr>
          <w:rFonts w:ascii="Times New Roman" w:hAnsi="Times New Roman" w:cs="Times New Roman"/>
          <w:sz w:val="24"/>
          <w:szCs w:val="24"/>
          <w:lang w:val="en-GB"/>
        </w:rPr>
        <w:t>prescribed in the year before the index admission and during the 3 years after the index discharge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2970"/>
        <w:gridCol w:w="1134"/>
        <w:gridCol w:w="1134"/>
        <w:gridCol w:w="1134"/>
        <w:gridCol w:w="1134"/>
        <w:gridCol w:w="1134"/>
        <w:gridCol w:w="943"/>
      </w:tblGrid>
      <w:tr w:rsidR="00352210" w:rsidRPr="00236666" w14:paraId="5E0972D7" w14:textId="77777777" w:rsidTr="003A4535">
        <w:tc>
          <w:tcPr>
            <w:tcW w:w="2970" w:type="dxa"/>
            <w:vMerge w:val="restart"/>
            <w:tcBorders>
              <w:left w:val="nil"/>
              <w:right w:val="nil"/>
            </w:tcBorders>
            <w:vAlign w:val="center"/>
          </w:tcPr>
          <w:p w14:paraId="751E8E1D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Medications</w:t>
            </w: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14:paraId="303EF63B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Before</w:t>
            </w:r>
          </w:p>
          <w:p w14:paraId="7A790D79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(N=136)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06C535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After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C84B9C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p-trend</w:t>
            </w:r>
          </w:p>
        </w:tc>
      </w:tr>
      <w:tr w:rsidR="00352210" w:rsidRPr="00236666" w14:paraId="56021638" w14:textId="77777777" w:rsidTr="003A4535">
        <w:tc>
          <w:tcPr>
            <w:tcW w:w="29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8793C6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3CDB77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BC111D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 months</w:t>
            </w:r>
          </w:p>
          <w:p w14:paraId="21E957CF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(N=134)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DA649D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 year</w:t>
            </w:r>
          </w:p>
          <w:p w14:paraId="4852884B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(N=132)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4373FF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years</w:t>
            </w:r>
          </w:p>
          <w:p w14:paraId="33C5D3CE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(N=130)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5B5B54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 years</w:t>
            </w:r>
          </w:p>
          <w:p w14:paraId="16CB8906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(N=125)</w:t>
            </w:r>
          </w:p>
        </w:tc>
        <w:tc>
          <w:tcPr>
            <w:tcW w:w="94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54670D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52210" w:rsidRPr="00236666" w14:paraId="6AB8243D" w14:textId="77777777" w:rsidTr="003A4535">
        <w:tc>
          <w:tcPr>
            <w:tcW w:w="29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91B3A89" w14:textId="77777777" w:rsidR="00352210" w:rsidRPr="00236666" w:rsidRDefault="00352210" w:rsidP="003A4535">
            <w:pPr>
              <w:spacing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Digitalis glycosides</w:t>
            </w: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4A16B98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</w:t>
            </w:r>
          </w:p>
          <w:p w14:paraId="0FA9672F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(0.7%)</w:t>
            </w: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0E83C0E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 </w:t>
            </w:r>
          </w:p>
          <w:p w14:paraId="1854D7F4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(2.2%)</w:t>
            </w: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</w:tcPr>
          <w:p w14:paraId="09ED70A7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 </w:t>
            </w:r>
          </w:p>
          <w:p w14:paraId="7507754E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(1.5%)</w:t>
            </w: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</w:tcPr>
          <w:p w14:paraId="3A2C2BD8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 </w:t>
            </w:r>
          </w:p>
          <w:p w14:paraId="4B9AD6B5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(2.3%)</w:t>
            </w: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</w:tcPr>
          <w:p w14:paraId="0E2BC469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 </w:t>
            </w:r>
          </w:p>
          <w:p w14:paraId="401A9DC7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(1.6%)</w:t>
            </w:r>
          </w:p>
        </w:tc>
        <w:tc>
          <w:tcPr>
            <w:tcW w:w="94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823A685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1.000</w:t>
            </w:r>
          </w:p>
        </w:tc>
      </w:tr>
      <w:tr w:rsidR="00352210" w:rsidRPr="00236666" w14:paraId="4EA33592" w14:textId="77777777" w:rsidTr="003A4535"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5335E4" w14:textId="77777777" w:rsidR="00352210" w:rsidRPr="00236666" w:rsidRDefault="00352210" w:rsidP="003A4535">
            <w:pPr>
              <w:spacing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 nitrates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473DB9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 (15.4%)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17D080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(14.9%)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A6A6BA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 (9.9%)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56FA73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 (13.9%)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D2CF30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 (12.8%)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63543C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0.172</w:t>
            </w:r>
          </w:p>
        </w:tc>
      </w:tr>
      <w:tr w:rsidR="00352210" w:rsidRPr="00236666" w14:paraId="5EC4A94F" w14:textId="77777777" w:rsidTr="003A4535"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4B0F95" w14:textId="77777777" w:rsidR="00352210" w:rsidRPr="00236666" w:rsidRDefault="00352210" w:rsidP="003A4535">
            <w:pPr>
              <w:spacing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Antiarrhythmics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A1B665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 (8.1%)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DF36C8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 (10.0%)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455452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9 </w:t>
            </w:r>
          </w:p>
          <w:p w14:paraId="22C0BA70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(6.8%)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BD1CD9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9 </w:t>
            </w:r>
          </w:p>
          <w:p w14:paraId="30089995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(6.9%)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F8C06B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 (8.0%)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FABA29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0.509</w:t>
            </w:r>
          </w:p>
        </w:tc>
      </w:tr>
      <w:tr w:rsidR="00352210" w:rsidRPr="00236666" w14:paraId="2E2AD859" w14:textId="77777777" w:rsidTr="003A4535"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A0238D" w14:textId="77777777" w:rsidR="00352210" w:rsidRPr="00236666" w:rsidRDefault="00352210" w:rsidP="003A4535">
            <w:pPr>
              <w:spacing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Lipid-lowering agents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80A89F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83 (61.0%)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D1B1C8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 (67.2%)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9E0D37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77 (58.3%)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6DBC5D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81 (62.3%)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E01D44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76 (60.8%)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ECF9F9A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0.060</w:t>
            </w:r>
          </w:p>
        </w:tc>
      </w:tr>
      <w:tr w:rsidR="00352210" w:rsidRPr="00236666" w14:paraId="570D852D" w14:textId="77777777" w:rsidTr="003A4535"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BA9C7C" w14:textId="77777777" w:rsidR="00352210" w:rsidRPr="00236666" w:rsidRDefault="00352210" w:rsidP="003A4535">
            <w:pPr>
              <w:spacing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Antiplatelets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1205D4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81 (59.6%)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768C79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 (69.4%)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F804D5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 (56.8%)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DE110E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 (54.6%)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413057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67 (53.6%)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E83387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&lt;0.001</w:t>
            </w:r>
          </w:p>
        </w:tc>
      </w:tr>
      <w:tr w:rsidR="00352210" w:rsidRPr="00236666" w14:paraId="695F582F" w14:textId="77777777" w:rsidTr="003A4535"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BB05F6" w14:textId="77777777" w:rsidR="00352210" w:rsidRPr="00236666" w:rsidRDefault="00352210" w:rsidP="003A4535">
            <w:pPr>
              <w:spacing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Anticoagulants agents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E07672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 (8.8%)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72CE993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 (10.4%)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099779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 (9.9%)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04EC74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 (11.5%)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EFDC69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 (13.6%)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FE75972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0.241</w:t>
            </w:r>
          </w:p>
        </w:tc>
      </w:tr>
      <w:tr w:rsidR="00352210" w:rsidRPr="00236666" w14:paraId="07C6F7CE" w14:textId="77777777" w:rsidTr="003A4535"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C6E0F7" w14:textId="77777777" w:rsidR="00352210" w:rsidRPr="00236666" w:rsidRDefault="00352210" w:rsidP="003A4535">
            <w:pPr>
              <w:spacing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Antidiabetic drugs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B107B3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59 </w:t>
            </w:r>
          </w:p>
          <w:p w14:paraId="7B8118B1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(43.6%)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9D471F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60 </w:t>
            </w:r>
          </w:p>
          <w:p w14:paraId="06BE3DD1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(44.8%)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562E54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55 </w:t>
            </w:r>
          </w:p>
          <w:p w14:paraId="443C1738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(41.7%)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539CDB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58</w:t>
            </w:r>
          </w:p>
          <w:p w14:paraId="32B54B69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(44.6%)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1ACA6B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54 </w:t>
            </w:r>
          </w:p>
          <w:p w14:paraId="4ED44B74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(43.2%)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15F803A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0.179</w:t>
            </w:r>
          </w:p>
        </w:tc>
      </w:tr>
      <w:tr w:rsidR="00352210" w:rsidRPr="00236666" w14:paraId="7E3CEA71" w14:textId="77777777" w:rsidTr="003A4535"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71D5F4B" w14:textId="77777777" w:rsidR="00352210" w:rsidRPr="00236666" w:rsidRDefault="00352210" w:rsidP="003A4535">
            <w:pPr>
              <w:spacing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NSAIDs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DDA8B2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 </w:t>
            </w:r>
          </w:p>
          <w:p w14:paraId="1E9D9699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(5.2%)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A72E92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 (8.2%)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B2595B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 (8.3%)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1AA204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 (9.2%)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C668DD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9 </w:t>
            </w:r>
          </w:p>
          <w:p w14:paraId="11B1D867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(7.2%)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EC7B378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0.555</w:t>
            </w:r>
          </w:p>
        </w:tc>
      </w:tr>
      <w:tr w:rsidR="00352210" w:rsidRPr="00236666" w14:paraId="4E494724" w14:textId="77777777" w:rsidTr="003A4535"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FAE7F7" w14:textId="77777777" w:rsidR="00352210" w:rsidRPr="00236666" w:rsidRDefault="00352210" w:rsidP="003A4535">
            <w:pPr>
              <w:spacing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Anti-gout drugs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A1AC66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 (13.2%)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5F8B58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 (14.2%)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71619F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 (9.9%)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BAE282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 (12.9%)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908C97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 (20.0%)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6E3DE6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0.114</w:t>
            </w:r>
          </w:p>
        </w:tc>
      </w:tr>
      <w:tr w:rsidR="00352210" w:rsidRPr="00236666" w14:paraId="21D33B23" w14:textId="77777777" w:rsidTr="003A4535"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3B1ED2" w14:textId="77777777" w:rsidR="00352210" w:rsidRPr="00236666" w:rsidRDefault="00352210" w:rsidP="003A4535">
            <w:pPr>
              <w:spacing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Drugs for respiratory diseases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31A49F6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 (8.1%)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943CF5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 (7.5%)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F34DA2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 (9.9%)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F61665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 (8.5%)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C5F2AA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 (11.2%)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FB32A8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0.400</w:t>
            </w:r>
          </w:p>
        </w:tc>
      </w:tr>
      <w:tr w:rsidR="00352210" w:rsidRPr="00236666" w14:paraId="32902177" w14:textId="77777777" w:rsidTr="003A4535">
        <w:tc>
          <w:tcPr>
            <w:tcW w:w="297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3F907AF7" w14:textId="77777777" w:rsidR="00352210" w:rsidRPr="00236666" w:rsidRDefault="00352210" w:rsidP="003A4535">
            <w:pPr>
              <w:spacing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Antidepressants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24CA39FD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 (8.1%)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D1F53BB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13 </w:t>
            </w:r>
          </w:p>
          <w:p w14:paraId="35DC2F4F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(9.7%)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nil"/>
            </w:tcBorders>
          </w:tcPr>
          <w:p w14:paraId="5B0FC5A3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  <w:p w14:paraId="071DD330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(9.1%)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nil"/>
            </w:tcBorders>
          </w:tcPr>
          <w:p w14:paraId="1E3B8B2B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  <w:p w14:paraId="6D56A2F8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(12.3%)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nil"/>
            </w:tcBorders>
          </w:tcPr>
          <w:p w14:paraId="2FB706B2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17 </w:t>
            </w:r>
          </w:p>
          <w:p w14:paraId="1B88A538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(13.6%)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43724EA" w14:textId="77777777" w:rsidR="00352210" w:rsidRPr="00236666" w:rsidRDefault="00352210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0.085</w:t>
            </w:r>
          </w:p>
        </w:tc>
      </w:tr>
    </w:tbl>
    <w:p w14:paraId="5E60A0C1" w14:textId="77777777" w:rsidR="00352210" w:rsidRPr="00236666" w:rsidRDefault="00352210" w:rsidP="0035221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18AD8C7" w14:textId="77777777" w:rsidR="00352210" w:rsidRPr="00236666" w:rsidRDefault="00352210" w:rsidP="00533F39">
      <w:pPr>
        <w:spacing w:line="48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</w:p>
    <w:p w14:paraId="2095A715" w14:textId="77777777" w:rsidR="00352210" w:rsidRPr="00236666" w:rsidRDefault="00352210">
      <w:pPr>
        <w:rPr>
          <w:rFonts w:ascii="Times New Roman" w:hAnsi="Times New Roman" w:cs="Times New Roman"/>
          <w:b/>
          <w:sz w:val="24"/>
          <w:lang w:val="en-GB"/>
        </w:rPr>
      </w:pPr>
      <w:r w:rsidRPr="00236666">
        <w:rPr>
          <w:rFonts w:ascii="Times New Roman" w:hAnsi="Times New Roman" w:cs="Times New Roman"/>
          <w:b/>
          <w:sz w:val="24"/>
          <w:lang w:val="en-GB"/>
        </w:rPr>
        <w:br w:type="page"/>
      </w:r>
    </w:p>
    <w:p w14:paraId="50AB5E48" w14:textId="711EED0E" w:rsidR="00533F39" w:rsidRPr="00236666" w:rsidRDefault="00533F39" w:rsidP="00533F39">
      <w:pPr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236666">
        <w:rPr>
          <w:rFonts w:ascii="Times New Roman" w:hAnsi="Times New Roman" w:cs="Times New Roman"/>
          <w:b/>
          <w:sz w:val="24"/>
          <w:lang w:val="en-GB"/>
        </w:rPr>
        <w:lastRenderedPageBreak/>
        <w:t>Supplementary Table S</w:t>
      </w:r>
      <w:r w:rsidR="00D80ED6" w:rsidRPr="00236666">
        <w:rPr>
          <w:rFonts w:ascii="Times New Roman" w:hAnsi="Times New Roman" w:cs="Times New Roman"/>
          <w:b/>
          <w:sz w:val="24"/>
          <w:lang w:val="en-GB"/>
        </w:rPr>
        <w:t>2</w:t>
      </w:r>
      <w:r w:rsidRPr="00236666">
        <w:rPr>
          <w:rFonts w:ascii="Times New Roman" w:hAnsi="Times New Roman" w:cs="Times New Roman"/>
          <w:sz w:val="24"/>
          <w:lang w:val="en-GB"/>
        </w:rPr>
        <w:t>. Baseline characteristics of patients who underwent renal denervation and of the corresponding controls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2665"/>
        <w:gridCol w:w="2268"/>
      </w:tblGrid>
      <w:tr w:rsidR="005368D3" w:rsidRPr="00236666" w14:paraId="4630DD40" w14:textId="01F327C2" w:rsidTr="005368D3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A981F4" w14:textId="77777777" w:rsidR="00533F39" w:rsidRPr="00236666" w:rsidRDefault="00533F39" w:rsidP="003A45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EB35CB" w14:textId="27D902E0" w:rsidR="00533F39" w:rsidRPr="00236666" w:rsidRDefault="00533F39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Renal denervation group</w:t>
            </w:r>
          </w:p>
          <w:p w14:paraId="7F7BA9DF" w14:textId="144894F3" w:rsidR="00533F39" w:rsidRPr="00236666" w:rsidRDefault="00533F39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(N=13</w:t>
            </w:r>
            <w:r w:rsidR="00F01079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38B4C4" w14:textId="77777777" w:rsidR="00533F39" w:rsidRPr="00236666" w:rsidRDefault="00533F39" w:rsidP="00533F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Controls</w:t>
            </w:r>
          </w:p>
          <w:p w14:paraId="6848FB97" w14:textId="7E50674F" w:rsidR="00533F39" w:rsidRPr="00236666" w:rsidRDefault="00533F39" w:rsidP="00533F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 = 130)</w:t>
            </w:r>
          </w:p>
        </w:tc>
      </w:tr>
      <w:tr w:rsidR="005368D3" w:rsidRPr="00236666" w14:paraId="354631D9" w14:textId="52E8BFF3" w:rsidTr="005368D3">
        <w:tc>
          <w:tcPr>
            <w:tcW w:w="467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BA4C939" w14:textId="3D5DB3AF" w:rsidR="00533F39" w:rsidRPr="00236666" w:rsidRDefault="00533F39" w:rsidP="003A45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Age: median [IQR]</w:t>
            </w:r>
          </w:p>
        </w:tc>
        <w:tc>
          <w:tcPr>
            <w:tcW w:w="266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BC87BE7" w14:textId="245B5841" w:rsidR="00533F39" w:rsidRPr="00236666" w:rsidRDefault="00533F39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68 [60-75]</w:t>
            </w:r>
          </w:p>
        </w:tc>
        <w:tc>
          <w:tcPr>
            <w:tcW w:w="226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618B3EE" w14:textId="10811CC1" w:rsidR="00533F39" w:rsidRPr="00236666" w:rsidRDefault="00533F39" w:rsidP="00533F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67 [61-75]</w:t>
            </w:r>
          </w:p>
        </w:tc>
      </w:tr>
      <w:tr w:rsidR="005368D3" w:rsidRPr="00236666" w14:paraId="20D7EB67" w14:textId="3CBB8575" w:rsidTr="005368D3"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F31F02" w14:textId="77777777" w:rsidR="00533F39" w:rsidRPr="00236666" w:rsidRDefault="00533F39" w:rsidP="003A45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</w:t>
            </w:r>
          </w:p>
        </w:tc>
        <w:tc>
          <w:tcPr>
            <w:tcW w:w="26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F96D03" w14:textId="551F80AC" w:rsidR="00533F39" w:rsidRPr="00236666" w:rsidRDefault="00533F39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 (67.7%)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0FBA4BC" w14:textId="1888D6CF" w:rsidR="00533F39" w:rsidRPr="00236666" w:rsidRDefault="00533F39" w:rsidP="00533F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 (67.7%)</w:t>
            </w:r>
          </w:p>
        </w:tc>
      </w:tr>
      <w:tr w:rsidR="005368D3" w:rsidRPr="00236666" w14:paraId="5F5CF4AA" w14:textId="50EB81DC" w:rsidTr="005368D3">
        <w:tc>
          <w:tcPr>
            <w:tcW w:w="467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5B88CCF" w14:textId="77777777" w:rsidR="00533F39" w:rsidRPr="00236666" w:rsidRDefault="00533F39" w:rsidP="003A45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Clinical status 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§</w:t>
            </w:r>
          </w:p>
        </w:tc>
        <w:tc>
          <w:tcPr>
            <w:tcW w:w="266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3FEC1C9" w14:textId="77777777" w:rsidR="00533F39" w:rsidRPr="00236666" w:rsidRDefault="00533F39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5E1AC49" w14:textId="77777777" w:rsidR="00533F39" w:rsidRPr="00236666" w:rsidRDefault="00533F39" w:rsidP="00533F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368D3" w:rsidRPr="00236666" w14:paraId="0B57BF13" w14:textId="6D9B703E" w:rsidTr="005368D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303E3" w14:textId="77777777" w:rsidR="00533F39" w:rsidRPr="00236666" w:rsidRDefault="00533F39" w:rsidP="00533F39">
            <w:pPr>
              <w:spacing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Good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8E50C" w14:textId="58E317B8" w:rsidR="00533F39" w:rsidRPr="00236666" w:rsidRDefault="00533F39" w:rsidP="00533F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 (33.9%)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DE0F2" w14:textId="568BAA4C" w:rsidR="00533F39" w:rsidRPr="00236666" w:rsidRDefault="00533F39" w:rsidP="00533F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 (33.9%)</w:t>
            </w:r>
          </w:p>
        </w:tc>
      </w:tr>
      <w:tr w:rsidR="005368D3" w:rsidRPr="00236666" w14:paraId="4C10664E" w14:textId="1E1BAFCF" w:rsidTr="005368D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9FAD8" w14:textId="77777777" w:rsidR="00533F39" w:rsidRPr="00236666" w:rsidRDefault="00533F39" w:rsidP="00533F39">
            <w:pPr>
              <w:spacing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Intermediate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8FA1F" w14:textId="7D3859F0" w:rsidR="00533F39" w:rsidRPr="00236666" w:rsidRDefault="00533F39" w:rsidP="00533F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 (26.9%)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45079" w14:textId="471119AC" w:rsidR="00533F39" w:rsidRPr="00236666" w:rsidRDefault="00533F39" w:rsidP="00533F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 (26.9%)</w:t>
            </w:r>
          </w:p>
        </w:tc>
      </w:tr>
      <w:tr w:rsidR="005368D3" w:rsidRPr="00236666" w14:paraId="24329E46" w14:textId="1CFFF53F" w:rsidTr="005368D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19FAB" w14:textId="77777777" w:rsidR="00533F39" w:rsidRPr="00236666" w:rsidRDefault="00533F39" w:rsidP="00533F39">
            <w:pPr>
              <w:spacing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Poor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73B17" w14:textId="486DBF45" w:rsidR="00533F39" w:rsidRPr="00236666" w:rsidRDefault="00533F39" w:rsidP="00533F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 (23.8%)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029B6" w14:textId="7612C32F" w:rsidR="00533F39" w:rsidRPr="00236666" w:rsidRDefault="00533F39" w:rsidP="00533F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 (23.8%)</w:t>
            </w:r>
          </w:p>
        </w:tc>
      </w:tr>
      <w:tr w:rsidR="0043214C" w:rsidRPr="00236666" w14:paraId="59C96442" w14:textId="77777777" w:rsidTr="005368D3">
        <w:tc>
          <w:tcPr>
            <w:tcW w:w="467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2F1387E" w14:textId="7956B275" w:rsidR="0043214C" w:rsidRPr="00236666" w:rsidRDefault="0043214C" w:rsidP="003A45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Antihypertensive drugs</w:t>
            </w:r>
          </w:p>
        </w:tc>
        <w:tc>
          <w:tcPr>
            <w:tcW w:w="266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B111D21" w14:textId="77777777" w:rsidR="0043214C" w:rsidRPr="00236666" w:rsidRDefault="0043214C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A974F49" w14:textId="77777777" w:rsidR="0043214C" w:rsidRPr="00236666" w:rsidRDefault="0043214C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3214C" w:rsidRPr="00236666" w14:paraId="4C49D631" w14:textId="77777777" w:rsidTr="005368D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80F6C" w14:textId="70C23FDA" w:rsidR="0043214C" w:rsidRPr="00236666" w:rsidRDefault="0043214C" w:rsidP="0043214C">
            <w:pPr>
              <w:spacing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α-blockers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454BD" w14:textId="3335BB26" w:rsidR="0043214C" w:rsidRPr="00236666" w:rsidRDefault="0043214C" w:rsidP="004321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 (73.1%)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39A78" w14:textId="22961B13" w:rsidR="0043214C" w:rsidRPr="00236666" w:rsidRDefault="0043214C" w:rsidP="004321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 (73.1%)</w:t>
            </w:r>
          </w:p>
        </w:tc>
      </w:tr>
      <w:tr w:rsidR="0043214C" w:rsidRPr="00236666" w14:paraId="3EF38503" w14:textId="77777777" w:rsidTr="005368D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B0585" w14:textId="4427D6E8" w:rsidR="0043214C" w:rsidRPr="00236666" w:rsidRDefault="0043214C" w:rsidP="0043214C">
            <w:pPr>
              <w:spacing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β-blockers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F927E" w14:textId="256CC809" w:rsidR="0043214C" w:rsidRPr="00236666" w:rsidRDefault="0043214C" w:rsidP="004321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106 (81.5%)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390B7" w14:textId="73995CF3" w:rsidR="0043214C" w:rsidRPr="00236666" w:rsidRDefault="0043214C" w:rsidP="004321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106 (81.5%)</w:t>
            </w:r>
          </w:p>
        </w:tc>
      </w:tr>
      <w:tr w:rsidR="0043214C" w:rsidRPr="00236666" w14:paraId="6B953B4C" w14:textId="77777777" w:rsidTr="005368D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470B6" w14:textId="4756C936" w:rsidR="0043214C" w:rsidRPr="00236666" w:rsidRDefault="0043214C" w:rsidP="0043214C">
            <w:pPr>
              <w:spacing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Diuretics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49BE1" w14:textId="6771F974" w:rsidR="0043214C" w:rsidRPr="00236666" w:rsidRDefault="0043214C" w:rsidP="004321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124 (95.4%)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CF58F" w14:textId="5D8FC731" w:rsidR="0043214C" w:rsidRPr="00236666" w:rsidRDefault="0043214C" w:rsidP="004321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124 (95.4%)</w:t>
            </w:r>
          </w:p>
        </w:tc>
      </w:tr>
      <w:tr w:rsidR="0043214C" w:rsidRPr="00236666" w14:paraId="154206D1" w14:textId="77777777" w:rsidTr="005368D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BFC84" w14:textId="77D0B739" w:rsidR="0043214C" w:rsidRPr="00236666" w:rsidRDefault="0043214C" w:rsidP="0043214C">
            <w:pPr>
              <w:spacing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Angiotensin-converting enzyme inhibitors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2FED0" w14:textId="1D1206D0" w:rsidR="0043214C" w:rsidRPr="00236666" w:rsidRDefault="0043214C" w:rsidP="004321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78 (60.0%)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64781" w14:textId="6FD998CF" w:rsidR="0043214C" w:rsidRPr="00236666" w:rsidRDefault="0043214C" w:rsidP="004321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78 (60.0%)</w:t>
            </w:r>
          </w:p>
        </w:tc>
      </w:tr>
      <w:tr w:rsidR="0043214C" w:rsidRPr="00236666" w14:paraId="0CDF0BBB" w14:textId="77777777" w:rsidTr="005368D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4402C" w14:textId="6E2D1AE4" w:rsidR="0043214C" w:rsidRPr="00236666" w:rsidRDefault="0043214C" w:rsidP="0043214C">
            <w:pPr>
              <w:spacing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Angiotensin II receptor blockers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EE0CD" w14:textId="536D861A" w:rsidR="0043214C" w:rsidRPr="00236666" w:rsidRDefault="0043214C" w:rsidP="004321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 (71.5%)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30C63" w14:textId="09C840A1" w:rsidR="0043214C" w:rsidRPr="00236666" w:rsidRDefault="0043214C" w:rsidP="004321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 (71.5%)</w:t>
            </w:r>
          </w:p>
        </w:tc>
      </w:tr>
      <w:tr w:rsidR="0043214C" w:rsidRPr="00236666" w14:paraId="13BB94C0" w14:textId="77777777" w:rsidTr="005368D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A9B85" w14:textId="523B2811" w:rsidR="0043214C" w:rsidRPr="00236666" w:rsidRDefault="0043214C" w:rsidP="0043214C">
            <w:pPr>
              <w:spacing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Calcium channel blockers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D1368" w14:textId="427CED57" w:rsidR="0043214C" w:rsidRPr="00236666" w:rsidRDefault="0043214C" w:rsidP="004321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121 (93.1%)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E71AA" w14:textId="626404AD" w:rsidR="0043214C" w:rsidRPr="00236666" w:rsidRDefault="0043214C" w:rsidP="004321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121 (93.1%)</w:t>
            </w:r>
          </w:p>
        </w:tc>
      </w:tr>
      <w:tr w:rsidR="005368D3" w:rsidRPr="00236666" w14:paraId="568F054F" w14:textId="43FCEAF5" w:rsidTr="005368D3">
        <w:tc>
          <w:tcPr>
            <w:tcW w:w="4678" w:type="dxa"/>
            <w:tcBorders>
              <w:top w:val="nil"/>
              <w:left w:val="nil"/>
              <w:right w:val="nil"/>
            </w:tcBorders>
            <w:vAlign w:val="center"/>
          </w:tcPr>
          <w:p w14:paraId="44EEB0C1" w14:textId="162D1B3D" w:rsidR="0043214C" w:rsidRPr="00236666" w:rsidRDefault="0043214C" w:rsidP="0043214C">
            <w:pPr>
              <w:spacing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Renin-inhibitors</w:t>
            </w:r>
          </w:p>
        </w:tc>
        <w:tc>
          <w:tcPr>
            <w:tcW w:w="2665" w:type="dxa"/>
            <w:tcBorders>
              <w:top w:val="nil"/>
              <w:left w:val="nil"/>
              <w:right w:val="nil"/>
            </w:tcBorders>
            <w:vAlign w:val="center"/>
          </w:tcPr>
          <w:p w14:paraId="13FFC757" w14:textId="13027EED" w:rsidR="0043214C" w:rsidRPr="00236666" w:rsidRDefault="0043214C" w:rsidP="004321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 (6.2%)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58CE898D" w14:textId="321456C9" w:rsidR="0043214C" w:rsidRPr="00236666" w:rsidRDefault="0043214C" w:rsidP="004321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 (6.2%)</w:t>
            </w:r>
          </w:p>
        </w:tc>
      </w:tr>
    </w:tbl>
    <w:p w14:paraId="04305FD7" w14:textId="0B1BA67E" w:rsidR="00533F39" w:rsidRPr="00236666" w:rsidRDefault="00533F39" w:rsidP="00533F39">
      <w:pPr>
        <w:spacing w:before="120" w:after="0" w:line="480" w:lineRule="auto"/>
        <w:jc w:val="both"/>
        <w:rPr>
          <w:rFonts w:ascii="Times New Roman" w:hAnsi="Times New Roman" w:cs="Times New Roman"/>
          <w:sz w:val="20"/>
          <w:szCs w:val="24"/>
          <w:lang w:val="en-GB"/>
        </w:rPr>
      </w:pPr>
      <w:r w:rsidRPr="00236666">
        <w:rPr>
          <w:rFonts w:ascii="Times New Roman" w:hAnsi="Times New Roman" w:cs="Times New Roman"/>
          <w:sz w:val="20"/>
          <w:szCs w:val="24"/>
          <w:lang w:val="en-GB"/>
        </w:rPr>
        <w:t>IQR: interquartile range</w:t>
      </w:r>
    </w:p>
    <w:p w14:paraId="65971868" w14:textId="5D6B9B44" w:rsidR="00533F39" w:rsidRPr="00236666" w:rsidRDefault="00533F39" w:rsidP="00533F39">
      <w:pPr>
        <w:spacing w:after="0" w:line="480" w:lineRule="auto"/>
        <w:jc w:val="both"/>
        <w:rPr>
          <w:rFonts w:ascii="Times New Roman" w:hAnsi="Times New Roman" w:cs="Times New Roman"/>
          <w:sz w:val="20"/>
          <w:szCs w:val="24"/>
          <w:lang w:val="en-GB"/>
        </w:rPr>
      </w:pPr>
      <w:r w:rsidRPr="00236666">
        <w:rPr>
          <w:rFonts w:ascii="Times New Roman" w:hAnsi="Times New Roman" w:cs="Times New Roman"/>
          <w:sz w:val="20"/>
          <w:szCs w:val="24"/>
          <w:vertAlign w:val="superscript"/>
          <w:lang w:val="en-GB"/>
        </w:rPr>
        <w:t>§</w:t>
      </w:r>
      <w:r w:rsidRPr="00236666">
        <w:rPr>
          <w:rFonts w:ascii="Times New Roman" w:hAnsi="Times New Roman" w:cs="Times New Roman"/>
          <w:sz w:val="20"/>
          <w:szCs w:val="24"/>
          <w:lang w:val="en-GB"/>
        </w:rPr>
        <w:t xml:space="preserve"> The clinical status was assessed by the Multisource Comorbidity Score (MCS) according to the hospital admission and the drugs prescribed in the 3-year period before the index admission. Four categories of clinical status were considered: good (0 ≤ score ≤ 4), intermediate (5 ≤ score ≤ 9), poor (10 ≤ score ≤ 14), and very poor (score ≥ 15).</w:t>
      </w:r>
    </w:p>
    <w:p w14:paraId="2E4281AF" w14:textId="77777777" w:rsidR="00533F39" w:rsidRPr="00236666" w:rsidRDefault="00533F39" w:rsidP="00533F39">
      <w:pPr>
        <w:jc w:val="both"/>
        <w:rPr>
          <w:rFonts w:ascii="Times New Roman" w:hAnsi="Times New Roman" w:cs="Times New Roman"/>
          <w:sz w:val="24"/>
          <w:lang w:val="en-GB"/>
        </w:rPr>
      </w:pPr>
    </w:p>
    <w:p w14:paraId="6BF46DF3" w14:textId="77777777" w:rsidR="00533F39" w:rsidRPr="00236666" w:rsidRDefault="00533F39">
      <w:pPr>
        <w:rPr>
          <w:rFonts w:ascii="Times New Roman" w:hAnsi="Times New Roman" w:cs="Times New Roman"/>
          <w:b/>
          <w:sz w:val="24"/>
          <w:lang w:val="en-GB"/>
        </w:rPr>
      </w:pPr>
      <w:r w:rsidRPr="00236666">
        <w:rPr>
          <w:rFonts w:ascii="Times New Roman" w:hAnsi="Times New Roman" w:cs="Times New Roman"/>
          <w:b/>
          <w:sz w:val="24"/>
          <w:lang w:val="en-GB"/>
        </w:rPr>
        <w:br w:type="page"/>
      </w:r>
    </w:p>
    <w:p w14:paraId="1FC192A7" w14:textId="575B80FA" w:rsidR="00774E7C" w:rsidRPr="00236666" w:rsidRDefault="00774E7C" w:rsidP="00774E7C">
      <w:pPr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236666">
        <w:rPr>
          <w:rFonts w:ascii="Times New Roman" w:hAnsi="Times New Roman" w:cs="Times New Roman"/>
          <w:b/>
          <w:sz w:val="24"/>
          <w:lang w:val="en-GB"/>
        </w:rPr>
        <w:lastRenderedPageBreak/>
        <w:t>Supplementary Table S</w:t>
      </w:r>
      <w:r w:rsidR="00C06DC8" w:rsidRPr="00236666">
        <w:rPr>
          <w:rFonts w:ascii="Times New Roman" w:hAnsi="Times New Roman" w:cs="Times New Roman"/>
          <w:b/>
          <w:sz w:val="24"/>
          <w:lang w:val="en-GB"/>
        </w:rPr>
        <w:t>3</w:t>
      </w:r>
      <w:r w:rsidRPr="00236666">
        <w:rPr>
          <w:rFonts w:ascii="Times New Roman" w:hAnsi="Times New Roman" w:cs="Times New Roman"/>
          <w:sz w:val="24"/>
          <w:lang w:val="en-GB"/>
        </w:rPr>
        <w:t xml:space="preserve">. Number of antihypertensive drug classes prescribed in the year before the index admission and in the 3 years after the index discharge, considering patients who were prescribed at least 3 antihypertensive drugs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0"/>
        <w:gridCol w:w="1610"/>
        <w:gridCol w:w="1610"/>
        <w:gridCol w:w="1316"/>
        <w:gridCol w:w="1316"/>
        <w:gridCol w:w="1316"/>
      </w:tblGrid>
      <w:tr w:rsidR="00774E7C" w:rsidRPr="00236666" w14:paraId="2B15B162" w14:textId="77777777" w:rsidTr="00B72B12">
        <w:tc>
          <w:tcPr>
            <w:tcW w:w="247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023C471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Antihypertensive drugs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7341098" w14:textId="77777777" w:rsidR="00774E7C" w:rsidRPr="00236666" w:rsidRDefault="00774E7C" w:rsidP="00B7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Before</w:t>
            </w:r>
          </w:p>
          <w:p w14:paraId="036D867E" w14:textId="77777777" w:rsidR="00774E7C" w:rsidRPr="00236666" w:rsidRDefault="00774E7C" w:rsidP="00B7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(N=163)</w:t>
            </w:r>
          </w:p>
        </w:tc>
        <w:tc>
          <w:tcPr>
            <w:tcW w:w="5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CD3923" w14:textId="77777777" w:rsidR="00774E7C" w:rsidRPr="00236666" w:rsidRDefault="00774E7C" w:rsidP="00B7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After</w:t>
            </w:r>
          </w:p>
        </w:tc>
      </w:tr>
      <w:tr w:rsidR="00774E7C" w:rsidRPr="00236666" w14:paraId="74DA1674" w14:textId="77777777" w:rsidTr="00B72B12">
        <w:tc>
          <w:tcPr>
            <w:tcW w:w="24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42C2E2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3B4079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256335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 months</w:t>
            </w:r>
          </w:p>
          <w:p w14:paraId="1F5BCED5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(N=161)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1A8E7B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year</w:t>
            </w:r>
          </w:p>
          <w:p w14:paraId="35D8DB00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(N=159)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56726E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years</w:t>
            </w:r>
          </w:p>
          <w:p w14:paraId="1E70C13A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(N=156)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B18AAF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 years</w:t>
            </w:r>
          </w:p>
          <w:p w14:paraId="442259C1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(N=151)</w:t>
            </w:r>
          </w:p>
        </w:tc>
      </w:tr>
      <w:tr w:rsidR="00774E7C" w:rsidRPr="00236666" w14:paraId="4BE68537" w14:textId="77777777" w:rsidTr="00B72B12">
        <w:tc>
          <w:tcPr>
            <w:tcW w:w="24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D9C5C12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61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285092A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61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4BD5604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 (1.5%)</w:t>
            </w:r>
          </w:p>
        </w:tc>
        <w:tc>
          <w:tcPr>
            <w:tcW w:w="131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E99B56A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 (3.1%)</w:t>
            </w:r>
          </w:p>
        </w:tc>
        <w:tc>
          <w:tcPr>
            <w:tcW w:w="131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9D174CD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 (2.6%)</w:t>
            </w:r>
          </w:p>
        </w:tc>
        <w:tc>
          <w:tcPr>
            <w:tcW w:w="131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37ADFBF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(1.3%)</w:t>
            </w:r>
          </w:p>
        </w:tc>
      </w:tr>
      <w:tr w:rsidR="00774E7C" w:rsidRPr="00236666" w14:paraId="459C1317" w14:textId="77777777" w:rsidTr="00B72B12">
        <w:tc>
          <w:tcPr>
            <w:tcW w:w="2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917F4C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CD6B2A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94FAF4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 (0.0%)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6C5489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 (2.5%)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F3C2D9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 (3.2%)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869F5B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 (4.0%)</w:t>
            </w:r>
          </w:p>
        </w:tc>
      </w:tr>
      <w:tr w:rsidR="00774E7C" w:rsidRPr="00236666" w14:paraId="43E68DF6" w14:textId="77777777" w:rsidTr="00B72B12">
        <w:tc>
          <w:tcPr>
            <w:tcW w:w="2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F953991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CE2BD7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74D1D8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 (6.0%)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A2ECF6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 (8.2%)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3697AA0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 (8.3%)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923420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 (13.9%)</w:t>
            </w:r>
          </w:p>
        </w:tc>
      </w:tr>
      <w:tr w:rsidR="00774E7C" w:rsidRPr="00236666" w14:paraId="79156BCA" w14:textId="77777777" w:rsidTr="00B72B12">
        <w:tc>
          <w:tcPr>
            <w:tcW w:w="2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EE0E424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49D27C0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 (16.6%)</w:t>
            </w: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0AAF2A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 (17.2%)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EEC3DC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 (28.3%)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DCB474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 (25.6%)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037E6A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 (25.2%)</w:t>
            </w:r>
          </w:p>
        </w:tc>
      </w:tr>
      <w:tr w:rsidR="00774E7C" w:rsidRPr="00236666" w14:paraId="606546C2" w14:textId="77777777" w:rsidTr="00B72B12">
        <w:tc>
          <w:tcPr>
            <w:tcW w:w="2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D528EE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9018BE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 (31.3%)</w:t>
            </w: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11E22D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 (30.6%)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1EB82F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 (24.5%)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8CA2C3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 (27.6%)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4CFBD0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47 (31.1%)</w:t>
            </w:r>
          </w:p>
        </w:tc>
      </w:tr>
      <w:tr w:rsidR="00774E7C" w:rsidRPr="00236666" w14:paraId="05E9C12B" w14:textId="77777777" w:rsidTr="00B72B12">
        <w:tc>
          <w:tcPr>
            <w:tcW w:w="2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586568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3713F5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 (37.4%)</w:t>
            </w: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057B49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 (36.6%)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57A531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 (28.3%)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69246F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 (26.9%)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A7BC25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 (22.5%)</w:t>
            </w:r>
          </w:p>
        </w:tc>
      </w:tr>
      <w:tr w:rsidR="00774E7C" w:rsidRPr="00236666" w14:paraId="378244A7" w14:textId="77777777" w:rsidTr="00B72B12">
        <w:tc>
          <w:tcPr>
            <w:tcW w:w="2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3A44D68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3A973B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 (14.7%)</w:t>
            </w: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C85D11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 (6.1%)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A73C95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 (5.0%)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CBD22F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 (5.8%)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4B1571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 (2.0%)</w:t>
            </w:r>
          </w:p>
        </w:tc>
      </w:tr>
      <w:tr w:rsidR="00774E7C" w:rsidRPr="00236666" w14:paraId="62E18253" w14:textId="77777777" w:rsidTr="00B72B12">
        <w:tc>
          <w:tcPr>
            <w:tcW w:w="247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9081C7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CF713C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 (0.0%)</w:t>
            </w: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37B847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(0.6%)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A55F73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 (0.0%)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4B8895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 (0.0%)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C392BF" w14:textId="77777777" w:rsidR="00774E7C" w:rsidRPr="00236666" w:rsidRDefault="00774E7C" w:rsidP="00B72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 (0.0%)</w:t>
            </w:r>
          </w:p>
        </w:tc>
      </w:tr>
    </w:tbl>
    <w:p w14:paraId="0D49CDFF" w14:textId="77777777" w:rsidR="00774E7C" w:rsidRPr="00236666" w:rsidRDefault="00774E7C" w:rsidP="00774E7C">
      <w:pPr>
        <w:jc w:val="both"/>
        <w:rPr>
          <w:rFonts w:ascii="Times New Roman" w:hAnsi="Times New Roman" w:cs="Times New Roman"/>
          <w:sz w:val="24"/>
        </w:rPr>
      </w:pPr>
    </w:p>
    <w:p w14:paraId="63706210" w14:textId="77777777" w:rsidR="00774E7C" w:rsidRPr="00236666" w:rsidRDefault="00774E7C" w:rsidP="00774E7C">
      <w:pPr>
        <w:rPr>
          <w:rFonts w:ascii="Times New Roman" w:hAnsi="Times New Roman" w:cs="Times New Roman"/>
          <w:sz w:val="24"/>
          <w:lang w:val="en-GB"/>
        </w:rPr>
      </w:pPr>
    </w:p>
    <w:p w14:paraId="696EE304" w14:textId="77777777" w:rsidR="00774E7C" w:rsidRPr="00236666" w:rsidRDefault="00774E7C" w:rsidP="00774E7C">
      <w:pPr>
        <w:rPr>
          <w:rFonts w:ascii="Times New Roman" w:hAnsi="Times New Roman" w:cs="Times New Roman"/>
          <w:b/>
          <w:sz w:val="24"/>
          <w:lang w:val="en-GB"/>
        </w:rPr>
      </w:pPr>
      <w:r w:rsidRPr="00236666">
        <w:rPr>
          <w:rFonts w:ascii="Times New Roman" w:hAnsi="Times New Roman" w:cs="Times New Roman"/>
          <w:b/>
          <w:sz w:val="24"/>
          <w:lang w:val="en-GB"/>
        </w:rPr>
        <w:br w:type="page"/>
      </w:r>
    </w:p>
    <w:p w14:paraId="4559B657" w14:textId="1C67A9BF" w:rsidR="003A4535" w:rsidRPr="00236666" w:rsidRDefault="003A4535" w:rsidP="003A4535">
      <w:pPr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236666">
        <w:rPr>
          <w:rFonts w:ascii="Times New Roman" w:hAnsi="Times New Roman" w:cs="Times New Roman"/>
          <w:b/>
          <w:sz w:val="24"/>
          <w:lang w:val="en-GB"/>
        </w:rPr>
        <w:lastRenderedPageBreak/>
        <w:t>Supplementary Table S</w:t>
      </w:r>
      <w:r w:rsidR="00C06DC8" w:rsidRPr="00236666">
        <w:rPr>
          <w:rFonts w:ascii="Times New Roman" w:hAnsi="Times New Roman" w:cs="Times New Roman"/>
          <w:b/>
          <w:sz w:val="24"/>
          <w:lang w:val="en-GB"/>
        </w:rPr>
        <w:t>4</w:t>
      </w:r>
      <w:r w:rsidRPr="00236666">
        <w:rPr>
          <w:rFonts w:ascii="Times New Roman" w:hAnsi="Times New Roman" w:cs="Times New Roman"/>
          <w:sz w:val="24"/>
          <w:lang w:val="en-GB"/>
        </w:rPr>
        <w:t xml:space="preserve">. Antihypertensive drug classes prescribed in the year before the index admission and in the 3 years after the index discharge, considering patients who were prescribed at least 3 antihypertensive drugs  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2970"/>
        <w:gridCol w:w="1134"/>
        <w:gridCol w:w="1134"/>
        <w:gridCol w:w="1134"/>
        <w:gridCol w:w="1134"/>
        <w:gridCol w:w="1134"/>
        <w:gridCol w:w="943"/>
      </w:tblGrid>
      <w:tr w:rsidR="003A4535" w:rsidRPr="00236666" w14:paraId="7D503DFA" w14:textId="77777777" w:rsidTr="003A4535">
        <w:tc>
          <w:tcPr>
            <w:tcW w:w="2970" w:type="dxa"/>
            <w:vMerge w:val="restart"/>
            <w:tcBorders>
              <w:left w:val="nil"/>
              <w:right w:val="nil"/>
            </w:tcBorders>
            <w:vAlign w:val="center"/>
          </w:tcPr>
          <w:p w14:paraId="1DB4FC5A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Antihypertensive drugs</w:t>
            </w: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14:paraId="4341CCE1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Before</w:t>
            </w:r>
          </w:p>
          <w:p w14:paraId="4E5DB8D1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(N=163)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880509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After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3625AE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p-trend</w:t>
            </w:r>
          </w:p>
        </w:tc>
      </w:tr>
      <w:tr w:rsidR="003A4535" w:rsidRPr="00236666" w14:paraId="02AAC688" w14:textId="77777777" w:rsidTr="003A4535">
        <w:tc>
          <w:tcPr>
            <w:tcW w:w="29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66A1C0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57F507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5FE2D0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 months</w:t>
            </w:r>
          </w:p>
          <w:p w14:paraId="0C8D142A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(N=161)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4B577E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 year</w:t>
            </w:r>
          </w:p>
          <w:p w14:paraId="34683425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(N=159)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A55233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years</w:t>
            </w:r>
          </w:p>
          <w:p w14:paraId="0D4F3171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(N=156)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87765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 years</w:t>
            </w:r>
          </w:p>
          <w:p w14:paraId="55793222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(N=151)</w:t>
            </w:r>
          </w:p>
        </w:tc>
        <w:tc>
          <w:tcPr>
            <w:tcW w:w="94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853764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A4535" w:rsidRPr="00236666" w14:paraId="78081D31" w14:textId="77777777" w:rsidTr="00FD2319">
        <w:tc>
          <w:tcPr>
            <w:tcW w:w="29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C8F02A8" w14:textId="77777777" w:rsidR="003A4535" w:rsidRPr="00236666" w:rsidRDefault="003A4535" w:rsidP="00FD2319">
            <w:pPr>
              <w:spacing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α-blockers</w:t>
            </w: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565CA2A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109 (66.9%)</w:t>
            </w: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D0983A6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 (58.4%)</w:t>
            </w: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</w:tcPr>
          <w:p w14:paraId="210C61B4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 (52.8%)</w:t>
            </w: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</w:tcPr>
          <w:p w14:paraId="730D0D88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83 (53.2%)</w:t>
            </w: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</w:tcPr>
          <w:p w14:paraId="56CCFDC3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 (51.7%)</w:t>
            </w:r>
          </w:p>
        </w:tc>
        <w:tc>
          <w:tcPr>
            <w:tcW w:w="94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12FF64A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&lt;0.001</w:t>
            </w:r>
          </w:p>
        </w:tc>
      </w:tr>
      <w:tr w:rsidR="003A4535" w:rsidRPr="00236666" w14:paraId="4638C690" w14:textId="77777777" w:rsidTr="00FD2319"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54D65C" w14:textId="77777777" w:rsidR="003A4535" w:rsidRPr="00236666" w:rsidRDefault="003A4535" w:rsidP="00FD2319">
            <w:pPr>
              <w:spacing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β-blockers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B08779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123 (75.5%)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4A170E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108 (67.1%)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6355B7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103 (64.8%)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DC4152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107 (68.6%)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C2B996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97 (64.2%)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567E51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&lt;0.001</w:t>
            </w:r>
          </w:p>
        </w:tc>
      </w:tr>
      <w:tr w:rsidR="003A4535" w:rsidRPr="00236666" w14:paraId="4B1D513D" w14:textId="77777777" w:rsidTr="00FD2319"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2653B0" w14:textId="77777777" w:rsidR="003A4535" w:rsidRPr="00236666" w:rsidRDefault="003A4535" w:rsidP="00FD2319">
            <w:pPr>
              <w:spacing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Diuretics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8654474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144 (88.3%)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FFF4DA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133 (82.6%)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611973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125 (78.6%)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1A2AD6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125 (80.1%)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EA60AE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118 (78.2%)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8BE6AE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&lt;0.001</w:t>
            </w:r>
          </w:p>
        </w:tc>
      </w:tr>
      <w:tr w:rsidR="003A4535" w:rsidRPr="00236666" w14:paraId="4B703C90" w14:textId="77777777" w:rsidTr="00FD2319"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EC27B8F" w14:textId="77777777" w:rsidR="003A4535" w:rsidRPr="00236666" w:rsidRDefault="003A4535" w:rsidP="00FD2319">
            <w:pPr>
              <w:spacing w:line="48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Loop diuretics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60AF417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 (36.8%)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42F9B6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58 (36.0%)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728F68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 (34.6%)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F4963F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58 (37.2%)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34C653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 (36.4%)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A95D62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0.588</w:t>
            </w:r>
          </w:p>
        </w:tc>
      </w:tr>
      <w:tr w:rsidR="003A4535" w:rsidRPr="00236666" w14:paraId="101DAC4F" w14:textId="77777777" w:rsidTr="00FD2319"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BD0307D" w14:textId="77777777" w:rsidR="003A4535" w:rsidRPr="00236666" w:rsidRDefault="003A4535" w:rsidP="00FD2319">
            <w:pPr>
              <w:spacing w:line="480" w:lineRule="auto"/>
              <w:ind w:left="85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Furosemide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E0EC85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 (33.7%)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DEA49A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 (33.5%)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5D6C34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 (32.1%)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0CF2F0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 (34.0%)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D0B854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 (35.1%)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3C51DE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0.836</w:t>
            </w:r>
          </w:p>
        </w:tc>
      </w:tr>
      <w:tr w:rsidR="003A4535" w:rsidRPr="00236666" w14:paraId="5BF8D039" w14:textId="77777777" w:rsidTr="00FD2319"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681370" w14:textId="77777777" w:rsidR="003A4535" w:rsidRPr="00236666" w:rsidRDefault="003A4535" w:rsidP="00FD2319">
            <w:pPr>
              <w:spacing w:line="48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Mineral corticoid receptor antagonists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BE8720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 (22.7%)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52D5DB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 (21.1%)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E2F684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 (23.3%)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181C7D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 (22.4%)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09CEE3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 (16.6%)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52AE64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0.089</w:t>
            </w:r>
          </w:p>
        </w:tc>
      </w:tr>
      <w:tr w:rsidR="003A4535" w:rsidRPr="00236666" w14:paraId="3EEB6382" w14:textId="77777777" w:rsidTr="00FD2319"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35906C1" w14:textId="77777777" w:rsidR="003A4535" w:rsidRPr="00236666" w:rsidRDefault="003A4535" w:rsidP="00FD2319">
            <w:pPr>
              <w:spacing w:line="480" w:lineRule="auto"/>
              <w:ind w:left="85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Spironolactone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64FC92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 </w:t>
            </w:r>
          </w:p>
          <w:p w14:paraId="723A3A96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(3.7%)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EE68C9F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 </w:t>
            </w:r>
          </w:p>
          <w:p w14:paraId="2DAD7A9E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(2.5%)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45C47B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 </w:t>
            </w:r>
          </w:p>
          <w:p w14:paraId="568F8EA7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(3.8%)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609321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  <w:p w14:paraId="7FF9397E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(3.9%)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1F952E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 </w:t>
            </w:r>
          </w:p>
          <w:p w14:paraId="31AAC9AC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(2.7%)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0079BA9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0.751</w:t>
            </w:r>
          </w:p>
        </w:tc>
      </w:tr>
      <w:tr w:rsidR="003A4535" w:rsidRPr="00236666" w14:paraId="26E83242" w14:textId="77777777" w:rsidTr="00FD2319"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554625" w14:textId="77777777" w:rsidR="003A4535" w:rsidRPr="00236666" w:rsidRDefault="003A4535" w:rsidP="00FD2319">
            <w:pPr>
              <w:spacing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Angiotensin-converting enzyme inhibitors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D70F1B3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 (58.9%)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0F54E53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83 (51.6%)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CA8803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78 (49.1%)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D0CE55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 (45.5%)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885FC2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 (41.7%)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0CE56E4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&lt;0.001</w:t>
            </w:r>
          </w:p>
        </w:tc>
      </w:tr>
      <w:tr w:rsidR="003A4535" w:rsidRPr="00236666" w14:paraId="6957643E" w14:textId="77777777" w:rsidTr="00FD2319"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DCE81E" w14:textId="77777777" w:rsidR="003A4535" w:rsidRPr="00236666" w:rsidRDefault="003A4535" w:rsidP="00FD2319">
            <w:pPr>
              <w:spacing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Angiotensin II receptor blockers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C18E15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107 (65.6%)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1748489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 (58.4%)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0D4B7E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 (54.1%)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1604CE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 (55.1%)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C3191E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79 (52.3%)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A77C46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&lt;0.001</w:t>
            </w:r>
          </w:p>
        </w:tc>
      </w:tr>
      <w:tr w:rsidR="003A4535" w:rsidRPr="00236666" w14:paraId="04771632" w14:textId="77777777" w:rsidTr="00FD2319"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8AD7E0E" w14:textId="77777777" w:rsidR="003A4535" w:rsidRPr="00236666" w:rsidRDefault="003A4535" w:rsidP="00FD2319">
            <w:pPr>
              <w:spacing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Calcium channel blockers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C9CFA2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139 (85.3%)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2F2695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114 (70.8%)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E80CD4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109 (68.6%)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40EDAB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112 (71.8%)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EA8BFE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104 (68.9%)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096510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&lt;0.001</w:t>
            </w:r>
          </w:p>
        </w:tc>
      </w:tr>
      <w:tr w:rsidR="003A4535" w:rsidRPr="00236666" w14:paraId="0B270B66" w14:textId="77777777" w:rsidTr="00FD2319">
        <w:tc>
          <w:tcPr>
            <w:tcW w:w="297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79B278C" w14:textId="77777777" w:rsidR="003A4535" w:rsidRPr="00236666" w:rsidRDefault="003A4535" w:rsidP="00FD2319">
            <w:pPr>
              <w:spacing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Renin-inhibitors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46490638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 (9.8%)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A805C72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12 </w:t>
            </w:r>
          </w:p>
          <w:p w14:paraId="296773E8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(7.5%)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nil"/>
            </w:tcBorders>
          </w:tcPr>
          <w:p w14:paraId="00D653BE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  <w:p w14:paraId="395745F0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(5.7%)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nil"/>
            </w:tcBorders>
          </w:tcPr>
          <w:p w14:paraId="6422DE94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14:paraId="28C1C9A1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(1.9%)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nil"/>
            </w:tcBorders>
          </w:tcPr>
          <w:p w14:paraId="2D60F49D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 </w:t>
            </w:r>
          </w:p>
          <w:p w14:paraId="7B94FDAE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(2.7%)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1DD4E377" w14:textId="77777777" w:rsidR="003A4535" w:rsidRPr="00236666" w:rsidRDefault="003A4535" w:rsidP="003A45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&lt;0.001</w:t>
            </w:r>
          </w:p>
        </w:tc>
      </w:tr>
    </w:tbl>
    <w:p w14:paraId="4A991340" w14:textId="77777777" w:rsidR="003A4535" w:rsidRPr="00236666" w:rsidRDefault="003A4535" w:rsidP="003A4535">
      <w:pPr>
        <w:rPr>
          <w:rFonts w:ascii="Times New Roman" w:hAnsi="Times New Roman" w:cs="Times New Roman"/>
          <w:sz w:val="24"/>
        </w:rPr>
      </w:pPr>
    </w:p>
    <w:p w14:paraId="08B8A198" w14:textId="77777777" w:rsidR="003C6B9E" w:rsidRPr="00236666" w:rsidRDefault="003C6B9E" w:rsidP="003A4535">
      <w:pPr>
        <w:rPr>
          <w:rFonts w:ascii="Times New Roman" w:hAnsi="Times New Roman" w:cs="Times New Roman"/>
          <w:sz w:val="24"/>
        </w:rPr>
      </w:pPr>
    </w:p>
    <w:p w14:paraId="7FBB5333" w14:textId="485F20F1" w:rsidR="003C6B9E" w:rsidRPr="00236666" w:rsidRDefault="003C6B9E">
      <w:pPr>
        <w:rPr>
          <w:rFonts w:ascii="Times New Roman" w:hAnsi="Times New Roman" w:cs="Times New Roman"/>
          <w:sz w:val="24"/>
        </w:rPr>
      </w:pPr>
      <w:r w:rsidRPr="00236666">
        <w:rPr>
          <w:rFonts w:ascii="Times New Roman" w:hAnsi="Times New Roman" w:cs="Times New Roman"/>
          <w:sz w:val="24"/>
        </w:rPr>
        <w:br w:type="page"/>
      </w:r>
    </w:p>
    <w:p w14:paraId="2FC58A26" w14:textId="007C12CE" w:rsidR="003C6B9E" w:rsidRPr="00236666" w:rsidRDefault="003C6B9E" w:rsidP="003C6B9E">
      <w:pPr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236666">
        <w:rPr>
          <w:rFonts w:ascii="Times New Roman" w:hAnsi="Times New Roman" w:cs="Times New Roman"/>
          <w:b/>
          <w:sz w:val="24"/>
          <w:lang w:val="en-GB"/>
        </w:rPr>
        <w:lastRenderedPageBreak/>
        <w:t>Supplementary Table S5</w:t>
      </w:r>
      <w:r w:rsidRPr="00236666">
        <w:rPr>
          <w:rFonts w:ascii="Times New Roman" w:hAnsi="Times New Roman" w:cs="Times New Roman"/>
          <w:sz w:val="24"/>
          <w:lang w:val="en-GB"/>
        </w:rPr>
        <w:t>. Number of antihypertensive drug classes prescribed</w:t>
      </w:r>
      <w:r w:rsidRPr="00236666">
        <w:rPr>
          <w:rFonts w:ascii="Times New Roman" w:hAnsi="Times New Roman" w:cs="Times New Roman"/>
          <w:sz w:val="24"/>
          <w:szCs w:val="24"/>
          <w:lang w:val="en-GB"/>
        </w:rPr>
        <w:t xml:space="preserve"> to control patients</w:t>
      </w:r>
      <w:r w:rsidRPr="00236666">
        <w:rPr>
          <w:rFonts w:ascii="Times New Roman" w:hAnsi="Times New Roman" w:cs="Times New Roman"/>
          <w:sz w:val="24"/>
          <w:lang w:val="en-GB"/>
        </w:rPr>
        <w:t xml:space="preserve"> in the year before the index admission and in the 3 years after the index discharge</w:t>
      </w:r>
      <w:r w:rsidRPr="00236666">
        <w:rPr>
          <w:rFonts w:ascii="Times New Roman" w:hAnsi="Times New Roman" w:cs="Times New Roman"/>
          <w:sz w:val="24"/>
          <w:szCs w:val="24"/>
          <w:lang w:val="en-GB"/>
        </w:rPr>
        <w:t xml:space="preserve"> of the corresponding patient who underwent the renal denervation</w:t>
      </w:r>
      <w:r w:rsidRPr="00236666">
        <w:rPr>
          <w:rFonts w:ascii="Times New Roman" w:hAnsi="Times New Roman" w:cs="Times New Roman"/>
          <w:sz w:val="24"/>
          <w:lang w:val="en-GB"/>
        </w:rPr>
        <w:t xml:space="preserve">, considering patients who were prescribed at least 3 antihypertensive drugs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0"/>
        <w:gridCol w:w="1610"/>
        <w:gridCol w:w="1610"/>
        <w:gridCol w:w="1316"/>
        <w:gridCol w:w="1316"/>
        <w:gridCol w:w="1316"/>
      </w:tblGrid>
      <w:tr w:rsidR="003C6B9E" w:rsidRPr="00236666" w14:paraId="31960757" w14:textId="77777777" w:rsidTr="00211EC5">
        <w:tc>
          <w:tcPr>
            <w:tcW w:w="247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8519E35" w14:textId="77777777" w:rsidR="003C6B9E" w:rsidRPr="00236666" w:rsidRDefault="003C6B9E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Antihypertensive drugs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2F3F40" w14:textId="77777777" w:rsidR="003C6B9E" w:rsidRPr="00236666" w:rsidRDefault="003C6B9E" w:rsidP="00211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Before</w:t>
            </w:r>
          </w:p>
          <w:p w14:paraId="759A7EF2" w14:textId="52F923F5" w:rsidR="003C6B9E" w:rsidRPr="00236666" w:rsidRDefault="003C6B9E" w:rsidP="00211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(N=</w:t>
            </w:r>
            <w:r w:rsidR="00E70630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155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5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04FE21" w14:textId="77777777" w:rsidR="003C6B9E" w:rsidRPr="00236666" w:rsidRDefault="003C6B9E" w:rsidP="00211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After</w:t>
            </w:r>
          </w:p>
        </w:tc>
      </w:tr>
      <w:tr w:rsidR="003C6B9E" w:rsidRPr="00236666" w14:paraId="009D6A94" w14:textId="77777777" w:rsidTr="00211EC5">
        <w:tc>
          <w:tcPr>
            <w:tcW w:w="24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A455CB" w14:textId="77777777" w:rsidR="003C6B9E" w:rsidRPr="00236666" w:rsidRDefault="003C6B9E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7C27A3" w14:textId="77777777" w:rsidR="003C6B9E" w:rsidRPr="00236666" w:rsidRDefault="003C6B9E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09585A" w14:textId="77777777" w:rsidR="003C6B9E" w:rsidRPr="00236666" w:rsidRDefault="003C6B9E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 months</w:t>
            </w:r>
          </w:p>
          <w:p w14:paraId="618F611D" w14:textId="740953D7" w:rsidR="003C6B9E" w:rsidRPr="00236666" w:rsidRDefault="003C6B9E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(N=1</w:t>
            </w:r>
            <w:r w:rsidR="00E70630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D8F5E" w14:textId="77777777" w:rsidR="003C6B9E" w:rsidRPr="00236666" w:rsidRDefault="003C6B9E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year</w:t>
            </w:r>
          </w:p>
          <w:p w14:paraId="55C1F053" w14:textId="564AE5BC" w:rsidR="003C6B9E" w:rsidRPr="00236666" w:rsidRDefault="003C6B9E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(N=15</w:t>
            </w:r>
            <w:r w:rsidR="00E70630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2D7E91" w14:textId="77777777" w:rsidR="003C6B9E" w:rsidRPr="00236666" w:rsidRDefault="003C6B9E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years</w:t>
            </w:r>
          </w:p>
          <w:p w14:paraId="485D2F0E" w14:textId="5106C51C" w:rsidR="003C6B9E" w:rsidRPr="00236666" w:rsidRDefault="003C6B9E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(N=15</w:t>
            </w:r>
            <w:r w:rsidR="000725C7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E316A2" w14:textId="77777777" w:rsidR="003C6B9E" w:rsidRPr="00236666" w:rsidRDefault="003C6B9E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 years</w:t>
            </w:r>
          </w:p>
          <w:p w14:paraId="57E829EE" w14:textId="435059B2" w:rsidR="003C6B9E" w:rsidRPr="00236666" w:rsidRDefault="003C6B9E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(N=1</w:t>
            </w:r>
            <w:r w:rsidR="00C04CD8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3C6B9E" w:rsidRPr="00236666" w14:paraId="1E8FF4A0" w14:textId="77777777" w:rsidTr="00211EC5">
        <w:tc>
          <w:tcPr>
            <w:tcW w:w="24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20E5E72" w14:textId="77777777" w:rsidR="003C6B9E" w:rsidRPr="00236666" w:rsidRDefault="003C6B9E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61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C4A1B79" w14:textId="77777777" w:rsidR="003C6B9E" w:rsidRPr="00236666" w:rsidRDefault="003C6B9E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61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20CD10D" w14:textId="4A8A49F5" w:rsidR="003C6B9E" w:rsidRPr="00236666" w:rsidRDefault="00E70630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131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0BCCB18" w14:textId="065F42C5" w:rsidR="003C6B9E" w:rsidRPr="00236666" w:rsidRDefault="00E70630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131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5C83CCD" w14:textId="1B1138DE" w:rsidR="003C6B9E" w:rsidRPr="00236666" w:rsidRDefault="000725C7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131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DD1394C" w14:textId="6A2D69E5" w:rsidR="003C6B9E" w:rsidRPr="00236666" w:rsidRDefault="003C6B9E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(1.</w:t>
            </w:r>
            <w:r w:rsidR="00C04CD8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%)</w:t>
            </w:r>
          </w:p>
        </w:tc>
      </w:tr>
      <w:tr w:rsidR="003C6B9E" w:rsidRPr="00236666" w14:paraId="6CD7249B" w14:textId="77777777" w:rsidTr="00211EC5">
        <w:tc>
          <w:tcPr>
            <w:tcW w:w="2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A853B4" w14:textId="77777777" w:rsidR="003C6B9E" w:rsidRPr="00236666" w:rsidRDefault="003C6B9E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9FCEFF" w14:textId="77777777" w:rsidR="003C6B9E" w:rsidRPr="00236666" w:rsidRDefault="003C6B9E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D4E5B9" w14:textId="32578E49" w:rsidR="003C6B9E" w:rsidRPr="00236666" w:rsidRDefault="00E70630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7DE94A" w14:textId="454061CE" w:rsidR="003C6B9E" w:rsidRPr="00236666" w:rsidRDefault="00E70630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F6B71C2" w14:textId="0E829581" w:rsidR="003C6B9E" w:rsidRPr="00236666" w:rsidRDefault="003C6B9E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 (3.</w:t>
            </w:r>
            <w:r w:rsidR="000725C7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F7E9F5" w14:textId="2BEB74F0" w:rsidR="003C6B9E" w:rsidRPr="00236666" w:rsidRDefault="00C04CD8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%)</w:t>
            </w:r>
          </w:p>
        </w:tc>
      </w:tr>
      <w:tr w:rsidR="003C6B9E" w:rsidRPr="00236666" w14:paraId="4BB88437" w14:textId="77777777" w:rsidTr="00211EC5">
        <w:tc>
          <w:tcPr>
            <w:tcW w:w="2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4A44EE3" w14:textId="77777777" w:rsidR="003C6B9E" w:rsidRPr="00236666" w:rsidRDefault="003C6B9E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E73289D" w14:textId="77777777" w:rsidR="003C6B9E" w:rsidRPr="00236666" w:rsidRDefault="003C6B9E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E9FA2F" w14:textId="19B1E160" w:rsidR="003C6B9E" w:rsidRPr="00236666" w:rsidRDefault="00E70630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2FAD54" w14:textId="2ED96613" w:rsidR="003C6B9E" w:rsidRPr="00236666" w:rsidRDefault="00E70630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19113D" w14:textId="7D6C6FB1" w:rsidR="003C6B9E" w:rsidRPr="00236666" w:rsidRDefault="000725C7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B6FA99" w14:textId="5C578445" w:rsidR="003C6B9E" w:rsidRPr="00236666" w:rsidRDefault="00C04CD8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%)</w:t>
            </w:r>
          </w:p>
        </w:tc>
      </w:tr>
      <w:tr w:rsidR="003C6B9E" w:rsidRPr="00236666" w14:paraId="07B4DD0E" w14:textId="77777777" w:rsidTr="00211EC5">
        <w:tc>
          <w:tcPr>
            <w:tcW w:w="2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0B51A82" w14:textId="77777777" w:rsidR="003C6B9E" w:rsidRPr="00236666" w:rsidRDefault="003C6B9E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EC6AF9D" w14:textId="1EB07575" w:rsidR="003C6B9E" w:rsidRPr="00236666" w:rsidRDefault="003C6B9E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E70630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(16.</w:t>
            </w:r>
            <w:r w:rsidR="00E70630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4BF153" w14:textId="1C6A6F7A" w:rsidR="003C6B9E" w:rsidRPr="00236666" w:rsidRDefault="003C6B9E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 (</w:t>
            </w:r>
            <w:r w:rsidR="00E70630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E70630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75F9E8" w14:textId="117563EC" w:rsidR="003C6B9E" w:rsidRPr="00236666" w:rsidRDefault="003C6B9E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E70630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(28.</w:t>
            </w:r>
            <w:r w:rsidR="00E70630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0123AE" w14:textId="7A903D31" w:rsidR="003C6B9E" w:rsidRPr="00236666" w:rsidRDefault="003C6B9E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 (2</w:t>
            </w:r>
            <w:r w:rsidR="000725C7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0725C7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C2A15B" w14:textId="2E9750DF" w:rsidR="003C6B9E" w:rsidRPr="00236666" w:rsidRDefault="003C6B9E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C04CD8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(2</w:t>
            </w:r>
            <w:r w:rsidR="00C04CD8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C04CD8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%)</w:t>
            </w:r>
          </w:p>
        </w:tc>
      </w:tr>
      <w:tr w:rsidR="003C6B9E" w:rsidRPr="00236666" w14:paraId="3B5397E1" w14:textId="77777777" w:rsidTr="00211EC5">
        <w:tc>
          <w:tcPr>
            <w:tcW w:w="2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911004" w14:textId="77777777" w:rsidR="003C6B9E" w:rsidRPr="00236666" w:rsidRDefault="003C6B9E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20508F" w14:textId="39F14888" w:rsidR="003C6B9E" w:rsidRPr="00236666" w:rsidRDefault="00E70630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(31.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BF2F07" w14:textId="3705FC75" w:rsidR="003C6B9E" w:rsidRPr="00236666" w:rsidRDefault="00E70630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7BF869" w14:textId="6AD353B6" w:rsidR="003C6B9E" w:rsidRPr="00236666" w:rsidRDefault="003C6B9E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E70630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(24.</w:t>
            </w:r>
            <w:r w:rsidR="00E70630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F597F4" w14:textId="6F1A278E" w:rsidR="003C6B9E" w:rsidRPr="00236666" w:rsidRDefault="000725C7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(2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9D3543D" w14:textId="2BD23C8E" w:rsidR="003C6B9E" w:rsidRPr="00236666" w:rsidRDefault="00C04CD8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%)</w:t>
            </w:r>
          </w:p>
        </w:tc>
      </w:tr>
      <w:tr w:rsidR="003C6B9E" w:rsidRPr="00236666" w14:paraId="15E0B4FB" w14:textId="77777777" w:rsidTr="00211EC5">
        <w:tc>
          <w:tcPr>
            <w:tcW w:w="2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0F665FD" w14:textId="77777777" w:rsidR="003C6B9E" w:rsidRPr="00236666" w:rsidRDefault="003C6B9E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7B346D1" w14:textId="053A70DD" w:rsidR="003C6B9E" w:rsidRPr="00236666" w:rsidRDefault="00E70630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(3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B0AAB4" w14:textId="0D8AE6AD" w:rsidR="003C6B9E" w:rsidRPr="00236666" w:rsidRDefault="00E70630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(3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9168A5" w14:textId="184AC1EB" w:rsidR="003C6B9E" w:rsidRPr="00236666" w:rsidRDefault="00E70630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3C6B9E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468770F" w14:textId="4534933F" w:rsidR="003C6B9E" w:rsidRPr="00236666" w:rsidRDefault="003C6B9E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0725C7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(2</w:t>
            </w:r>
            <w:r w:rsidR="000725C7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0725C7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AC2A55" w14:textId="253EA70B" w:rsidR="003C6B9E" w:rsidRPr="00236666" w:rsidRDefault="003C6B9E" w:rsidP="00211E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C04CD8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(2</w:t>
            </w:r>
            <w:r w:rsidR="00C04CD8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C04CD8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%)</w:t>
            </w:r>
          </w:p>
        </w:tc>
      </w:tr>
      <w:tr w:rsidR="00E70630" w:rsidRPr="00236666" w14:paraId="0E3C1AE1" w14:textId="77777777" w:rsidTr="00211EC5">
        <w:tc>
          <w:tcPr>
            <w:tcW w:w="247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2E2295" w14:textId="779C2FD8" w:rsidR="00E70630" w:rsidRPr="00236666" w:rsidRDefault="00E70630" w:rsidP="00E70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F167C0" w14:textId="01063882" w:rsidR="00E70630" w:rsidRPr="00236666" w:rsidRDefault="00E70630" w:rsidP="00E70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 (14.8%)</w:t>
            </w: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260C03" w14:textId="6415B25D" w:rsidR="00E70630" w:rsidRPr="00236666" w:rsidRDefault="00E70630" w:rsidP="00E70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 (14.9%)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A7B212" w14:textId="5EB0AB92" w:rsidR="00E70630" w:rsidRPr="00236666" w:rsidRDefault="00E70630" w:rsidP="00E70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 (9.8%)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67346D" w14:textId="3F03D67B" w:rsidR="00E70630" w:rsidRPr="00236666" w:rsidRDefault="000725C7" w:rsidP="00E70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  <w:r w:rsidR="00E70630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  <w:r w:rsidR="00E70630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E70630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533C46" w14:textId="0F44435A" w:rsidR="00E70630" w:rsidRPr="00236666" w:rsidRDefault="00C04CD8" w:rsidP="00E7063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  <w:r w:rsidR="00E70630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  <w:r w:rsidR="00E70630"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.0%)</w:t>
            </w:r>
          </w:p>
        </w:tc>
      </w:tr>
    </w:tbl>
    <w:p w14:paraId="32DFEE39" w14:textId="77777777" w:rsidR="003C6B9E" w:rsidRPr="00236666" w:rsidRDefault="003C6B9E" w:rsidP="003C6B9E">
      <w:pPr>
        <w:jc w:val="both"/>
        <w:rPr>
          <w:rFonts w:ascii="Times New Roman" w:hAnsi="Times New Roman" w:cs="Times New Roman"/>
          <w:sz w:val="24"/>
        </w:rPr>
      </w:pPr>
    </w:p>
    <w:p w14:paraId="047FA40F" w14:textId="77777777" w:rsidR="003C6B9E" w:rsidRPr="00236666" w:rsidRDefault="003C6B9E" w:rsidP="003A4535">
      <w:pPr>
        <w:rPr>
          <w:rFonts w:ascii="Times New Roman" w:hAnsi="Times New Roman" w:cs="Times New Roman"/>
          <w:sz w:val="24"/>
        </w:rPr>
      </w:pPr>
    </w:p>
    <w:p w14:paraId="0253799A" w14:textId="77777777" w:rsidR="003C6B9E" w:rsidRPr="00236666" w:rsidRDefault="003C6B9E" w:rsidP="003A4535">
      <w:pPr>
        <w:rPr>
          <w:rFonts w:ascii="Times New Roman" w:hAnsi="Times New Roman" w:cs="Times New Roman"/>
          <w:sz w:val="24"/>
        </w:rPr>
      </w:pPr>
    </w:p>
    <w:p w14:paraId="02852167" w14:textId="77777777" w:rsidR="003C6B9E" w:rsidRPr="00236666" w:rsidRDefault="003C6B9E" w:rsidP="003A4535">
      <w:pPr>
        <w:rPr>
          <w:rFonts w:ascii="Times New Roman" w:hAnsi="Times New Roman" w:cs="Times New Roman"/>
          <w:sz w:val="24"/>
        </w:rPr>
      </w:pPr>
    </w:p>
    <w:p w14:paraId="73ED0040" w14:textId="576CC317" w:rsidR="003C6B9E" w:rsidRPr="00236666" w:rsidRDefault="003C6B9E" w:rsidP="003A4535">
      <w:pPr>
        <w:rPr>
          <w:rFonts w:ascii="Times New Roman" w:hAnsi="Times New Roman" w:cs="Times New Roman"/>
          <w:sz w:val="24"/>
        </w:rPr>
        <w:sectPr w:rsidR="003C6B9E" w:rsidRPr="00236666" w:rsidSect="003A4535">
          <w:pgSz w:w="11906" w:h="16838" w:code="9"/>
          <w:pgMar w:top="1417" w:right="1134" w:bottom="1134" w:left="1134" w:header="709" w:footer="709" w:gutter="0"/>
          <w:cols w:space="708"/>
          <w:docGrid w:linePitch="360"/>
        </w:sectPr>
      </w:pPr>
    </w:p>
    <w:p w14:paraId="13B3B9E5" w14:textId="06180271" w:rsidR="00944513" w:rsidRPr="00236666" w:rsidRDefault="00E077A1" w:rsidP="00944513">
      <w:pPr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236666">
        <w:rPr>
          <w:rFonts w:ascii="Times New Roman" w:hAnsi="Times New Roman" w:cs="Times New Roman"/>
          <w:b/>
          <w:sz w:val="24"/>
          <w:lang w:val="en-GB"/>
        </w:rPr>
        <w:lastRenderedPageBreak/>
        <w:t xml:space="preserve">Supplementary </w:t>
      </w:r>
      <w:r w:rsidR="00944513" w:rsidRPr="00236666">
        <w:rPr>
          <w:rFonts w:ascii="Times New Roman" w:hAnsi="Times New Roman" w:cs="Times New Roman"/>
          <w:b/>
          <w:sz w:val="24"/>
          <w:lang w:val="en-GB"/>
        </w:rPr>
        <w:t>Table S</w:t>
      </w:r>
      <w:r w:rsidR="003C6B9E" w:rsidRPr="00236666">
        <w:rPr>
          <w:rFonts w:ascii="Times New Roman" w:hAnsi="Times New Roman" w:cs="Times New Roman"/>
          <w:b/>
          <w:sz w:val="24"/>
          <w:lang w:val="en-GB"/>
        </w:rPr>
        <w:t>6</w:t>
      </w:r>
      <w:r w:rsidR="00944513" w:rsidRPr="00236666">
        <w:rPr>
          <w:rFonts w:ascii="Times New Roman" w:hAnsi="Times New Roman" w:cs="Times New Roman"/>
          <w:sz w:val="24"/>
          <w:lang w:val="en-GB"/>
        </w:rPr>
        <w:t>. Number of antihypertensive drug classes prescribed in the year before the index admission among the whole cohort members and those who survived at the 3</w:t>
      </w:r>
      <w:r w:rsidR="00944513" w:rsidRPr="00236666">
        <w:rPr>
          <w:rFonts w:ascii="Times New Roman" w:hAnsi="Times New Roman" w:cs="Times New Roman"/>
          <w:sz w:val="24"/>
          <w:vertAlign w:val="superscript"/>
          <w:lang w:val="en-GB"/>
        </w:rPr>
        <w:t>rd</w:t>
      </w:r>
      <w:r w:rsidR="00944513" w:rsidRPr="00236666">
        <w:rPr>
          <w:rFonts w:ascii="Times New Roman" w:hAnsi="Times New Roman" w:cs="Times New Roman"/>
          <w:sz w:val="24"/>
          <w:lang w:val="en-GB"/>
        </w:rPr>
        <w:t xml:space="preserve"> year</w:t>
      </w:r>
      <w:r w:rsidR="00915534" w:rsidRPr="00236666">
        <w:rPr>
          <w:rFonts w:ascii="Times New Roman" w:hAnsi="Times New Roman" w:cs="Times New Roman"/>
          <w:sz w:val="24"/>
          <w:lang w:val="en-GB"/>
        </w:rPr>
        <w:t xml:space="preserve"> after renal denervation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1"/>
        <w:gridCol w:w="1701"/>
        <w:gridCol w:w="1701"/>
      </w:tblGrid>
      <w:tr w:rsidR="00FC271B" w:rsidRPr="00236666" w14:paraId="6E7DDDA1" w14:textId="77777777" w:rsidTr="00944513">
        <w:trPr>
          <w:trHeight w:val="562"/>
        </w:trPr>
        <w:tc>
          <w:tcPr>
            <w:tcW w:w="323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0EF48F3" w14:textId="77777777" w:rsidR="00FC271B" w:rsidRPr="00236666" w:rsidRDefault="00FC271B" w:rsidP="00FC27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Antihypertensive drugs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D7D43DC" w14:textId="77777777" w:rsidR="00FC271B" w:rsidRPr="00236666" w:rsidRDefault="00FC271B" w:rsidP="00FC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Whole cohort members</w:t>
            </w:r>
          </w:p>
          <w:p w14:paraId="5CED74FB" w14:textId="69A10205" w:rsidR="00FC271B" w:rsidRPr="00236666" w:rsidRDefault="00FC271B" w:rsidP="00FC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(N=136)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4BEAB82" w14:textId="77777777" w:rsidR="00FC271B" w:rsidRPr="00236666" w:rsidRDefault="00FC271B" w:rsidP="00FC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Patients alive at the 3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rd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year</w:t>
            </w:r>
          </w:p>
          <w:p w14:paraId="4B6EA35C" w14:textId="61C66694" w:rsidR="00FC271B" w:rsidRPr="00236666" w:rsidRDefault="00FC271B" w:rsidP="00FC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(N=125)</w:t>
            </w:r>
          </w:p>
        </w:tc>
      </w:tr>
      <w:tr w:rsidR="00FC271B" w:rsidRPr="00236666" w14:paraId="7E1BFFFB" w14:textId="77777777" w:rsidTr="00944513">
        <w:tc>
          <w:tcPr>
            <w:tcW w:w="32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A715C4" w14:textId="019EC23F" w:rsidR="00FC271B" w:rsidRPr="00236666" w:rsidRDefault="00FC271B" w:rsidP="00FC271B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FACA16" w14:textId="0282C6E8" w:rsidR="00FC271B" w:rsidRPr="00236666" w:rsidRDefault="00FC271B" w:rsidP="00FC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 (37.5%)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2770B7" w14:textId="45947929" w:rsidR="00FC271B" w:rsidRPr="00236666" w:rsidRDefault="00FC271B" w:rsidP="00FC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 (37.5%)</w:t>
            </w:r>
          </w:p>
        </w:tc>
      </w:tr>
      <w:tr w:rsidR="00FC271B" w:rsidRPr="00236666" w14:paraId="3DD65649" w14:textId="77777777" w:rsidTr="00944513">
        <w:tc>
          <w:tcPr>
            <w:tcW w:w="32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3848C8" w14:textId="752FFE04" w:rsidR="00FC271B" w:rsidRPr="00236666" w:rsidRDefault="00FC271B" w:rsidP="00FC271B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4CD939" w14:textId="48328A66" w:rsidR="00FC271B" w:rsidRPr="00236666" w:rsidRDefault="00FC271B" w:rsidP="00FC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 (44.9%)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36653B" w14:textId="19E3B5C2" w:rsidR="00FC271B" w:rsidRPr="00236666" w:rsidRDefault="00FC271B" w:rsidP="00FC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 (44.9%)</w:t>
            </w:r>
          </w:p>
        </w:tc>
      </w:tr>
      <w:tr w:rsidR="00FC271B" w:rsidRPr="00236666" w14:paraId="351E18CF" w14:textId="77777777" w:rsidTr="00C01EEF">
        <w:tc>
          <w:tcPr>
            <w:tcW w:w="32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B8FDCB" w14:textId="63D0A681" w:rsidR="00FC271B" w:rsidRPr="00236666" w:rsidRDefault="00FC271B" w:rsidP="00FC271B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ED3554" w14:textId="2AD4AFFC" w:rsidR="00FC271B" w:rsidRPr="00236666" w:rsidRDefault="00FC271B" w:rsidP="00FC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 (17.7%)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23B686" w14:textId="3200D10F" w:rsidR="00FC271B" w:rsidRPr="00236666" w:rsidRDefault="00FC271B" w:rsidP="00FC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(16.0%)</w:t>
            </w:r>
          </w:p>
        </w:tc>
      </w:tr>
      <w:tr w:rsidR="00C01EEF" w:rsidRPr="00236666" w14:paraId="040DC375" w14:textId="77777777" w:rsidTr="00C01EEF">
        <w:tc>
          <w:tcPr>
            <w:tcW w:w="3231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EAA86C7" w14:textId="77777777" w:rsidR="00C01EEF" w:rsidRPr="00236666" w:rsidRDefault="00C01EEF" w:rsidP="00C01E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p-value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4F01685E" w14:textId="224E1CB1" w:rsidR="00C01EEF" w:rsidRPr="00236666" w:rsidRDefault="00FC271B" w:rsidP="0094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0.067</w:t>
            </w:r>
          </w:p>
        </w:tc>
      </w:tr>
    </w:tbl>
    <w:p w14:paraId="1F1002CC" w14:textId="77777777" w:rsidR="00114883" w:rsidRPr="00236666" w:rsidRDefault="00114883" w:rsidP="004C0167">
      <w:pPr>
        <w:jc w:val="both"/>
        <w:rPr>
          <w:rFonts w:ascii="Times New Roman" w:hAnsi="Times New Roman" w:cs="Times New Roman"/>
          <w:sz w:val="24"/>
          <w:lang w:val="en-GB"/>
        </w:rPr>
      </w:pPr>
    </w:p>
    <w:p w14:paraId="444814CA" w14:textId="77777777" w:rsidR="00C1400D" w:rsidRPr="00236666" w:rsidRDefault="00C1400D">
      <w:pPr>
        <w:rPr>
          <w:rFonts w:ascii="Times New Roman" w:hAnsi="Times New Roman" w:cs="Times New Roman"/>
          <w:sz w:val="24"/>
          <w:lang w:val="en-GB"/>
        </w:rPr>
      </w:pPr>
      <w:r w:rsidRPr="00236666">
        <w:rPr>
          <w:rFonts w:ascii="Times New Roman" w:hAnsi="Times New Roman" w:cs="Times New Roman"/>
          <w:sz w:val="24"/>
          <w:lang w:val="en-GB"/>
        </w:rPr>
        <w:br w:type="page"/>
      </w:r>
    </w:p>
    <w:p w14:paraId="1C526A91" w14:textId="5AAC1F91" w:rsidR="00C1400D" w:rsidRPr="00236666" w:rsidRDefault="00E077A1" w:rsidP="00C1400D">
      <w:pPr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236666">
        <w:rPr>
          <w:rFonts w:ascii="Times New Roman" w:hAnsi="Times New Roman" w:cs="Times New Roman"/>
          <w:b/>
          <w:sz w:val="24"/>
          <w:lang w:val="en-GB"/>
        </w:rPr>
        <w:lastRenderedPageBreak/>
        <w:t xml:space="preserve">Supplementary </w:t>
      </w:r>
      <w:r w:rsidR="00C1400D" w:rsidRPr="00236666">
        <w:rPr>
          <w:rFonts w:ascii="Times New Roman" w:hAnsi="Times New Roman" w:cs="Times New Roman"/>
          <w:b/>
          <w:sz w:val="24"/>
          <w:lang w:val="en-GB"/>
        </w:rPr>
        <w:t>Table S</w:t>
      </w:r>
      <w:r w:rsidR="003C6B9E" w:rsidRPr="00236666">
        <w:rPr>
          <w:rFonts w:ascii="Times New Roman" w:hAnsi="Times New Roman" w:cs="Times New Roman"/>
          <w:b/>
          <w:sz w:val="24"/>
          <w:lang w:val="en-GB"/>
        </w:rPr>
        <w:t>7</w:t>
      </w:r>
      <w:r w:rsidR="00C1400D" w:rsidRPr="00236666">
        <w:rPr>
          <w:rFonts w:ascii="Times New Roman" w:hAnsi="Times New Roman" w:cs="Times New Roman"/>
          <w:sz w:val="24"/>
          <w:lang w:val="en-GB"/>
        </w:rPr>
        <w:t>. Antihypertensive drug classes prescribed in the year before the index admission among the whole cohort members and those who survived at the 3</w:t>
      </w:r>
      <w:r w:rsidR="00C1400D" w:rsidRPr="00236666">
        <w:rPr>
          <w:rFonts w:ascii="Times New Roman" w:hAnsi="Times New Roman" w:cs="Times New Roman"/>
          <w:sz w:val="24"/>
          <w:vertAlign w:val="superscript"/>
          <w:lang w:val="en-GB"/>
        </w:rPr>
        <w:t>rd</w:t>
      </w:r>
      <w:r w:rsidR="00C1400D" w:rsidRPr="00236666">
        <w:rPr>
          <w:rFonts w:ascii="Times New Roman" w:hAnsi="Times New Roman" w:cs="Times New Roman"/>
          <w:sz w:val="24"/>
          <w:lang w:val="en-GB"/>
        </w:rPr>
        <w:t xml:space="preserve"> year</w:t>
      </w:r>
      <w:r w:rsidR="00915534" w:rsidRPr="00236666">
        <w:rPr>
          <w:rFonts w:ascii="Times New Roman" w:hAnsi="Times New Roman" w:cs="Times New Roman"/>
          <w:sz w:val="24"/>
          <w:lang w:val="en-GB"/>
        </w:rPr>
        <w:t xml:space="preserve"> after renal denervation</w:t>
      </w:r>
    </w:p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3969"/>
        <w:gridCol w:w="1984"/>
        <w:gridCol w:w="1984"/>
        <w:gridCol w:w="1417"/>
      </w:tblGrid>
      <w:tr w:rsidR="00FC271B" w:rsidRPr="00236666" w14:paraId="01178471" w14:textId="77777777" w:rsidTr="00C1400D">
        <w:trPr>
          <w:trHeight w:val="828"/>
        </w:trPr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20CF06B5" w14:textId="77777777" w:rsidR="00FC271B" w:rsidRPr="00236666" w:rsidRDefault="00FC271B" w:rsidP="00FC27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Antihypertensive drugs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14:paraId="581CA826" w14:textId="77777777" w:rsidR="00FC271B" w:rsidRPr="00236666" w:rsidRDefault="00FC271B" w:rsidP="00FC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Whole cohort members</w:t>
            </w:r>
          </w:p>
          <w:p w14:paraId="787F6795" w14:textId="5E6BA088" w:rsidR="00FC271B" w:rsidRPr="00236666" w:rsidRDefault="00FC271B" w:rsidP="00FC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(N=136)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14:paraId="5CB66F9E" w14:textId="77777777" w:rsidR="00FC271B" w:rsidRPr="00236666" w:rsidRDefault="00FC271B" w:rsidP="00FC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Patients alive at the 3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rd</w:t>
            </w: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year</w:t>
            </w:r>
          </w:p>
          <w:p w14:paraId="376349AE" w14:textId="5DE4E8B2" w:rsidR="00FC271B" w:rsidRPr="00236666" w:rsidRDefault="00FC271B" w:rsidP="00FC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(N=125)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770E77D1" w14:textId="2B3BC4AB" w:rsidR="00FC271B" w:rsidRPr="00236666" w:rsidRDefault="00FC271B" w:rsidP="00FC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p-value</w:t>
            </w:r>
          </w:p>
        </w:tc>
      </w:tr>
      <w:tr w:rsidR="00FC271B" w:rsidRPr="00236666" w14:paraId="07E211F1" w14:textId="77777777" w:rsidTr="00C1400D">
        <w:tc>
          <w:tcPr>
            <w:tcW w:w="396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E408BBC" w14:textId="77777777" w:rsidR="00FC271B" w:rsidRPr="00236666" w:rsidRDefault="00FC271B" w:rsidP="00FC271B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α-blockers</w:t>
            </w:r>
          </w:p>
        </w:tc>
        <w:tc>
          <w:tcPr>
            <w:tcW w:w="198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D3D9D58" w14:textId="795B63B6" w:rsidR="00FC271B" w:rsidRPr="00236666" w:rsidRDefault="00FC271B" w:rsidP="00FC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 (73.5%)</w:t>
            </w:r>
          </w:p>
        </w:tc>
        <w:tc>
          <w:tcPr>
            <w:tcW w:w="198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FC9E328" w14:textId="10D3C617" w:rsidR="00FC271B" w:rsidRPr="00236666" w:rsidRDefault="00FC271B" w:rsidP="00FC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 (74.4%)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F1C331F" w14:textId="21A025A9" w:rsidR="00FC271B" w:rsidRPr="00236666" w:rsidRDefault="00FC271B" w:rsidP="00FC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0.438</w:t>
            </w:r>
          </w:p>
        </w:tc>
      </w:tr>
      <w:tr w:rsidR="00FC271B" w:rsidRPr="00236666" w14:paraId="14DFFE4C" w14:textId="77777777" w:rsidTr="00C1400D"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D710B0" w14:textId="77777777" w:rsidR="00FC271B" w:rsidRPr="00236666" w:rsidRDefault="00FC271B" w:rsidP="00FC271B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β-blockers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A7E404" w14:textId="5E37A669" w:rsidR="00FC271B" w:rsidRPr="00236666" w:rsidRDefault="00FC271B" w:rsidP="00FC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111 (81.6%)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E32A25" w14:textId="1C4B2836" w:rsidR="00FC271B" w:rsidRPr="00236666" w:rsidRDefault="00FC271B" w:rsidP="00FC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101 (80.8%)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7D4AC39" w14:textId="171345D0" w:rsidR="00FC271B" w:rsidRPr="00236666" w:rsidRDefault="00FC271B" w:rsidP="00FC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0.407</w:t>
            </w:r>
          </w:p>
        </w:tc>
      </w:tr>
      <w:tr w:rsidR="00FC271B" w:rsidRPr="00236666" w14:paraId="67D03C40" w14:textId="77777777" w:rsidTr="00C1400D"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2B5930" w14:textId="77777777" w:rsidR="00FC271B" w:rsidRPr="00236666" w:rsidRDefault="00FC271B" w:rsidP="00FC271B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lang w:val="en-GB"/>
              </w:rPr>
              <w:t>Diuretics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096D64" w14:textId="4EF12F67" w:rsidR="00FC271B" w:rsidRPr="00236666" w:rsidRDefault="00FC271B" w:rsidP="00FC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128 (94.1%)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B65EFB" w14:textId="418695B2" w:rsidR="00FC271B" w:rsidRPr="00236666" w:rsidRDefault="00FC271B" w:rsidP="00FC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118 (94.4%)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66B239" w14:textId="4DF80976" w:rsidR="00FC271B" w:rsidRPr="00236666" w:rsidRDefault="00FC271B" w:rsidP="00FC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0.659</w:t>
            </w:r>
          </w:p>
        </w:tc>
      </w:tr>
      <w:tr w:rsidR="00FC271B" w:rsidRPr="00236666" w14:paraId="138E3E8B" w14:textId="77777777" w:rsidTr="00C1400D"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498696" w14:textId="77777777" w:rsidR="00FC271B" w:rsidRPr="00236666" w:rsidRDefault="00FC271B" w:rsidP="00FC271B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lang w:val="en-GB"/>
              </w:rPr>
              <w:t>Angiotensin-converting enzyme inhibitors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BCDE98" w14:textId="39D4DB0E" w:rsidR="00FC271B" w:rsidRPr="00236666" w:rsidRDefault="00FC271B" w:rsidP="00FC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83 (61.0%)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DB4263D" w14:textId="1881C7FB" w:rsidR="00FC271B" w:rsidRPr="00236666" w:rsidRDefault="00FC271B" w:rsidP="00FC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 (57.6%)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2BD4C5" w14:textId="7E988BF9" w:rsidR="00FC271B" w:rsidRPr="00236666" w:rsidRDefault="00FC271B" w:rsidP="00FC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0.006</w:t>
            </w:r>
          </w:p>
        </w:tc>
      </w:tr>
      <w:tr w:rsidR="00FC271B" w:rsidRPr="00236666" w14:paraId="5D55C664" w14:textId="77777777" w:rsidTr="00C1400D"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021E15" w14:textId="77777777" w:rsidR="00FC271B" w:rsidRPr="00236666" w:rsidRDefault="00FC271B" w:rsidP="00FC271B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lang w:val="en-GB"/>
              </w:rPr>
              <w:t>Angiotensin II receptor blockers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48DF54" w14:textId="2BE56CD6" w:rsidR="00FC271B" w:rsidRPr="00236666" w:rsidRDefault="00FC271B" w:rsidP="00FC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 (69.9%)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AC48DE" w14:textId="0D829B5A" w:rsidR="00FC271B" w:rsidRPr="00236666" w:rsidRDefault="00FC271B" w:rsidP="00FC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 (69.6%)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746510" w14:textId="059756CE" w:rsidR="00FC271B" w:rsidRPr="00236666" w:rsidRDefault="00FC271B" w:rsidP="00FC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0.829</w:t>
            </w:r>
          </w:p>
        </w:tc>
      </w:tr>
      <w:tr w:rsidR="00FC271B" w:rsidRPr="00236666" w14:paraId="59DCFC60" w14:textId="77777777" w:rsidTr="00C1400D"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EA8D148" w14:textId="77777777" w:rsidR="00FC271B" w:rsidRPr="00236666" w:rsidRDefault="00FC271B" w:rsidP="00FC271B">
            <w:pPr>
              <w:ind w:left="283"/>
              <w:rPr>
                <w:rFonts w:ascii="Times New Roman" w:hAnsi="Times New Roman" w:cs="Times New Roman"/>
                <w:sz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lang w:val="en-GB"/>
              </w:rPr>
              <w:t>Calcium channel blockers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7180A9" w14:textId="38F509BA" w:rsidR="00FC271B" w:rsidRPr="00236666" w:rsidRDefault="00FC271B" w:rsidP="00FC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124 (91.2%)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61B481" w14:textId="5C162BED" w:rsidR="00FC271B" w:rsidRPr="00236666" w:rsidRDefault="00FC271B" w:rsidP="00FC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113 (90.4%)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567BEC" w14:textId="6C385804" w:rsidR="00FC271B" w:rsidRPr="00236666" w:rsidRDefault="00FC271B" w:rsidP="00FC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0.347</w:t>
            </w:r>
          </w:p>
        </w:tc>
      </w:tr>
      <w:tr w:rsidR="00FC271B" w:rsidRPr="00813768" w14:paraId="1F596CDF" w14:textId="77777777" w:rsidTr="00C1400D">
        <w:tc>
          <w:tcPr>
            <w:tcW w:w="3969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0DCAE172" w14:textId="77777777" w:rsidR="00FC271B" w:rsidRPr="00236666" w:rsidRDefault="00FC271B" w:rsidP="00FC271B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lang w:val="en-GB"/>
              </w:rPr>
              <w:t>Renin-inhibitors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3B377B7A" w14:textId="2D328982" w:rsidR="00FC271B" w:rsidRPr="00236666" w:rsidRDefault="00FC271B" w:rsidP="00FC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 (8.8%)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A88BF7A" w14:textId="406DA754" w:rsidR="00FC271B" w:rsidRPr="00236666" w:rsidRDefault="00FC271B" w:rsidP="00FC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 (9.6%)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4B268216" w14:textId="5DC59EF2" w:rsidR="00FC271B" w:rsidRPr="00813768" w:rsidRDefault="00FC271B" w:rsidP="00FC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0.282</w:t>
            </w:r>
          </w:p>
        </w:tc>
      </w:tr>
    </w:tbl>
    <w:p w14:paraId="44B2698C" w14:textId="77777777" w:rsidR="00C1400D" w:rsidRPr="004C0167" w:rsidRDefault="00C1400D" w:rsidP="004C0167">
      <w:pPr>
        <w:jc w:val="both"/>
        <w:rPr>
          <w:rFonts w:ascii="Times New Roman" w:hAnsi="Times New Roman" w:cs="Times New Roman"/>
          <w:sz w:val="24"/>
          <w:lang w:val="en-GB"/>
        </w:rPr>
      </w:pPr>
    </w:p>
    <w:sectPr w:rsidR="00C1400D" w:rsidRPr="004C0167" w:rsidSect="009445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167"/>
    <w:rsid w:val="0000072F"/>
    <w:rsid w:val="00004840"/>
    <w:rsid w:val="000140AF"/>
    <w:rsid w:val="00014A26"/>
    <w:rsid w:val="00025043"/>
    <w:rsid w:val="00031CC4"/>
    <w:rsid w:val="00033E98"/>
    <w:rsid w:val="0004265E"/>
    <w:rsid w:val="000529AA"/>
    <w:rsid w:val="00057E49"/>
    <w:rsid w:val="000725C7"/>
    <w:rsid w:val="00073D21"/>
    <w:rsid w:val="00074410"/>
    <w:rsid w:val="00074A55"/>
    <w:rsid w:val="0009252C"/>
    <w:rsid w:val="000A04C9"/>
    <w:rsid w:val="000A725E"/>
    <w:rsid w:val="000B0425"/>
    <w:rsid w:val="000B2309"/>
    <w:rsid w:val="000E0E29"/>
    <w:rsid w:val="000E3EBF"/>
    <w:rsid w:val="000E5986"/>
    <w:rsid w:val="000E6DDB"/>
    <w:rsid w:val="000F4F51"/>
    <w:rsid w:val="00110A0D"/>
    <w:rsid w:val="001130C4"/>
    <w:rsid w:val="001139AD"/>
    <w:rsid w:val="00114883"/>
    <w:rsid w:val="00125AAB"/>
    <w:rsid w:val="0013031C"/>
    <w:rsid w:val="00164D88"/>
    <w:rsid w:val="00167AC3"/>
    <w:rsid w:val="001B06E9"/>
    <w:rsid w:val="001B5809"/>
    <w:rsid w:val="001B734A"/>
    <w:rsid w:val="001C2FAF"/>
    <w:rsid w:val="001C4C48"/>
    <w:rsid w:val="001D3225"/>
    <w:rsid w:val="001F033E"/>
    <w:rsid w:val="002018FD"/>
    <w:rsid w:val="00203575"/>
    <w:rsid w:val="002039B3"/>
    <w:rsid w:val="002065F8"/>
    <w:rsid w:val="002079D7"/>
    <w:rsid w:val="00222158"/>
    <w:rsid w:val="002303E3"/>
    <w:rsid w:val="0023424B"/>
    <w:rsid w:val="00236666"/>
    <w:rsid w:val="0026473B"/>
    <w:rsid w:val="002C65D2"/>
    <w:rsid w:val="002D1540"/>
    <w:rsid w:val="002D77DF"/>
    <w:rsid w:val="002E25BE"/>
    <w:rsid w:val="002E3986"/>
    <w:rsid w:val="002F01BF"/>
    <w:rsid w:val="002F6F51"/>
    <w:rsid w:val="003077AA"/>
    <w:rsid w:val="00313B0A"/>
    <w:rsid w:val="00340AA4"/>
    <w:rsid w:val="003472BE"/>
    <w:rsid w:val="0035149B"/>
    <w:rsid w:val="00352210"/>
    <w:rsid w:val="003534CC"/>
    <w:rsid w:val="0035400B"/>
    <w:rsid w:val="0036386B"/>
    <w:rsid w:val="00364349"/>
    <w:rsid w:val="003674AA"/>
    <w:rsid w:val="00373A96"/>
    <w:rsid w:val="00380ADB"/>
    <w:rsid w:val="00381E95"/>
    <w:rsid w:val="00390A4C"/>
    <w:rsid w:val="00392E31"/>
    <w:rsid w:val="00392F92"/>
    <w:rsid w:val="003A0DB5"/>
    <w:rsid w:val="003A4535"/>
    <w:rsid w:val="003B513B"/>
    <w:rsid w:val="003B6A6A"/>
    <w:rsid w:val="003C0DC3"/>
    <w:rsid w:val="003C32D8"/>
    <w:rsid w:val="003C338C"/>
    <w:rsid w:val="003C6B9E"/>
    <w:rsid w:val="003C7DA4"/>
    <w:rsid w:val="003D60A3"/>
    <w:rsid w:val="004073CA"/>
    <w:rsid w:val="0043214C"/>
    <w:rsid w:val="004350CB"/>
    <w:rsid w:val="00440024"/>
    <w:rsid w:val="004457EF"/>
    <w:rsid w:val="00446F43"/>
    <w:rsid w:val="004576BE"/>
    <w:rsid w:val="004604E0"/>
    <w:rsid w:val="00497BF2"/>
    <w:rsid w:val="004A1A26"/>
    <w:rsid w:val="004A589B"/>
    <w:rsid w:val="004B7E9B"/>
    <w:rsid w:val="004C0167"/>
    <w:rsid w:val="004E5280"/>
    <w:rsid w:val="004F7578"/>
    <w:rsid w:val="00514BD1"/>
    <w:rsid w:val="00530CEF"/>
    <w:rsid w:val="00533F39"/>
    <w:rsid w:val="005368D3"/>
    <w:rsid w:val="00547D69"/>
    <w:rsid w:val="00556FA0"/>
    <w:rsid w:val="0056016D"/>
    <w:rsid w:val="005613B5"/>
    <w:rsid w:val="00566331"/>
    <w:rsid w:val="005717E8"/>
    <w:rsid w:val="00574501"/>
    <w:rsid w:val="00575E48"/>
    <w:rsid w:val="00581607"/>
    <w:rsid w:val="00585454"/>
    <w:rsid w:val="00594E22"/>
    <w:rsid w:val="005A3532"/>
    <w:rsid w:val="005A68F2"/>
    <w:rsid w:val="005D1330"/>
    <w:rsid w:val="005D2AA3"/>
    <w:rsid w:val="005D74D0"/>
    <w:rsid w:val="00602C02"/>
    <w:rsid w:val="006074A7"/>
    <w:rsid w:val="00607FA3"/>
    <w:rsid w:val="00617052"/>
    <w:rsid w:val="006327C8"/>
    <w:rsid w:val="00641668"/>
    <w:rsid w:val="00650B61"/>
    <w:rsid w:val="0068384E"/>
    <w:rsid w:val="006960AA"/>
    <w:rsid w:val="006A16CE"/>
    <w:rsid w:val="006B32E9"/>
    <w:rsid w:val="006C1EC0"/>
    <w:rsid w:val="006F4E75"/>
    <w:rsid w:val="006F4F6D"/>
    <w:rsid w:val="0071152B"/>
    <w:rsid w:val="00720B9F"/>
    <w:rsid w:val="00727FF3"/>
    <w:rsid w:val="007318D0"/>
    <w:rsid w:val="00732A4A"/>
    <w:rsid w:val="00732EFB"/>
    <w:rsid w:val="00736CE1"/>
    <w:rsid w:val="0074275A"/>
    <w:rsid w:val="00745456"/>
    <w:rsid w:val="00753C99"/>
    <w:rsid w:val="007560BA"/>
    <w:rsid w:val="00762B9E"/>
    <w:rsid w:val="00764217"/>
    <w:rsid w:val="007667AE"/>
    <w:rsid w:val="00774E7C"/>
    <w:rsid w:val="007773BA"/>
    <w:rsid w:val="00782CD5"/>
    <w:rsid w:val="00795296"/>
    <w:rsid w:val="007A6147"/>
    <w:rsid w:val="007B4184"/>
    <w:rsid w:val="007C0B5F"/>
    <w:rsid w:val="007C3205"/>
    <w:rsid w:val="007C321A"/>
    <w:rsid w:val="007C3762"/>
    <w:rsid w:val="007D0B4E"/>
    <w:rsid w:val="007D16D8"/>
    <w:rsid w:val="007D18EF"/>
    <w:rsid w:val="007D5D99"/>
    <w:rsid w:val="007F178F"/>
    <w:rsid w:val="007F5618"/>
    <w:rsid w:val="008053B1"/>
    <w:rsid w:val="00805CDE"/>
    <w:rsid w:val="00816BA9"/>
    <w:rsid w:val="00820192"/>
    <w:rsid w:val="00833422"/>
    <w:rsid w:val="008400B9"/>
    <w:rsid w:val="00852BA7"/>
    <w:rsid w:val="00875427"/>
    <w:rsid w:val="00881B59"/>
    <w:rsid w:val="00894E37"/>
    <w:rsid w:val="00896AE1"/>
    <w:rsid w:val="008A4905"/>
    <w:rsid w:val="008A6AB2"/>
    <w:rsid w:val="008B3AAA"/>
    <w:rsid w:val="008B4357"/>
    <w:rsid w:val="008F5377"/>
    <w:rsid w:val="008F7ABA"/>
    <w:rsid w:val="009015E3"/>
    <w:rsid w:val="00902924"/>
    <w:rsid w:val="0091204E"/>
    <w:rsid w:val="00915534"/>
    <w:rsid w:val="00933772"/>
    <w:rsid w:val="00944513"/>
    <w:rsid w:val="009510E2"/>
    <w:rsid w:val="00966D46"/>
    <w:rsid w:val="0097256B"/>
    <w:rsid w:val="00974006"/>
    <w:rsid w:val="00974F82"/>
    <w:rsid w:val="00975CB7"/>
    <w:rsid w:val="009876F0"/>
    <w:rsid w:val="0099556F"/>
    <w:rsid w:val="009A4EE0"/>
    <w:rsid w:val="009C14F0"/>
    <w:rsid w:val="009C1AC1"/>
    <w:rsid w:val="009C7D66"/>
    <w:rsid w:val="009D761B"/>
    <w:rsid w:val="009F580D"/>
    <w:rsid w:val="00A077B4"/>
    <w:rsid w:val="00A1147C"/>
    <w:rsid w:val="00A4724B"/>
    <w:rsid w:val="00A6328A"/>
    <w:rsid w:val="00A73C43"/>
    <w:rsid w:val="00A82280"/>
    <w:rsid w:val="00A911FD"/>
    <w:rsid w:val="00A95A85"/>
    <w:rsid w:val="00A96C74"/>
    <w:rsid w:val="00AA279B"/>
    <w:rsid w:val="00AC6ED0"/>
    <w:rsid w:val="00AD7C9B"/>
    <w:rsid w:val="00AD7D20"/>
    <w:rsid w:val="00B064A8"/>
    <w:rsid w:val="00B208F3"/>
    <w:rsid w:val="00B3299B"/>
    <w:rsid w:val="00B367DA"/>
    <w:rsid w:val="00B42017"/>
    <w:rsid w:val="00B45CB0"/>
    <w:rsid w:val="00B5187B"/>
    <w:rsid w:val="00B7249F"/>
    <w:rsid w:val="00B90B0A"/>
    <w:rsid w:val="00BA258A"/>
    <w:rsid w:val="00BB0A8F"/>
    <w:rsid w:val="00BC3BED"/>
    <w:rsid w:val="00BC6BEE"/>
    <w:rsid w:val="00BD12A2"/>
    <w:rsid w:val="00BD3602"/>
    <w:rsid w:val="00BD7EA3"/>
    <w:rsid w:val="00BE2A2B"/>
    <w:rsid w:val="00BE4E10"/>
    <w:rsid w:val="00BF7D44"/>
    <w:rsid w:val="00C01EEF"/>
    <w:rsid w:val="00C04CD8"/>
    <w:rsid w:val="00C067DB"/>
    <w:rsid w:val="00C06DC8"/>
    <w:rsid w:val="00C10A6F"/>
    <w:rsid w:val="00C126DD"/>
    <w:rsid w:val="00C1400D"/>
    <w:rsid w:val="00C43585"/>
    <w:rsid w:val="00C46247"/>
    <w:rsid w:val="00C47DD6"/>
    <w:rsid w:val="00C50D1D"/>
    <w:rsid w:val="00C50EC8"/>
    <w:rsid w:val="00C6176F"/>
    <w:rsid w:val="00C6556C"/>
    <w:rsid w:val="00C81565"/>
    <w:rsid w:val="00C84F5F"/>
    <w:rsid w:val="00C9566A"/>
    <w:rsid w:val="00CB05AC"/>
    <w:rsid w:val="00CB7F0A"/>
    <w:rsid w:val="00CC6516"/>
    <w:rsid w:val="00CE24BC"/>
    <w:rsid w:val="00CE2727"/>
    <w:rsid w:val="00CF433E"/>
    <w:rsid w:val="00D06CBA"/>
    <w:rsid w:val="00D2531B"/>
    <w:rsid w:val="00D32FFC"/>
    <w:rsid w:val="00D36ABC"/>
    <w:rsid w:val="00D42D30"/>
    <w:rsid w:val="00D4752E"/>
    <w:rsid w:val="00D54DFF"/>
    <w:rsid w:val="00D572C9"/>
    <w:rsid w:val="00D629F2"/>
    <w:rsid w:val="00D80ED6"/>
    <w:rsid w:val="00D8236D"/>
    <w:rsid w:val="00DA0F65"/>
    <w:rsid w:val="00DA1513"/>
    <w:rsid w:val="00DA283A"/>
    <w:rsid w:val="00DA285F"/>
    <w:rsid w:val="00DB7375"/>
    <w:rsid w:val="00DC630E"/>
    <w:rsid w:val="00DD41CB"/>
    <w:rsid w:val="00DE6F5D"/>
    <w:rsid w:val="00E077A1"/>
    <w:rsid w:val="00E11F80"/>
    <w:rsid w:val="00E12D3C"/>
    <w:rsid w:val="00E13FB6"/>
    <w:rsid w:val="00E14D5C"/>
    <w:rsid w:val="00E15092"/>
    <w:rsid w:val="00E25BF1"/>
    <w:rsid w:val="00E333F9"/>
    <w:rsid w:val="00E33C08"/>
    <w:rsid w:val="00E47666"/>
    <w:rsid w:val="00E70630"/>
    <w:rsid w:val="00E86A63"/>
    <w:rsid w:val="00E86AA0"/>
    <w:rsid w:val="00E876C8"/>
    <w:rsid w:val="00E931CF"/>
    <w:rsid w:val="00E937CE"/>
    <w:rsid w:val="00EB0539"/>
    <w:rsid w:val="00EB0774"/>
    <w:rsid w:val="00EB5968"/>
    <w:rsid w:val="00EC23D6"/>
    <w:rsid w:val="00ED49C9"/>
    <w:rsid w:val="00EE479E"/>
    <w:rsid w:val="00EE73E4"/>
    <w:rsid w:val="00EE7907"/>
    <w:rsid w:val="00F01079"/>
    <w:rsid w:val="00F011CF"/>
    <w:rsid w:val="00F11320"/>
    <w:rsid w:val="00F12312"/>
    <w:rsid w:val="00F204B2"/>
    <w:rsid w:val="00F31279"/>
    <w:rsid w:val="00F3480C"/>
    <w:rsid w:val="00F53C6F"/>
    <w:rsid w:val="00F57721"/>
    <w:rsid w:val="00F6399C"/>
    <w:rsid w:val="00F63ACF"/>
    <w:rsid w:val="00F657D2"/>
    <w:rsid w:val="00F8090A"/>
    <w:rsid w:val="00F81811"/>
    <w:rsid w:val="00F917A5"/>
    <w:rsid w:val="00F93313"/>
    <w:rsid w:val="00FB40B2"/>
    <w:rsid w:val="00FC271B"/>
    <w:rsid w:val="00FC4824"/>
    <w:rsid w:val="00FD2319"/>
    <w:rsid w:val="00F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8060A"/>
  <w15:chartTrackingRefBased/>
  <w15:docId w15:val="{3B29A611-D4D1-4417-BDDD-A93C7FD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Rea</dc:creator>
  <cp:keywords/>
  <dc:description/>
  <cp:lastModifiedBy>Melissa Wilkinson</cp:lastModifiedBy>
  <cp:revision>32</cp:revision>
  <dcterms:created xsi:type="dcterms:W3CDTF">2022-04-29T19:47:00Z</dcterms:created>
  <dcterms:modified xsi:type="dcterms:W3CDTF">2022-09-15T15:17:00Z</dcterms:modified>
</cp:coreProperties>
</file>