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279E" w14:textId="450740BF" w:rsidR="01B0D4F7" w:rsidRDefault="01B0D4F7" w:rsidP="01B0D4F7">
      <w:pPr>
        <w:pStyle w:val="Caption"/>
        <w:rPr>
          <w:rFonts w:ascii="Times New Roman" w:hAnsi="Times New Roman" w:cs="Times New Roman"/>
          <w:color w:val="auto"/>
          <w:sz w:val="22"/>
          <w:szCs w:val="22"/>
        </w:rPr>
      </w:pPr>
      <w:r w:rsidRPr="01B0D4F7">
        <w:rPr>
          <w:rFonts w:ascii="Times New Roman" w:hAnsi="Times New Roman" w:cs="Times New Roman"/>
          <w:i w:val="0"/>
          <w:iCs w:val="0"/>
          <w:color w:val="auto"/>
          <w:sz w:val="22"/>
          <w:szCs w:val="22"/>
        </w:rPr>
        <w:t xml:space="preserve">Glossary of key terms adopted by international agricultural soil carbon codes. </w:t>
      </w:r>
    </w:p>
    <w:p w14:paraId="3A40D5F2" w14:textId="4D42A683" w:rsidR="003B2C5A" w:rsidRDefault="008F3C7B" w:rsidP="006A74EB">
      <w:pPr>
        <w:pStyle w:val="Caption"/>
        <w:rPr>
          <w:rFonts w:ascii="Times New Roman" w:hAnsi="Times New Roman" w:cs="Times New Roman"/>
          <w:color w:val="auto"/>
          <w:sz w:val="22"/>
          <w:szCs w:val="22"/>
        </w:rPr>
      </w:pPr>
      <w:r w:rsidRPr="00A90D7B">
        <w:rPr>
          <w:rFonts w:ascii="Times New Roman" w:hAnsi="Times New Roman" w:cs="Times New Roman"/>
          <w:color w:val="auto"/>
          <w:sz w:val="22"/>
          <w:szCs w:val="22"/>
        </w:rPr>
        <w:t xml:space="preserve">Table </w:t>
      </w:r>
      <w:r w:rsidRPr="00A90D7B">
        <w:rPr>
          <w:rFonts w:ascii="Times New Roman" w:hAnsi="Times New Roman" w:cs="Times New Roman"/>
          <w:color w:val="auto"/>
          <w:sz w:val="22"/>
          <w:szCs w:val="22"/>
        </w:rPr>
        <w:fldChar w:fldCharType="begin"/>
      </w:r>
      <w:r w:rsidRPr="00A90D7B">
        <w:rPr>
          <w:rFonts w:ascii="Times New Roman" w:hAnsi="Times New Roman" w:cs="Times New Roman"/>
          <w:color w:val="auto"/>
          <w:sz w:val="22"/>
          <w:szCs w:val="22"/>
        </w:rPr>
        <w:instrText xml:space="preserve"> SEQ Table \* ARABIC </w:instrText>
      </w:r>
      <w:r w:rsidRPr="00A90D7B">
        <w:rPr>
          <w:rFonts w:ascii="Times New Roman" w:hAnsi="Times New Roman" w:cs="Times New Roman"/>
          <w:color w:val="auto"/>
          <w:sz w:val="22"/>
          <w:szCs w:val="22"/>
        </w:rPr>
        <w:fldChar w:fldCharType="separate"/>
      </w:r>
      <w:r w:rsidRPr="00A90D7B">
        <w:rPr>
          <w:rFonts w:ascii="Times New Roman" w:hAnsi="Times New Roman" w:cs="Times New Roman"/>
          <w:noProof/>
          <w:color w:val="auto"/>
          <w:sz w:val="22"/>
          <w:szCs w:val="22"/>
        </w:rPr>
        <w:t>1</w:t>
      </w:r>
      <w:r w:rsidRPr="00A90D7B">
        <w:rPr>
          <w:rFonts w:ascii="Times New Roman" w:hAnsi="Times New Roman" w:cs="Times New Roman"/>
          <w:color w:val="auto"/>
          <w:sz w:val="22"/>
          <w:szCs w:val="22"/>
        </w:rPr>
        <w:fldChar w:fldCharType="end"/>
      </w:r>
      <w:r w:rsidRPr="00A90D7B">
        <w:rPr>
          <w:rFonts w:ascii="Times New Roman" w:hAnsi="Times New Roman" w:cs="Times New Roman"/>
          <w:color w:val="auto"/>
          <w:sz w:val="22"/>
          <w:szCs w:val="22"/>
        </w:rPr>
        <w:t xml:space="preserve">: Glossary </w:t>
      </w:r>
    </w:p>
    <w:p w14:paraId="5A75A224" w14:textId="77777777" w:rsidR="00716A69" w:rsidRPr="00716A69" w:rsidRDefault="00716A69" w:rsidP="00716A69"/>
    <w:tbl>
      <w:tblPr>
        <w:tblStyle w:val="TableGrid"/>
        <w:tblW w:w="9634" w:type="dxa"/>
        <w:tblInd w:w="137" w:type="dxa"/>
        <w:tblLook w:val="04A0" w:firstRow="1" w:lastRow="0" w:firstColumn="1" w:lastColumn="0" w:noHBand="0" w:noVBand="1"/>
      </w:tblPr>
      <w:tblGrid>
        <w:gridCol w:w="1469"/>
        <w:gridCol w:w="8165"/>
      </w:tblGrid>
      <w:tr w:rsidR="002032BD" w:rsidRPr="002032BD" w14:paraId="52D743E9" w14:textId="77777777" w:rsidTr="00716A69">
        <w:trPr>
          <w:trHeight w:val="285"/>
        </w:trPr>
        <w:tc>
          <w:tcPr>
            <w:tcW w:w="1469" w:type="dxa"/>
            <w:noWrap/>
            <w:hideMark/>
          </w:tcPr>
          <w:p w14:paraId="096E689C"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Additionality </w:t>
            </w:r>
          </w:p>
        </w:tc>
        <w:tc>
          <w:tcPr>
            <w:tcW w:w="8165" w:type="dxa"/>
            <w:noWrap/>
            <w:hideMark/>
          </w:tcPr>
          <w:p w14:paraId="6BAFD04E" w14:textId="77777777" w:rsidR="002032BD" w:rsidRPr="002032BD" w:rsidRDefault="002032BD" w:rsidP="002032BD">
            <w:pPr>
              <w:rPr>
                <w:rFonts w:asciiTheme="majorBidi" w:hAnsiTheme="majorBidi" w:cstheme="majorBidi"/>
              </w:rPr>
            </w:pPr>
            <w:r w:rsidRPr="002032BD">
              <w:rPr>
                <w:rFonts w:asciiTheme="majorBidi" w:hAnsiTheme="majorBidi" w:cstheme="majorBidi"/>
              </w:rPr>
              <w:t>A demonstration that carbon sequestration and/or reductions in GHG emission associated with the adoption of new land management practices would be greater than the “business as usual” scenario and would not happen without incentives from the carbon markets.</w:t>
            </w:r>
          </w:p>
        </w:tc>
      </w:tr>
      <w:tr w:rsidR="002032BD" w:rsidRPr="002032BD" w14:paraId="5CF5676B" w14:textId="77777777" w:rsidTr="00716A69">
        <w:trPr>
          <w:trHeight w:val="285"/>
        </w:trPr>
        <w:tc>
          <w:tcPr>
            <w:tcW w:w="1469" w:type="dxa"/>
            <w:noWrap/>
            <w:hideMark/>
          </w:tcPr>
          <w:p w14:paraId="275519FD" w14:textId="77777777" w:rsidR="002032BD" w:rsidRPr="002032BD" w:rsidRDefault="002032BD" w:rsidP="002032BD">
            <w:pPr>
              <w:rPr>
                <w:rFonts w:asciiTheme="majorBidi" w:hAnsiTheme="majorBidi" w:cstheme="majorBidi"/>
              </w:rPr>
            </w:pPr>
            <w:r w:rsidRPr="002032BD">
              <w:rPr>
                <w:rFonts w:asciiTheme="majorBidi" w:hAnsiTheme="majorBidi" w:cstheme="majorBidi"/>
              </w:rPr>
              <w:t>Abatement</w:t>
            </w:r>
          </w:p>
        </w:tc>
        <w:tc>
          <w:tcPr>
            <w:tcW w:w="8165" w:type="dxa"/>
            <w:noWrap/>
            <w:hideMark/>
          </w:tcPr>
          <w:p w14:paraId="06D2B84F" w14:textId="26E1A1F0" w:rsidR="002032BD" w:rsidRPr="002032BD" w:rsidRDefault="002032BD" w:rsidP="002032BD">
            <w:pPr>
              <w:rPr>
                <w:rFonts w:asciiTheme="majorBidi" w:hAnsiTheme="majorBidi" w:cstheme="majorBidi"/>
              </w:rPr>
            </w:pPr>
            <w:r w:rsidRPr="002032BD">
              <w:rPr>
                <w:rFonts w:asciiTheme="majorBidi" w:hAnsiTheme="majorBidi" w:cstheme="majorBidi"/>
              </w:rPr>
              <w:t xml:space="preserve">Abatement refers </w:t>
            </w:r>
            <w:r w:rsidR="00307FFE">
              <w:rPr>
                <w:rFonts w:asciiTheme="majorBidi" w:hAnsiTheme="majorBidi" w:cstheme="majorBidi"/>
              </w:rPr>
              <w:t xml:space="preserve">to </w:t>
            </w:r>
            <w:r w:rsidRPr="002032BD">
              <w:rPr>
                <w:rFonts w:asciiTheme="majorBidi" w:hAnsiTheme="majorBidi" w:cstheme="majorBidi"/>
              </w:rPr>
              <w:t>reducing the amount of GHG emissions released to the atmosphere (from soil) and/or increased amounts of (soil) carbon sequestered in the environment via the removal of GHGs already in the atmosphere. Net abatement (net sequestration) refers to the combined action of both to achieve an overall reduction in the concentration of GHGs in the atmosphere.</w:t>
            </w:r>
          </w:p>
        </w:tc>
      </w:tr>
      <w:tr w:rsidR="002032BD" w:rsidRPr="002032BD" w14:paraId="49A03CAC" w14:textId="77777777" w:rsidTr="00716A69">
        <w:trPr>
          <w:trHeight w:val="285"/>
        </w:trPr>
        <w:tc>
          <w:tcPr>
            <w:tcW w:w="1469" w:type="dxa"/>
            <w:noWrap/>
            <w:hideMark/>
          </w:tcPr>
          <w:p w14:paraId="4D8D60F7" w14:textId="77777777" w:rsidR="002032BD" w:rsidRPr="002032BD" w:rsidRDefault="002032BD" w:rsidP="002032BD">
            <w:pPr>
              <w:rPr>
                <w:rFonts w:asciiTheme="majorBidi" w:hAnsiTheme="majorBidi" w:cstheme="majorBidi"/>
              </w:rPr>
            </w:pPr>
            <w:r w:rsidRPr="002032BD">
              <w:rPr>
                <w:rFonts w:asciiTheme="majorBidi" w:hAnsiTheme="majorBidi" w:cstheme="majorBidi"/>
              </w:rPr>
              <w:t>Baseline</w:t>
            </w:r>
          </w:p>
        </w:tc>
        <w:tc>
          <w:tcPr>
            <w:tcW w:w="8165" w:type="dxa"/>
            <w:noWrap/>
            <w:hideMark/>
          </w:tcPr>
          <w:p w14:paraId="43CDCF8D" w14:textId="4D0A9CA1" w:rsidR="002032BD" w:rsidRPr="002032BD" w:rsidRDefault="002032BD" w:rsidP="002032BD">
            <w:pPr>
              <w:rPr>
                <w:rFonts w:asciiTheme="majorBidi" w:hAnsiTheme="majorBidi" w:cstheme="majorBidi"/>
              </w:rPr>
            </w:pPr>
            <w:r w:rsidRPr="002032BD">
              <w:rPr>
                <w:rFonts w:asciiTheme="majorBidi" w:hAnsiTheme="majorBidi" w:cstheme="majorBidi"/>
              </w:rPr>
              <w:t>A baseline scenario assumes the continuation of pre-project conditions, including agricultural management practices. This forms the reference point for determining the outcomes from a soil carbon project with the use of MRV. For soil carbon projects, baselines may be dynamic or fixed. The former will be updated throughout a project while the la</w:t>
            </w:r>
            <w:r w:rsidR="00307FFE">
              <w:rPr>
                <w:rFonts w:asciiTheme="majorBidi" w:hAnsiTheme="majorBidi" w:cstheme="majorBidi"/>
              </w:rPr>
              <w:t>t</w:t>
            </w:r>
            <w:r w:rsidRPr="002032BD">
              <w:rPr>
                <w:rFonts w:asciiTheme="majorBidi" w:hAnsiTheme="majorBidi" w:cstheme="majorBidi"/>
              </w:rPr>
              <w:t xml:space="preserve">ter will reflect conditions prior to the start of a project. </w:t>
            </w:r>
          </w:p>
        </w:tc>
      </w:tr>
      <w:tr w:rsidR="002032BD" w:rsidRPr="002032BD" w14:paraId="249BB974" w14:textId="77777777" w:rsidTr="00716A69">
        <w:trPr>
          <w:trHeight w:val="285"/>
        </w:trPr>
        <w:tc>
          <w:tcPr>
            <w:tcW w:w="1469" w:type="dxa"/>
            <w:noWrap/>
            <w:hideMark/>
          </w:tcPr>
          <w:p w14:paraId="23447445" w14:textId="77777777" w:rsidR="002032BD" w:rsidRPr="002032BD" w:rsidRDefault="002032BD" w:rsidP="002032BD">
            <w:pPr>
              <w:rPr>
                <w:rFonts w:asciiTheme="majorBidi" w:hAnsiTheme="majorBidi" w:cstheme="majorBidi"/>
              </w:rPr>
            </w:pPr>
            <w:r w:rsidRPr="002032BD">
              <w:rPr>
                <w:rFonts w:asciiTheme="majorBidi" w:hAnsiTheme="majorBidi" w:cstheme="majorBidi"/>
              </w:rPr>
              <w:t>Carbon credit</w:t>
            </w:r>
          </w:p>
        </w:tc>
        <w:tc>
          <w:tcPr>
            <w:tcW w:w="8165" w:type="dxa"/>
            <w:noWrap/>
            <w:hideMark/>
          </w:tcPr>
          <w:p w14:paraId="142D301E" w14:textId="51BCE4D2" w:rsidR="002032BD" w:rsidRPr="002032BD" w:rsidRDefault="002032BD" w:rsidP="002032BD">
            <w:pPr>
              <w:rPr>
                <w:rFonts w:asciiTheme="majorBidi" w:hAnsiTheme="majorBidi" w:cstheme="majorBidi"/>
              </w:rPr>
            </w:pPr>
            <w:r w:rsidRPr="002032BD">
              <w:rPr>
                <w:rFonts w:asciiTheme="majorBidi" w:hAnsiTheme="majorBidi" w:cstheme="majorBidi"/>
              </w:rPr>
              <w:t xml:space="preserve">This is the unt of accounting used in carbon markets. One credit </w:t>
            </w:r>
            <w:r w:rsidR="005473D3">
              <w:rPr>
                <w:rFonts w:asciiTheme="majorBidi" w:hAnsiTheme="majorBidi" w:cstheme="majorBidi"/>
              </w:rPr>
              <w:t xml:space="preserve">unit </w:t>
            </w:r>
            <w:r w:rsidRPr="002032BD">
              <w:rPr>
                <w:rFonts w:asciiTheme="majorBidi" w:hAnsiTheme="majorBidi" w:cstheme="majorBidi"/>
              </w:rPr>
              <w:t>should be equivalent to 1 ton CO</w:t>
            </w:r>
            <w:r w:rsidRPr="00AF69C5">
              <w:rPr>
                <w:rFonts w:asciiTheme="majorBidi" w:hAnsiTheme="majorBidi" w:cstheme="majorBidi"/>
                <w:vertAlign w:val="subscript"/>
              </w:rPr>
              <w:t>2</w:t>
            </w:r>
            <w:r w:rsidRPr="002032BD">
              <w:rPr>
                <w:rFonts w:asciiTheme="majorBidi" w:hAnsiTheme="majorBidi" w:cstheme="majorBidi"/>
              </w:rPr>
              <w:t xml:space="preserve">e. Verifiable soil carbon credits will be determined through the relevant quantification approach and MRV methods. </w:t>
            </w:r>
          </w:p>
        </w:tc>
      </w:tr>
      <w:tr w:rsidR="002032BD" w:rsidRPr="002032BD" w14:paraId="7102E5ED" w14:textId="77777777" w:rsidTr="00716A69">
        <w:trPr>
          <w:trHeight w:val="285"/>
        </w:trPr>
        <w:tc>
          <w:tcPr>
            <w:tcW w:w="1469" w:type="dxa"/>
            <w:noWrap/>
            <w:hideMark/>
          </w:tcPr>
          <w:p w14:paraId="052666B8" w14:textId="77777777" w:rsidR="002032BD" w:rsidRPr="002032BD" w:rsidRDefault="002032BD" w:rsidP="002032BD">
            <w:pPr>
              <w:rPr>
                <w:rFonts w:asciiTheme="majorBidi" w:hAnsiTheme="majorBidi" w:cstheme="majorBidi"/>
              </w:rPr>
            </w:pPr>
            <w:r w:rsidRPr="002032BD">
              <w:rPr>
                <w:rFonts w:asciiTheme="majorBidi" w:hAnsiTheme="majorBidi" w:cstheme="majorBidi"/>
              </w:rPr>
              <w:t>Carbon market</w:t>
            </w:r>
          </w:p>
        </w:tc>
        <w:tc>
          <w:tcPr>
            <w:tcW w:w="8165" w:type="dxa"/>
            <w:noWrap/>
            <w:hideMark/>
          </w:tcPr>
          <w:p w14:paraId="2D3F5093"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Carbon credits are tradeable in a carbon market. The voluntary carbon market (VCM) supports the trade in credits issued by voluntary organisations. Soil carbon projects generally operate in the VCM. Compliance markets reflect the trade in credits to meet legal compliance obligations.  </w:t>
            </w:r>
          </w:p>
        </w:tc>
      </w:tr>
      <w:tr w:rsidR="002032BD" w:rsidRPr="002032BD" w14:paraId="23CDF311" w14:textId="77777777" w:rsidTr="00716A69">
        <w:trPr>
          <w:trHeight w:val="285"/>
        </w:trPr>
        <w:tc>
          <w:tcPr>
            <w:tcW w:w="1469" w:type="dxa"/>
            <w:noWrap/>
            <w:hideMark/>
          </w:tcPr>
          <w:p w14:paraId="173B9CBA"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Carbon dioxide equivalent </w:t>
            </w:r>
          </w:p>
        </w:tc>
        <w:tc>
          <w:tcPr>
            <w:tcW w:w="8165" w:type="dxa"/>
            <w:noWrap/>
            <w:hideMark/>
          </w:tcPr>
          <w:p w14:paraId="64F84723" w14:textId="1E884219" w:rsidR="002032BD" w:rsidRPr="002032BD" w:rsidRDefault="002032BD" w:rsidP="002032BD">
            <w:pPr>
              <w:rPr>
                <w:rFonts w:asciiTheme="majorBidi" w:hAnsiTheme="majorBidi" w:cstheme="majorBidi"/>
              </w:rPr>
            </w:pPr>
            <w:r w:rsidRPr="002032BD">
              <w:rPr>
                <w:rFonts w:asciiTheme="majorBidi" w:hAnsiTheme="majorBidi" w:cstheme="majorBidi"/>
              </w:rPr>
              <w:t>CO</w:t>
            </w:r>
            <w:r w:rsidRPr="00AF69C5">
              <w:rPr>
                <w:rFonts w:asciiTheme="majorBidi" w:hAnsiTheme="majorBidi" w:cstheme="majorBidi"/>
                <w:vertAlign w:val="subscript"/>
              </w:rPr>
              <w:t>2</w:t>
            </w:r>
            <w:r w:rsidRPr="002032BD">
              <w:rPr>
                <w:rFonts w:asciiTheme="majorBidi" w:hAnsiTheme="majorBidi" w:cstheme="majorBidi"/>
              </w:rPr>
              <w:t xml:space="preserve">e is the shorthand for carbon dioxide equivalents which </w:t>
            </w:r>
            <w:r w:rsidR="00EC52B8">
              <w:rPr>
                <w:rFonts w:asciiTheme="majorBidi" w:hAnsiTheme="majorBidi" w:cstheme="majorBidi"/>
              </w:rPr>
              <w:t>is</w:t>
            </w:r>
            <w:r w:rsidRPr="002032BD">
              <w:rPr>
                <w:rFonts w:asciiTheme="majorBidi" w:hAnsiTheme="majorBidi" w:cstheme="majorBidi"/>
              </w:rPr>
              <w:t xml:space="preserve"> the standard unit in accounting for carbon credits. This unit enables atmospheric reductions </w:t>
            </w:r>
            <w:r w:rsidR="00907F9D" w:rsidRPr="002032BD">
              <w:rPr>
                <w:rFonts w:asciiTheme="majorBidi" w:hAnsiTheme="majorBidi" w:cstheme="majorBidi"/>
              </w:rPr>
              <w:t>in non</w:t>
            </w:r>
            <w:r w:rsidRPr="002032BD">
              <w:rPr>
                <w:rFonts w:asciiTheme="majorBidi" w:hAnsiTheme="majorBidi" w:cstheme="majorBidi"/>
              </w:rPr>
              <w:t xml:space="preserve">-CO2 GHGs to be included in carbon credits.  Non-CO2 </w:t>
            </w:r>
            <w:r w:rsidR="00EC52B8">
              <w:rPr>
                <w:rFonts w:asciiTheme="majorBidi" w:hAnsiTheme="majorBidi" w:cstheme="majorBidi"/>
              </w:rPr>
              <w:t>GHGs</w:t>
            </w:r>
            <w:r w:rsidRPr="002032BD">
              <w:rPr>
                <w:rFonts w:asciiTheme="majorBidi" w:hAnsiTheme="majorBidi" w:cstheme="majorBidi"/>
              </w:rPr>
              <w:t xml:space="preserve"> are converted to CO2e based on their global warming potential.</w:t>
            </w:r>
          </w:p>
        </w:tc>
      </w:tr>
      <w:tr w:rsidR="002032BD" w:rsidRPr="002032BD" w14:paraId="43B87759" w14:textId="77777777" w:rsidTr="00716A69">
        <w:trPr>
          <w:trHeight w:val="285"/>
        </w:trPr>
        <w:tc>
          <w:tcPr>
            <w:tcW w:w="1469" w:type="dxa"/>
            <w:noWrap/>
            <w:hideMark/>
          </w:tcPr>
          <w:p w14:paraId="2EF2957D"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Crediting period </w:t>
            </w:r>
          </w:p>
        </w:tc>
        <w:tc>
          <w:tcPr>
            <w:tcW w:w="8165" w:type="dxa"/>
            <w:noWrap/>
            <w:hideMark/>
          </w:tcPr>
          <w:p w14:paraId="2B5DACBC" w14:textId="31BA703E" w:rsidR="002032BD" w:rsidRPr="002032BD" w:rsidRDefault="002032BD" w:rsidP="002032BD">
            <w:pPr>
              <w:rPr>
                <w:rFonts w:asciiTheme="majorBidi" w:hAnsiTheme="majorBidi" w:cstheme="majorBidi"/>
              </w:rPr>
            </w:pPr>
            <w:r w:rsidRPr="002032BD">
              <w:rPr>
                <w:rFonts w:asciiTheme="majorBidi" w:hAnsiTheme="majorBidi" w:cstheme="majorBidi"/>
              </w:rPr>
              <w:t>The period over which credits can be generated for a project, typically between 7 and 25 years. For some codes, a crediting period can be renewed at the end of the term.</w:t>
            </w:r>
          </w:p>
        </w:tc>
      </w:tr>
      <w:tr w:rsidR="002032BD" w:rsidRPr="002032BD" w14:paraId="5A5F0116" w14:textId="77777777" w:rsidTr="00716A69">
        <w:trPr>
          <w:trHeight w:val="285"/>
        </w:trPr>
        <w:tc>
          <w:tcPr>
            <w:tcW w:w="1469" w:type="dxa"/>
            <w:noWrap/>
            <w:hideMark/>
          </w:tcPr>
          <w:p w14:paraId="16C75D03" w14:textId="77777777" w:rsidR="002032BD" w:rsidRPr="002032BD" w:rsidRDefault="002032BD" w:rsidP="002032BD">
            <w:pPr>
              <w:rPr>
                <w:rFonts w:asciiTheme="majorBidi" w:hAnsiTheme="majorBidi" w:cstheme="majorBidi"/>
              </w:rPr>
            </w:pPr>
            <w:r w:rsidRPr="002032BD">
              <w:rPr>
                <w:rFonts w:asciiTheme="majorBidi" w:hAnsiTheme="majorBidi" w:cstheme="majorBidi"/>
              </w:rPr>
              <w:t>Code</w:t>
            </w:r>
          </w:p>
        </w:tc>
        <w:tc>
          <w:tcPr>
            <w:tcW w:w="8165" w:type="dxa"/>
            <w:noWrap/>
            <w:hideMark/>
          </w:tcPr>
          <w:p w14:paraId="79480118"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The GHG accounting rules that determine project eligibility, additionality, and baseline and project emissions for a particular project type. The code also includes the program requirements for monitoring, reporting, verification, and certification. The terms code, protocol, and methodology are often used interchangeably. </w:t>
            </w:r>
          </w:p>
        </w:tc>
      </w:tr>
      <w:tr w:rsidR="002032BD" w:rsidRPr="002032BD" w14:paraId="7717176B" w14:textId="77777777" w:rsidTr="00716A69">
        <w:trPr>
          <w:trHeight w:val="285"/>
        </w:trPr>
        <w:tc>
          <w:tcPr>
            <w:tcW w:w="1469" w:type="dxa"/>
            <w:noWrap/>
            <w:hideMark/>
          </w:tcPr>
          <w:p w14:paraId="09B97D24" w14:textId="77777777" w:rsidR="002032BD" w:rsidRPr="002032BD" w:rsidRDefault="002032BD" w:rsidP="002032BD">
            <w:pPr>
              <w:rPr>
                <w:rFonts w:asciiTheme="majorBidi" w:hAnsiTheme="majorBidi" w:cstheme="majorBidi"/>
              </w:rPr>
            </w:pPr>
            <w:r w:rsidRPr="002032BD">
              <w:rPr>
                <w:rFonts w:asciiTheme="majorBidi" w:hAnsiTheme="majorBidi" w:cstheme="majorBidi"/>
              </w:rPr>
              <w:t>Leakage</w:t>
            </w:r>
          </w:p>
        </w:tc>
        <w:tc>
          <w:tcPr>
            <w:tcW w:w="8165" w:type="dxa"/>
            <w:noWrap/>
            <w:hideMark/>
          </w:tcPr>
          <w:p w14:paraId="2C0280E2" w14:textId="78E963FA" w:rsidR="002032BD" w:rsidRPr="002032BD" w:rsidRDefault="00907F9D" w:rsidP="002032BD">
            <w:pPr>
              <w:rPr>
                <w:rFonts w:asciiTheme="majorBidi" w:hAnsiTheme="majorBidi" w:cstheme="majorBidi"/>
              </w:rPr>
            </w:pPr>
            <w:r w:rsidRPr="002032BD">
              <w:rPr>
                <w:rFonts w:asciiTheme="majorBidi" w:hAnsiTheme="majorBidi" w:cstheme="majorBidi"/>
              </w:rPr>
              <w:t>Leakage is</w:t>
            </w:r>
            <w:r w:rsidR="002032BD" w:rsidRPr="002032BD">
              <w:rPr>
                <w:rFonts w:asciiTheme="majorBidi" w:hAnsiTheme="majorBidi" w:cstheme="majorBidi"/>
              </w:rPr>
              <w:t xml:space="preserve"> used to account for increased GHG emissions or losses in carbon sequestration beyond a project boundary which have occurred as a result of the project. For example, lower productivity or intensification of land use or management elsewhere. </w:t>
            </w:r>
          </w:p>
        </w:tc>
      </w:tr>
      <w:tr w:rsidR="002032BD" w:rsidRPr="002032BD" w14:paraId="1D98A34F" w14:textId="77777777" w:rsidTr="00716A69">
        <w:trPr>
          <w:trHeight w:val="285"/>
        </w:trPr>
        <w:tc>
          <w:tcPr>
            <w:tcW w:w="1469" w:type="dxa"/>
            <w:noWrap/>
            <w:hideMark/>
          </w:tcPr>
          <w:p w14:paraId="4BEA625A" w14:textId="6BE08F98" w:rsidR="002032BD" w:rsidRPr="002032BD" w:rsidRDefault="002032BD" w:rsidP="002032BD">
            <w:pPr>
              <w:rPr>
                <w:rFonts w:asciiTheme="majorBidi" w:hAnsiTheme="majorBidi" w:cstheme="majorBidi"/>
              </w:rPr>
            </w:pPr>
            <w:r>
              <w:rPr>
                <w:rFonts w:asciiTheme="majorBidi" w:hAnsiTheme="majorBidi" w:cstheme="majorBidi"/>
              </w:rPr>
              <w:t>MRV</w:t>
            </w:r>
            <w:r w:rsidRPr="002032BD">
              <w:rPr>
                <w:rFonts w:asciiTheme="majorBidi" w:hAnsiTheme="majorBidi" w:cstheme="majorBidi"/>
              </w:rPr>
              <w:t xml:space="preserve"> </w:t>
            </w:r>
          </w:p>
        </w:tc>
        <w:tc>
          <w:tcPr>
            <w:tcW w:w="8165" w:type="dxa"/>
            <w:noWrap/>
            <w:hideMark/>
          </w:tcPr>
          <w:p w14:paraId="79CBE18C" w14:textId="674A3290" w:rsidR="002032BD" w:rsidRPr="002032BD" w:rsidRDefault="002032BD" w:rsidP="002032BD">
            <w:pPr>
              <w:rPr>
                <w:rFonts w:asciiTheme="majorBidi" w:hAnsiTheme="majorBidi" w:cstheme="majorBidi"/>
              </w:rPr>
            </w:pPr>
            <w:r w:rsidRPr="002032BD">
              <w:rPr>
                <w:rFonts w:asciiTheme="majorBidi" w:hAnsiTheme="majorBidi" w:cstheme="majorBidi"/>
              </w:rPr>
              <w:t xml:space="preserve">MRV </w:t>
            </w:r>
            <w:r w:rsidR="0074459B">
              <w:rPr>
                <w:rFonts w:asciiTheme="majorBidi" w:hAnsiTheme="majorBidi" w:cstheme="majorBidi"/>
              </w:rPr>
              <w:t>(</w:t>
            </w:r>
            <w:r w:rsidR="0074459B" w:rsidRPr="002032BD">
              <w:rPr>
                <w:rFonts w:asciiTheme="majorBidi" w:hAnsiTheme="majorBidi" w:cstheme="majorBidi"/>
              </w:rPr>
              <w:t>Monitoring / Measurement, Reporting and Verification</w:t>
            </w:r>
            <w:r w:rsidR="0074459B">
              <w:rPr>
                <w:rFonts w:asciiTheme="majorBidi" w:hAnsiTheme="majorBidi" w:cstheme="majorBidi"/>
              </w:rPr>
              <w:t>)</w:t>
            </w:r>
            <w:r w:rsidR="0074459B" w:rsidRPr="002032BD">
              <w:rPr>
                <w:rFonts w:asciiTheme="majorBidi" w:hAnsiTheme="majorBidi" w:cstheme="majorBidi"/>
              </w:rPr>
              <w:t xml:space="preserve"> </w:t>
            </w:r>
            <w:r w:rsidRPr="002032BD">
              <w:rPr>
                <w:rFonts w:asciiTheme="majorBidi" w:hAnsiTheme="majorBidi" w:cstheme="majorBidi"/>
              </w:rPr>
              <w:t>is a key component of all carbon projects. Information from a carbon project is measured / monitored and reported on a regular basis throughout the crediting and permanence periods. A</w:t>
            </w:r>
            <w:r w:rsidR="0074459B">
              <w:rPr>
                <w:rFonts w:asciiTheme="majorBidi" w:hAnsiTheme="majorBidi" w:cstheme="majorBidi"/>
              </w:rPr>
              <w:t xml:space="preserve"> </w:t>
            </w:r>
            <w:r w:rsidRPr="002032BD">
              <w:rPr>
                <w:rFonts w:asciiTheme="majorBidi" w:hAnsiTheme="majorBidi" w:cstheme="majorBidi"/>
              </w:rPr>
              <w:t xml:space="preserve">verification stage </w:t>
            </w:r>
            <w:r w:rsidR="0074459B">
              <w:rPr>
                <w:rFonts w:asciiTheme="majorBidi" w:hAnsiTheme="majorBidi" w:cstheme="majorBidi"/>
              </w:rPr>
              <w:t xml:space="preserve">then </w:t>
            </w:r>
            <w:r w:rsidRPr="002032BD">
              <w:rPr>
                <w:rFonts w:asciiTheme="majorBidi" w:hAnsiTheme="majorBidi" w:cstheme="majorBidi"/>
              </w:rPr>
              <w:t>validates that a project has performed as predicted and that anticipated carbon outcomes have been realised</w:t>
            </w:r>
            <w:r w:rsidR="0074459B">
              <w:rPr>
                <w:rFonts w:asciiTheme="majorBidi" w:hAnsiTheme="majorBidi" w:cstheme="majorBidi"/>
              </w:rPr>
              <w:t>, based on the reporting</w:t>
            </w:r>
            <w:r w:rsidRPr="002032BD">
              <w:rPr>
                <w:rFonts w:asciiTheme="majorBidi" w:hAnsiTheme="majorBidi" w:cstheme="majorBidi"/>
              </w:rPr>
              <w:t>. The terms monitoring or measurement are used interchangeably across the market-place</w:t>
            </w:r>
          </w:p>
        </w:tc>
      </w:tr>
      <w:tr w:rsidR="002032BD" w:rsidRPr="002032BD" w14:paraId="7A1F5F86" w14:textId="77777777" w:rsidTr="00716A69">
        <w:trPr>
          <w:trHeight w:val="285"/>
        </w:trPr>
        <w:tc>
          <w:tcPr>
            <w:tcW w:w="1469" w:type="dxa"/>
            <w:noWrap/>
            <w:hideMark/>
          </w:tcPr>
          <w:p w14:paraId="03BDD376" w14:textId="77777777" w:rsidR="002032BD" w:rsidRPr="002032BD" w:rsidRDefault="002032BD" w:rsidP="002032BD">
            <w:pPr>
              <w:rPr>
                <w:rFonts w:asciiTheme="majorBidi" w:hAnsiTheme="majorBidi" w:cstheme="majorBidi"/>
              </w:rPr>
            </w:pPr>
            <w:r w:rsidRPr="002032BD">
              <w:rPr>
                <w:rFonts w:asciiTheme="majorBidi" w:hAnsiTheme="majorBidi" w:cstheme="majorBidi"/>
              </w:rPr>
              <w:t>MRV method</w:t>
            </w:r>
          </w:p>
        </w:tc>
        <w:tc>
          <w:tcPr>
            <w:tcW w:w="8165" w:type="dxa"/>
            <w:noWrap/>
            <w:hideMark/>
          </w:tcPr>
          <w:p w14:paraId="24660D77"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Guidance and requirements for MRV are generally stipulated in a MRV Method or Protocol document approved and issued by a carbon programme organisation. Specific MRV approaches for a soil carbon project will reflect their application of this MRV document to the project’s circumstance. </w:t>
            </w:r>
          </w:p>
        </w:tc>
      </w:tr>
      <w:tr w:rsidR="002032BD" w:rsidRPr="002032BD" w14:paraId="68F29CD6" w14:textId="77777777" w:rsidTr="00716A69">
        <w:trPr>
          <w:trHeight w:val="285"/>
        </w:trPr>
        <w:tc>
          <w:tcPr>
            <w:tcW w:w="1469" w:type="dxa"/>
            <w:noWrap/>
            <w:hideMark/>
          </w:tcPr>
          <w:p w14:paraId="20A09AF5" w14:textId="77777777" w:rsidR="002032BD" w:rsidRPr="002032BD" w:rsidRDefault="002032BD" w:rsidP="002032BD">
            <w:pPr>
              <w:rPr>
                <w:rFonts w:asciiTheme="majorBidi" w:hAnsiTheme="majorBidi" w:cstheme="majorBidi"/>
              </w:rPr>
            </w:pPr>
            <w:r w:rsidRPr="002032BD">
              <w:rPr>
                <w:rFonts w:asciiTheme="majorBidi" w:hAnsiTheme="majorBidi" w:cstheme="majorBidi"/>
              </w:rPr>
              <w:t>Reversal</w:t>
            </w:r>
          </w:p>
        </w:tc>
        <w:tc>
          <w:tcPr>
            <w:tcW w:w="8165" w:type="dxa"/>
            <w:noWrap/>
            <w:hideMark/>
          </w:tcPr>
          <w:p w14:paraId="4C656578" w14:textId="109719A4" w:rsidR="002032BD" w:rsidRPr="002032BD" w:rsidRDefault="002032BD" w:rsidP="002032BD">
            <w:pPr>
              <w:rPr>
                <w:rFonts w:asciiTheme="majorBidi" w:hAnsiTheme="majorBidi" w:cstheme="majorBidi"/>
              </w:rPr>
            </w:pPr>
            <w:r w:rsidRPr="002032BD">
              <w:rPr>
                <w:rFonts w:asciiTheme="majorBidi" w:hAnsiTheme="majorBidi" w:cstheme="majorBidi"/>
              </w:rPr>
              <w:t xml:space="preserve">Reversals are a component of permanence and used to account for losses from a project’s net sequestered carbon. Reversals can be intentional </w:t>
            </w:r>
            <w:r w:rsidR="00907F9D" w:rsidRPr="002032BD">
              <w:rPr>
                <w:rFonts w:asciiTheme="majorBidi" w:hAnsiTheme="majorBidi" w:cstheme="majorBidi"/>
              </w:rPr>
              <w:t>e.g.,</w:t>
            </w:r>
            <w:r w:rsidRPr="002032BD">
              <w:rPr>
                <w:rFonts w:asciiTheme="majorBidi" w:hAnsiTheme="majorBidi" w:cstheme="majorBidi"/>
              </w:rPr>
              <w:t xml:space="preserve"> ploughing or unintentional </w:t>
            </w:r>
            <w:r w:rsidR="00907F9D" w:rsidRPr="002032BD">
              <w:rPr>
                <w:rFonts w:asciiTheme="majorBidi" w:hAnsiTheme="majorBidi" w:cstheme="majorBidi"/>
              </w:rPr>
              <w:t>e.g.,</w:t>
            </w:r>
            <w:r w:rsidRPr="002032BD">
              <w:rPr>
                <w:rFonts w:asciiTheme="majorBidi" w:hAnsiTheme="majorBidi" w:cstheme="majorBidi"/>
              </w:rPr>
              <w:t xml:space="preserve"> extreme weather. </w:t>
            </w:r>
          </w:p>
        </w:tc>
      </w:tr>
      <w:tr w:rsidR="002032BD" w:rsidRPr="002032BD" w14:paraId="378F4065" w14:textId="77777777" w:rsidTr="00716A69">
        <w:trPr>
          <w:trHeight w:val="285"/>
        </w:trPr>
        <w:tc>
          <w:tcPr>
            <w:tcW w:w="1469" w:type="dxa"/>
            <w:noWrap/>
            <w:hideMark/>
          </w:tcPr>
          <w:p w14:paraId="3E779B54" w14:textId="77777777" w:rsidR="002032BD" w:rsidRPr="002032BD" w:rsidRDefault="002032BD" w:rsidP="002032BD">
            <w:pPr>
              <w:rPr>
                <w:rFonts w:asciiTheme="majorBidi" w:hAnsiTheme="majorBidi" w:cstheme="majorBidi"/>
              </w:rPr>
            </w:pPr>
            <w:r w:rsidRPr="002032BD">
              <w:rPr>
                <w:rFonts w:asciiTheme="majorBidi" w:hAnsiTheme="majorBidi" w:cstheme="majorBidi"/>
              </w:rPr>
              <w:t>Validation</w:t>
            </w:r>
          </w:p>
        </w:tc>
        <w:tc>
          <w:tcPr>
            <w:tcW w:w="8165" w:type="dxa"/>
            <w:noWrap/>
            <w:hideMark/>
          </w:tcPr>
          <w:p w14:paraId="0D8EBA56" w14:textId="0198EF84" w:rsidR="002032BD" w:rsidRPr="002032BD" w:rsidRDefault="002032BD" w:rsidP="002032BD">
            <w:pPr>
              <w:rPr>
                <w:rFonts w:asciiTheme="majorBidi" w:hAnsiTheme="majorBidi" w:cstheme="majorBidi"/>
              </w:rPr>
            </w:pPr>
            <w:r w:rsidRPr="002032BD">
              <w:rPr>
                <w:rFonts w:asciiTheme="majorBidi" w:hAnsiTheme="majorBidi" w:cstheme="majorBidi"/>
              </w:rPr>
              <w:t>A</w:t>
            </w:r>
            <w:r w:rsidR="001F53F9">
              <w:rPr>
                <w:rFonts w:asciiTheme="majorBidi" w:hAnsiTheme="majorBidi" w:cstheme="majorBidi"/>
              </w:rPr>
              <w:t xml:space="preserve">n </w:t>
            </w:r>
            <w:r w:rsidRPr="002032BD">
              <w:rPr>
                <w:rFonts w:asciiTheme="majorBidi" w:hAnsiTheme="majorBidi" w:cstheme="majorBidi"/>
              </w:rPr>
              <w:t xml:space="preserve">independent process for the evaluation of a carbon project plan to establish that the project should achieve the predicted carbon abatement </w:t>
            </w:r>
            <w:r w:rsidR="001F53F9">
              <w:rPr>
                <w:rFonts w:asciiTheme="majorBidi" w:hAnsiTheme="majorBidi" w:cstheme="majorBidi"/>
              </w:rPr>
              <w:t xml:space="preserve">and meets relevant eligibility and other programme criteria. </w:t>
            </w:r>
          </w:p>
        </w:tc>
      </w:tr>
      <w:tr w:rsidR="002032BD" w:rsidRPr="002032BD" w14:paraId="05A3C746" w14:textId="77777777" w:rsidTr="00716A69">
        <w:trPr>
          <w:trHeight w:val="285"/>
        </w:trPr>
        <w:tc>
          <w:tcPr>
            <w:tcW w:w="1469" w:type="dxa"/>
            <w:noWrap/>
            <w:hideMark/>
          </w:tcPr>
          <w:p w14:paraId="0DA643A7" w14:textId="77777777" w:rsidR="002032BD" w:rsidRPr="002032BD" w:rsidRDefault="002032BD" w:rsidP="002032BD">
            <w:pPr>
              <w:rPr>
                <w:rFonts w:asciiTheme="majorBidi" w:hAnsiTheme="majorBidi" w:cstheme="majorBidi"/>
              </w:rPr>
            </w:pPr>
            <w:r w:rsidRPr="002032BD">
              <w:rPr>
                <w:rFonts w:asciiTheme="majorBidi" w:hAnsiTheme="majorBidi" w:cstheme="majorBidi"/>
              </w:rPr>
              <w:t>Verification</w:t>
            </w:r>
          </w:p>
        </w:tc>
        <w:tc>
          <w:tcPr>
            <w:tcW w:w="8165" w:type="dxa"/>
            <w:noWrap/>
            <w:hideMark/>
          </w:tcPr>
          <w:p w14:paraId="3E7E12CB" w14:textId="44B294FA" w:rsidR="002032BD" w:rsidRPr="002032BD" w:rsidRDefault="002032BD" w:rsidP="002032BD">
            <w:pPr>
              <w:rPr>
                <w:rFonts w:asciiTheme="majorBidi" w:hAnsiTheme="majorBidi" w:cstheme="majorBidi"/>
              </w:rPr>
            </w:pPr>
            <w:r w:rsidRPr="002032BD">
              <w:rPr>
                <w:rFonts w:asciiTheme="majorBidi" w:hAnsiTheme="majorBidi" w:cstheme="majorBidi"/>
              </w:rPr>
              <w:t xml:space="preserve">The process used to ensure that a carbon project </w:t>
            </w:r>
            <w:r w:rsidR="001F53F9">
              <w:rPr>
                <w:rFonts w:asciiTheme="majorBidi" w:hAnsiTheme="majorBidi" w:cstheme="majorBidi"/>
              </w:rPr>
              <w:t xml:space="preserve">continues to </w:t>
            </w:r>
            <w:r w:rsidRPr="002032BD">
              <w:rPr>
                <w:rFonts w:asciiTheme="majorBidi" w:hAnsiTheme="majorBidi" w:cstheme="majorBidi"/>
              </w:rPr>
              <w:t>meet the standards and requirements set down by organisations issuing carbon credits, to ensure that carbon is fully accounted for and ultimately to verify carbon credits</w:t>
            </w:r>
            <w:r w:rsidR="001F53F9">
              <w:rPr>
                <w:rFonts w:asciiTheme="majorBidi" w:hAnsiTheme="majorBidi" w:cstheme="majorBidi"/>
              </w:rPr>
              <w:t>, with v</w:t>
            </w:r>
            <w:r w:rsidRPr="002032BD">
              <w:rPr>
                <w:rFonts w:asciiTheme="majorBidi" w:hAnsiTheme="majorBidi" w:cstheme="majorBidi"/>
              </w:rPr>
              <w:t>erification carried out by an accredited independent verifier</w:t>
            </w:r>
            <w:r w:rsidR="001F53F9">
              <w:rPr>
                <w:rFonts w:asciiTheme="majorBidi" w:hAnsiTheme="majorBidi" w:cstheme="majorBidi"/>
              </w:rPr>
              <w:t>.</w:t>
            </w:r>
          </w:p>
        </w:tc>
      </w:tr>
      <w:tr w:rsidR="002032BD" w:rsidRPr="002032BD" w14:paraId="1F18B32D" w14:textId="77777777" w:rsidTr="00716A69">
        <w:trPr>
          <w:trHeight w:val="285"/>
        </w:trPr>
        <w:tc>
          <w:tcPr>
            <w:tcW w:w="1469" w:type="dxa"/>
            <w:noWrap/>
            <w:hideMark/>
          </w:tcPr>
          <w:p w14:paraId="77206D84"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Verifier </w:t>
            </w:r>
          </w:p>
        </w:tc>
        <w:tc>
          <w:tcPr>
            <w:tcW w:w="8165" w:type="dxa"/>
            <w:noWrap/>
            <w:hideMark/>
          </w:tcPr>
          <w:p w14:paraId="32165DC9" w14:textId="1ED604FA" w:rsidR="002032BD" w:rsidRPr="002032BD" w:rsidRDefault="002032BD" w:rsidP="002032BD">
            <w:pPr>
              <w:rPr>
                <w:rFonts w:asciiTheme="majorBidi" w:hAnsiTheme="majorBidi" w:cstheme="majorBidi"/>
              </w:rPr>
            </w:pPr>
            <w:r w:rsidRPr="002032BD">
              <w:rPr>
                <w:rFonts w:asciiTheme="majorBidi" w:hAnsiTheme="majorBidi" w:cstheme="majorBidi"/>
              </w:rPr>
              <w:t>A</w:t>
            </w:r>
            <w:r w:rsidR="001F53F9">
              <w:rPr>
                <w:rFonts w:asciiTheme="majorBidi" w:hAnsiTheme="majorBidi" w:cstheme="majorBidi"/>
              </w:rPr>
              <w:t>n accredited</w:t>
            </w:r>
            <w:r w:rsidRPr="002032BD">
              <w:rPr>
                <w:rFonts w:asciiTheme="majorBidi" w:hAnsiTheme="majorBidi" w:cstheme="majorBidi"/>
              </w:rPr>
              <w:t xml:space="preserve"> </w:t>
            </w:r>
            <w:r w:rsidR="001F53F9">
              <w:rPr>
                <w:rFonts w:asciiTheme="majorBidi" w:hAnsiTheme="majorBidi" w:cstheme="majorBidi"/>
              </w:rPr>
              <w:t>(</w:t>
            </w:r>
            <w:r w:rsidRPr="002032BD">
              <w:rPr>
                <w:rFonts w:asciiTheme="majorBidi" w:hAnsiTheme="majorBidi" w:cstheme="majorBidi"/>
              </w:rPr>
              <w:t>reputable, competent</w:t>
            </w:r>
            <w:r w:rsidR="001F53F9">
              <w:rPr>
                <w:rFonts w:asciiTheme="majorBidi" w:hAnsiTheme="majorBidi" w:cstheme="majorBidi"/>
              </w:rPr>
              <w:t>)</w:t>
            </w:r>
            <w:r w:rsidRPr="002032BD">
              <w:rPr>
                <w:rFonts w:asciiTheme="majorBidi" w:hAnsiTheme="majorBidi" w:cstheme="majorBidi"/>
              </w:rPr>
              <w:t xml:space="preserve"> and independent person or persons with responsibility for performing and reporting on the verification process. </w:t>
            </w:r>
          </w:p>
        </w:tc>
      </w:tr>
      <w:tr w:rsidR="002032BD" w:rsidRPr="002032BD" w14:paraId="5B037D27" w14:textId="77777777" w:rsidTr="00716A69">
        <w:trPr>
          <w:trHeight w:val="285"/>
        </w:trPr>
        <w:tc>
          <w:tcPr>
            <w:tcW w:w="1469" w:type="dxa"/>
            <w:noWrap/>
            <w:hideMark/>
          </w:tcPr>
          <w:p w14:paraId="119E7FF2" w14:textId="77777777" w:rsidR="002032BD" w:rsidRPr="002032BD" w:rsidRDefault="002032BD" w:rsidP="002032BD">
            <w:pPr>
              <w:rPr>
                <w:rFonts w:asciiTheme="majorBidi" w:hAnsiTheme="majorBidi" w:cstheme="majorBidi"/>
              </w:rPr>
            </w:pPr>
            <w:r w:rsidRPr="002032BD">
              <w:rPr>
                <w:rFonts w:asciiTheme="majorBidi" w:hAnsiTheme="majorBidi" w:cstheme="majorBidi"/>
              </w:rPr>
              <w:lastRenderedPageBreak/>
              <w:t xml:space="preserve">Voluntary Carbon Market </w:t>
            </w:r>
          </w:p>
        </w:tc>
        <w:tc>
          <w:tcPr>
            <w:tcW w:w="8165" w:type="dxa"/>
            <w:noWrap/>
            <w:hideMark/>
          </w:tcPr>
          <w:p w14:paraId="089F1C0B" w14:textId="200D2265" w:rsidR="002032BD" w:rsidRPr="002032BD" w:rsidRDefault="002032BD" w:rsidP="002032BD">
            <w:pPr>
              <w:rPr>
                <w:rFonts w:asciiTheme="majorBidi" w:hAnsiTheme="majorBidi" w:cstheme="majorBidi"/>
              </w:rPr>
            </w:pPr>
            <w:r w:rsidRPr="002032BD">
              <w:rPr>
                <w:rFonts w:asciiTheme="majorBidi" w:hAnsiTheme="majorBidi" w:cstheme="majorBidi"/>
              </w:rPr>
              <w:t>A means of financ</w:t>
            </w:r>
            <w:r w:rsidR="001F53F9">
              <w:rPr>
                <w:rFonts w:asciiTheme="majorBidi" w:hAnsiTheme="majorBidi" w:cstheme="majorBidi"/>
              </w:rPr>
              <w:t xml:space="preserve">ing carbon </w:t>
            </w:r>
            <w:r w:rsidRPr="002032BD">
              <w:rPr>
                <w:rFonts w:asciiTheme="majorBidi" w:hAnsiTheme="majorBidi" w:cstheme="majorBidi"/>
              </w:rPr>
              <w:t xml:space="preserve">projects </w:t>
            </w:r>
            <w:r w:rsidR="001F53F9">
              <w:rPr>
                <w:rFonts w:asciiTheme="majorBidi" w:hAnsiTheme="majorBidi" w:cstheme="majorBidi"/>
              </w:rPr>
              <w:t>to</w:t>
            </w:r>
            <w:r w:rsidRPr="002032BD">
              <w:rPr>
                <w:rFonts w:asciiTheme="majorBidi" w:hAnsiTheme="majorBidi" w:cstheme="majorBidi"/>
              </w:rPr>
              <w:t xml:space="preserve"> deliver verified additional emission reductions on a global scale. Voluntary carbon markets enable companies to achieve emission reductions </w:t>
            </w:r>
            <w:r w:rsidR="001F53F9" w:rsidRPr="002032BD">
              <w:rPr>
                <w:rFonts w:asciiTheme="majorBidi" w:hAnsiTheme="majorBidi" w:cstheme="majorBidi"/>
              </w:rPr>
              <w:t xml:space="preserve">through the purchase of offsets </w:t>
            </w:r>
            <w:r w:rsidR="001F53F9">
              <w:rPr>
                <w:rFonts w:asciiTheme="majorBidi" w:hAnsiTheme="majorBidi" w:cstheme="majorBidi"/>
              </w:rPr>
              <w:t>to</w:t>
            </w:r>
            <w:r w:rsidRPr="002032BD">
              <w:rPr>
                <w:rFonts w:asciiTheme="majorBidi" w:hAnsiTheme="majorBidi" w:cstheme="majorBidi"/>
              </w:rPr>
              <w:t xml:space="preserve"> complement internal emission reduction activities.</w:t>
            </w:r>
          </w:p>
        </w:tc>
      </w:tr>
      <w:tr w:rsidR="002032BD" w:rsidRPr="002032BD" w14:paraId="1E299875" w14:textId="77777777" w:rsidTr="00716A69">
        <w:trPr>
          <w:trHeight w:val="285"/>
        </w:trPr>
        <w:tc>
          <w:tcPr>
            <w:tcW w:w="1469" w:type="dxa"/>
            <w:noWrap/>
            <w:hideMark/>
          </w:tcPr>
          <w:p w14:paraId="2FE532FC"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Registry </w:t>
            </w:r>
          </w:p>
        </w:tc>
        <w:tc>
          <w:tcPr>
            <w:tcW w:w="8165" w:type="dxa"/>
            <w:noWrap/>
            <w:hideMark/>
          </w:tcPr>
          <w:p w14:paraId="06E1C405" w14:textId="164CE9D3" w:rsidR="002032BD" w:rsidRPr="002032BD" w:rsidRDefault="002032BD" w:rsidP="002032BD">
            <w:pPr>
              <w:rPr>
                <w:rFonts w:asciiTheme="majorBidi" w:hAnsiTheme="majorBidi" w:cstheme="majorBidi"/>
              </w:rPr>
            </w:pPr>
            <w:r w:rsidRPr="002032BD">
              <w:rPr>
                <w:rFonts w:asciiTheme="majorBidi" w:hAnsiTheme="majorBidi" w:cstheme="majorBidi"/>
              </w:rPr>
              <w:t xml:space="preserve">Programme registries are the platforms </w:t>
            </w:r>
            <w:r w:rsidR="00C13841">
              <w:rPr>
                <w:rFonts w:asciiTheme="majorBidi" w:hAnsiTheme="majorBidi" w:cstheme="majorBidi"/>
              </w:rPr>
              <w:t xml:space="preserve">which </w:t>
            </w:r>
            <w:r w:rsidR="00C13841" w:rsidRPr="002032BD">
              <w:rPr>
                <w:rFonts w:asciiTheme="majorBidi" w:hAnsiTheme="majorBidi" w:cstheme="majorBidi"/>
              </w:rPr>
              <w:t xml:space="preserve">enable the trading of </w:t>
            </w:r>
            <w:r w:rsidR="00C13841">
              <w:rPr>
                <w:rFonts w:asciiTheme="majorBidi" w:hAnsiTheme="majorBidi" w:cstheme="majorBidi"/>
              </w:rPr>
              <w:t xml:space="preserve">carbon credits. </w:t>
            </w:r>
            <w:r w:rsidRPr="002032BD">
              <w:rPr>
                <w:rFonts w:asciiTheme="majorBidi" w:hAnsiTheme="majorBidi" w:cstheme="majorBidi"/>
              </w:rPr>
              <w:t xml:space="preserve">A registry facilitates the transparent listing of information on </w:t>
            </w:r>
            <w:r w:rsidR="00C13841">
              <w:rPr>
                <w:rFonts w:asciiTheme="majorBidi" w:hAnsiTheme="majorBidi" w:cstheme="majorBidi"/>
              </w:rPr>
              <w:t xml:space="preserve">registered </w:t>
            </w:r>
            <w:r w:rsidRPr="002032BD">
              <w:rPr>
                <w:rFonts w:asciiTheme="majorBidi" w:hAnsiTheme="majorBidi" w:cstheme="majorBidi"/>
              </w:rPr>
              <w:t>carbon projects</w:t>
            </w:r>
            <w:r w:rsidR="00C13841">
              <w:rPr>
                <w:rFonts w:asciiTheme="majorBidi" w:hAnsiTheme="majorBidi" w:cstheme="majorBidi"/>
              </w:rPr>
              <w:t xml:space="preserve"> including</w:t>
            </w:r>
            <w:r w:rsidRPr="002032BD">
              <w:rPr>
                <w:rFonts w:asciiTheme="majorBidi" w:hAnsiTheme="majorBidi" w:cstheme="majorBidi"/>
              </w:rPr>
              <w:t xml:space="preserve"> issued and retired </w:t>
            </w:r>
            <w:r w:rsidR="00C13841">
              <w:rPr>
                <w:rFonts w:asciiTheme="majorBidi" w:hAnsiTheme="majorBidi" w:cstheme="majorBidi"/>
              </w:rPr>
              <w:t xml:space="preserve">carbon credits </w:t>
            </w:r>
            <w:r w:rsidRPr="002032BD">
              <w:rPr>
                <w:rFonts w:asciiTheme="majorBidi" w:hAnsiTheme="majorBidi" w:cstheme="majorBidi"/>
              </w:rPr>
              <w:t>units</w:t>
            </w:r>
            <w:r w:rsidR="00C13841">
              <w:rPr>
                <w:rFonts w:asciiTheme="majorBidi" w:hAnsiTheme="majorBidi" w:cstheme="majorBidi"/>
              </w:rPr>
              <w:t>.</w:t>
            </w:r>
          </w:p>
        </w:tc>
      </w:tr>
      <w:tr w:rsidR="002032BD" w:rsidRPr="002032BD" w14:paraId="517B0FEB" w14:textId="77777777" w:rsidTr="00716A69">
        <w:trPr>
          <w:trHeight w:val="285"/>
        </w:trPr>
        <w:tc>
          <w:tcPr>
            <w:tcW w:w="1469" w:type="dxa"/>
            <w:noWrap/>
            <w:hideMark/>
          </w:tcPr>
          <w:p w14:paraId="3CCA9386"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Permanence </w:t>
            </w:r>
          </w:p>
        </w:tc>
        <w:tc>
          <w:tcPr>
            <w:tcW w:w="8165" w:type="dxa"/>
            <w:noWrap/>
            <w:hideMark/>
          </w:tcPr>
          <w:p w14:paraId="428A5F69"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Permanence is a necessary condition for carbon projects to demonstrate that carbon credits reflect a long-term removal of GHGs. For soil carbon projects, this generally means the continuance of the positive carbon management practices to ensure that there are no reversals.  </w:t>
            </w:r>
          </w:p>
        </w:tc>
      </w:tr>
      <w:tr w:rsidR="002032BD" w:rsidRPr="002032BD" w14:paraId="71BBAFFC" w14:textId="77777777" w:rsidTr="00716A69">
        <w:trPr>
          <w:trHeight w:val="285"/>
        </w:trPr>
        <w:tc>
          <w:tcPr>
            <w:tcW w:w="1469" w:type="dxa"/>
            <w:noWrap/>
            <w:hideMark/>
          </w:tcPr>
          <w:p w14:paraId="791E7CDD" w14:textId="77777777" w:rsidR="002032BD" w:rsidRPr="002032BD" w:rsidRDefault="002032BD" w:rsidP="002032BD">
            <w:pPr>
              <w:rPr>
                <w:rFonts w:asciiTheme="majorBidi" w:hAnsiTheme="majorBidi" w:cstheme="majorBidi"/>
              </w:rPr>
            </w:pPr>
            <w:r w:rsidRPr="002032BD">
              <w:rPr>
                <w:rFonts w:asciiTheme="majorBidi" w:hAnsiTheme="majorBidi" w:cstheme="majorBidi"/>
              </w:rPr>
              <w:t>Permanence period</w:t>
            </w:r>
          </w:p>
        </w:tc>
        <w:tc>
          <w:tcPr>
            <w:tcW w:w="8165" w:type="dxa"/>
            <w:noWrap/>
            <w:hideMark/>
          </w:tcPr>
          <w:p w14:paraId="21A929F7" w14:textId="77777777" w:rsidR="002032BD" w:rsidRPr="002032BD" w:rsidRDefault="002032BD" w:rsidP="002032BD">
            <w:pPr>
              <w:rPr>
                <w:rFonts w:asciiTheme="majorBidi" w:hAnsiTheme="majorBidi" w:cstheme="majorBidi"/>
              </w:rPr>
            </w:pPr>
            <w:r w:rsidRPr="002032BD">
              <w:rPr>
                <w:rFonts w:asciiTheme="majorBidi" w:hAnsiTheme="majorBidi" w:cstheme="majorBidi"/>
              </w:rPr>
              <w:t xml:space="preserve">The defined time period that sequestered C must remain sequestered during the period of the offset credits. The permanence period is individually defined by each code and can vary from one code to another. </w:t>
            </w:r>
          </w:p>
        </w:tc>
      </w:tr>
    </w:tbl>
    <w:p w14:paraId="6FB9E356" w14:textId="49533F52" w:rsidR="002032BD" w:rsidRDefault="002032BD" w:rsidP="002032BD"/>
    <w:p w14:paraId="19B107FB" w14:textId="378BDDD5" w:rsidR="002032BD" w:rsidRDefault="002032BD">
      <w:r>
        <w:br w:type="page"/>
      </w:r>
    </w:p>
    <w:sectPr w:rsidR="002032BD" w:rsidSect="00EC52B8">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938C" w14:textId="77777777" w:rsidR="00A709D3" w:rsidRDefault="00A709D3" w:rsidP="00391E2B">
      <w:pPr>
        <w:spacing w:after="0" w:line="240" w:lineRule="auto"/>
      </w:pPr>
      <w:r>
        <w:separator/>
      </w:r>
    </w:p>
  </w:endnote>
  <w:endnote w:type="continuationSeparator" w:id="0">
    <w:p w14:paraId="6977FC1B" w14:textId="77777777" w:rsidR="00A709D3" w:rsidRDefault="00A709D3" w:rsidP="0039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B356" w14:textId="77777777" w:rsidR="00A709D3" w:rsidRDefault="00A709D3" w:rsidP="00391E2B">
      <w:pPr>
        <w:spacing w:after="0" w:line="240" w:lineRule="auto"/>
      </w:pPr>
      <w:r>
        <w:separator/>
      </w:r>
    </w:p>
  </w:footnote>
  <w:footnote w:type="continuationSeparator" w:id="0">
    <w:p w14:paraId="76529703" w14:textId="77777777" w:rsidR="00A709D3" w:rsidRDefault="00A709D3" w:rsidP="00391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7B"/>
    <w:rsid w:val="00006B46"/>
    <w:rsid w:val="00081EEF"/>
    <w:rsid w:val="000B388E"/>
    <w:rsid w:val="001A179E"/>
    <w:rsid w:val="001F53F9"/>
    <w:rsid w:val="002018F0"/>
    <w:rsid w:val="002032BD"/>
    <w:rsid w:val="002F2746"/>
    <w:rsid w:val="00307FFE"/>
    <w:rsid w:val="00391E2B"/>
    <w:rsid w:val="003B2C5A"/>
    <w:rsid w:val="003B2D17"/>
    <w:rsid w:val="003F2FAD"/>
    <w:rsid w:val="0040198A"/>
    <w:rsid w:val="004949B1"/>
    <w:rsid w:val="00525B71"/>
    <w:rsid w:val="005473D3"/>
    <w:rsid w:val="005C242A"/>
    <w:rsid w:val="006A43AB"/>
    <w:rsid w:val="006A74EB"/>
    <w:rsid w:val="00716A69"/>
    <w:rsid w:val="0074459B"/>
    <w:rsid w:val="00763C6E"/>
    <w:rsid w:val="00853102"/>
    <w:rsid w:val="008924F8"/>
    <w:rsid w:val="008E16DD"/>
    <w:rsid w:val="008E5ABA"/>
    <w:rsid w:val="008F3C7B"/>
    <w:rsid w:val="00907F9D"/>
    <w:rsid w:val="00986BE8"/>
    <w:rsid w:val="00A165CB"/>
    <w:rsid w:val="00A709D3"/>
    <w:rsid w:val="00A90D7B"/>
    <w:rsid w:val="00AF69C5"/>
    <w:rsid w:val="00B04499"/>
    <w:rsid w:val="00B05296"/>
    <w:rsid w:val="00B803A6"/>
    <w:rsid w:val="00C13841"/>
    <w:rsid w:val="00CB68B0"/>
    <w:rsid w:val="00D2166C"/>
    <w:rsid w:val="00D354D2"/>
    <w:rsid w:val="00D43FBA"/>
    <w:rsid w:val="00D71066"/>
    <w:rsid w:val="00DC0DD6"/>
    <w:rsid w:val="00E449B5"/>
    <w:rsid w:val="00E829CC"/>
    <w:rsid w:val="00EC0050"/>
    <w:rsid w:val="00EC52B8"/>
    <w:rsid w:val="00EF4FE1"/>
    <w:rsid w:val="00EF6EF5"/>
    <w:rsid w:val="00FA2384"/>
    <w:rsid w:val="01B0D4F7"/>
    <w:rsid w:val="0DC10663"/>
    <w:rsid w:val="1990730C"/>
    <w:rsid w:val="2B700173"/>
    <w:rsid w:val="49EF3DCF"/>
    <w:rsid w:val="526CDB9D"/>
    <w:rsid w:val="5A1C844D"/>
    <w:rsid w:val="5E37E349"/>
    <w:rsid w:val="6D047C43"/>
    <w:rsid w:val="75BF89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8E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F3C7B"/>
    <w:pPr>
      <w:spacing w:after="200" w:line="240" w:lineRule="auto"/>
    </w:pPr>
    <w:rPr>
      <w:i/>
      <w:iCs/>
      <w:color w:val="44546A" w:themeColor="text2"/>
      <w:sz w:val="18"/>
      <w:szCs w:val="18"/>
    </w:rPr>
  </w:style>
  <w:style w:type="table" w:styleId="TableGrid">
    <w:name w:val="Table Grid"/>
    <w:basedOn w:val="TableNormal"/>
    <w:uiPriority w:val="39"/>
    <w:rsid w:val="008F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C7B"/>
    <w:rPr>
      <w:sz w:val="16"/>
      <w:szCs w:val="16"/>
    </w:rPr>
  </w:style>
  <w:style w:type="paragraph" w:styleId="CommentText">
    <w:name w:val="annotation text"/>
    <w:basedOn w:val="Normal"/>
    <w:link w:val="CommentTextChar"/>
    <w:uiPriority w:val="99"/>
    <w:semiHidden/>
    <w:unhideWhenUsed/>
    <w:rsid w:val="008F3C7B"/>
    <w:pPr>
      <w:spacing w:line="240" w:lineRule="auto"/>
    </w:pPr>
    <w:rPr>
      <w:sz w:val="20"/>
      <w:szCs w:val="20"/>
    </w:rPr>
  </w:style>
  <w:style w:type="character" w:customStyle="1" w:styleId="CommentTextChar">
    <w:name w:val="Comment Text Char"/>
    <w:basedOn w:val="DefaultParagraphFont"/>
    <w:link w:val="CommentText"/>
    <w:uiPriority w:val="99"/>
    <w:semiHidden/>
    <w:rsid w:val="008F3C7B"/>
    <w:rPr>
      <w:sz w:val="20"/>
      <w:szCs w:val="20"/>
    </w:rPr>
  </w:style>
  <w:style w:type="paragraph" w:styleId="BalloonText">
    <w:name w:val="Balloon Text"/>
    <w:basedOn w:val="Normal"/>
    <w:link w:val="BalloonTextChar"/>
    <w:uiPriority w:val="99"/>
    <w:semiHidden/>
    <w:unhideWhenUsed/>
    <w:rsid w:val="008F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7B"/>
    <w:rPr>
      <w:rFonts w:ascii="Segoe UI" w:hAnsi="Segoe UI" w:cs="Segoe UI"/>
      <w:sz w:val="18"/>
      <w:szCs w:val="18"/>
    </w:rPr>
  </w:style>
  <w:style w:type="paragraph" w:styleId="Revision">
    <w:name w:val="Revision"/>
    <w:hidden/>
    <w:uiPriority w:val="99"/>
    <w:semiHidden/>
    <w:rsid w:val="00307FFE"/>
    <w:pPr>
      <w:spacing w:after="0" w:line="240" w:lineRule="auto"/>
    </w:pPr>
  </w:style>
  <w:style w:type="paragraph" w:styleId="Header">
    <w:name w:val="header"/>
    <w:basedOn w:val="Normal"/>
    <w:link w:val="HeaderChar"/>
    <w:uiPriority w:val="99"/>
    <w:unhideWhenUsed/>
    <w:rsid w:val="0039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E2B"/>
  </w:style>
  <w:style w:type="paragraph" w:styleId="Footer">
    <w:name w:val="footer"/>
    <w:basedOn w:val="Normal"/>
    <w:link w:val="FooterChar"/>
    <w:uiPriority w:val="99"/>
    <w:unhideWhenUsed/>
    <w:rsid w:val="00391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CA20E90A1FDA438D424FBD3E0AB9AD" ma:contentTypeVersion="14" ma:contentTypeDescription="Create a new document." ma:contentTypeScope="" ma:versionID="9235e9ac9e43eeb532703eca3a8f1087">
  <xsd:schema xmlns:xsd="http://www.w3.org/2001/XMLSchema" xmlns:xs="http://www.w3.org/2001/XMLSchema" xmlns:p="http://schemas.microsoft.com/office/2006/metadata/properties" xmlns:ns2="68d79ea1-5a3d-46d1-9b4c-709dcdd49cb6" xmlns:ns3="de766400-c227-4886-a2b6-bb9876a1a9c1" targetNamespace="http://schemas.microsoft.com/office/2006/metadata/properties" ma:root="true" ma:fieldsID="2282afe05616b0637c29140488a55db9" ns2:_="" ns3:_="">
    <xsd:import namespace="68d79ea1-5a3d-46d1-9b4c-709dcdd49cb6"/>
    <xsd:import namespace="de766400-c227-4886-a2b6-bb9876a1a9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9ea1-5a3d-46d1-9b4c-709dcdd49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9b72ab-bba4-483e-9640-b778369433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66400-c227-4886-a2b6-bb9876a1a9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f98add-d71f-47c8-a29b-eab7409ab6dd}" ma:internalName="TaxCatchAll" ma:showField="CatchAllData" ma:web="de766400-c227-4886-a2b6-bb9876a1a9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766400-c227-4886-a2b6-bb9876a1a9c1" xsi:nil="true"/>
    <lcf76f155ced4ddcb4097134ff3c332f xmlns="68d79ea1-5a3d-46d1-9b4c-709dcdd49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19A869-7607-4E65-A2F5-E11C688AD7C8}">
  <ds:schemaRefs>
    <ds:schemaRef ds:uri="http://schemas.openxmlformats.org/officeDocument/2006/bibliography"/>
  </ds:schemaRefs>
</ds:datastoreItem>
</file>

<file path=customXml/itemProps2.xml><?xml version="1.0" encoding="utf-8"?>
<ds:datastoreItem xmlns:ds="http://schemas.openxmlformats.org/officeDocument/2006/customXml" ds:itemID="{6EB9F257-4F9E-420A-A91C-8C0995F93F04}"/>
</file>

<file path=customXml/itemProps3.xml><?xml version="1.0" encoding="utf-8"?>
<ds:datastoreItem xmlns:ds="http://schemas.openxmlformats.org/officeDocument/2006/customXml" ds:itemID="{4636D12B-03A9-4510-9AF0-A95E8D65C594}"/>
</file>

<file path=customXml/itemProps4.xml><?xml version="1.0" encoding="utf-8"?>
<ds:datastoreItem xmlns:ds="http://schemas.openxmlformats.org/officeDocument/2006/customXml" ds:itemID="{51F8CBA3-1238-4658-8163-610F231286A6}"/>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2022-07-26T17:55:00Z</dcterms:created>
  <dcterms:modified xsi:type="dcterms:W3CDTF">2022-09-06T16:20:00Z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0x01010084CA20E90A1FDA438D424FBD3E0AB9AD</vt:lpwstr>
  </property>
</Properties>
</file>