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Supplementary Table</w:t>
      </w:r>
      <w:r>
        <w:rPr>
          <w:rFonts w:hint="default" w:ascii="Times New Roman" w:hAnsi="Times New Roman" w:cs="Times New Roman"/>
          <w:lang w:val="en-US" w:eastAsia="zh-CN"/>
        </w:rPr>
        <w:t xml:space="preserve"> 1  Comparison of the models with or without adipose features at various cut-offs for the probability of all prostate cancer in biopsy. Comparative outcomes are sensitivity gain, specificity gain, and total NRI. NRI: net reclassification index.</w:t>
      </w:r>
    </w:p>
    <w:tbl>
      <w:tblPr>
        <w:tblStyle w:val="3"/>
        <w:tblpPr w:leftFromText="180" w:rightFromText="180" w:vertAnchor="page" w:horzAnchor="page" w:tblpX="1544" w:tblpY="2736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Probability cut-off</w:t>
            </w:r>
          </w:p>
        </w:tc>
        <w:tc>
          <w:tcPr>
            <w:tcW w:w="2130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>Sensitivity gain (%)</w:t>
            </w:r>
          </w:p>
        </w:tc>
        <w:tc>
          <w:tcPr>
            <w:tcW w:w="213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>Specificity gain (%)</w:t>
            </w:r>
          </w:p>
        </w:tc>
        <w:tc>
          <w:tcPr>
            <w:tcW w:w="213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>Total NRI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5%</w:t>
            </w:r>
          </w:p>
        </w:tc>
        <w:tc>
          <w:tcPr>
            <w:tcW w:w="213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19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9</w:t>
            </w:r>
          </w:p>
        </w:tc>
        <w:tc>
          <w:tcPr>
            <w:tcW w:w="2131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28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5</w:t>
            </w:r>
          </w:p>
        </w:tc>
        <w:tc>
          <w:tcPr>
            <w:tcW w:w="2131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0.484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14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7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24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.4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0.391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14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.6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20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5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0.351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8%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14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.6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20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7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0.353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9%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12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7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19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5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0.322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10%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11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7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15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9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0.276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11%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9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.7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11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3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0.210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12%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8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4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6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0.190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13%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6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.6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8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9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14%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5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7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8.0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0.137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15%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4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9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8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.7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0.136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Supplementary Table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 xml:space="preserve">  Comparison of the models with or without adipose features at various cut-offs for the probability of clinically significant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prostate cancer in biopsy. Comparative outcomes are sensitivity gain, specificity gain, and total NRI. NRI: net reclassification index.</w:t>
      </w:r>
    </w:p>
    <w:p>
      <w:pPr>
        <w:jc w:val="left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3"/>
        <w:tblpPr w:leftFromText="180" w:rightFromText="180" w:vertAnchor="page" w:horzAnchor="page" w:tblpX="1539" w:tblpY="8220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Probability cut-off</w:t>
            </w:r>
          </w:p>
        </w:tc>
        <w:tc>
          <w:tcPr>
            <w:tcW w:w="2130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>Sensitivity gain (%)</w:t>
            </w:r>
          </w:p>
        </w:tc>
        <w:tc>
          <w:tcPr>
            <w:tcW w:w="213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>Specificity gain (%)</w:t>
            </w:r>
          </w:p>
        </w:tc>
        <w:tc>
          <w:tcPr>
            <w:tcW w:w="213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>Total NRI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5%</w:t>
            </w:r>
          </w:p>
        </w:tc>
        <w:tc>
          <w:tcPr>
            <w:tcW w:w="213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9</w:t>
            </w:r>
          </w:p>
        </w:tc>
        <w:tc>
          <w:tcPr>
            <w:tcW w:w="2131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2131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0.3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0.3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8%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1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.6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9%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1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10%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9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4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7.1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0.165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11%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11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1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5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vertAlign w:val="baseline"/>
              </w:rPr>
              <w:t>5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0.161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12%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11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.2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4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.1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0.15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13%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0.15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14%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0.1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15%</w:t>
            </w:r>
          </w:p>
        </w:tc>
        <w:tc>
          <w:tcPr>
            <w:tcW w:w="2130" w:type="dxa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213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0.1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24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ODY5MGI5ZTdjNmJiZGE3N2Y1YmI0N2E4ZTllMmUifQ=="/>
  </w:docVars>
  <w:rsids>
    <w:rsidRoot w:val="00000000"/>
    <w:rsid w:val="01201C2E"/>
    <w:rsid w:val="0C1C4129"/>
    <w:rsid w:val="0D45403C"/>
    <w:rsid w:val="0E9F22A8"/>
    <w:rsid w:val="0F31799A"/>
    <w:rsid w:val="14131BE4"/>
    <w:rsid w:val="2B650C0F"/>
    <w:rsid w:val="2FF703FB"/>
    <w:rsid w:val="34306A1B"/>
    <w:rsid w:val="347405A6"/>
    <w:rsid w:val="376F478B"/>
    <w:rsid w:val="54760280"/>
    <w:rsid w:val="649F7733"/>
    <w:rsid w:val="67476ADD"/>
    <w:rsid w:val="72CE3587"/>
    <w:rsid w:val="7355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978</Characters>
  <Lines>0</Lines>
  <Paragraphs>0</Paragraphs>
  <TotalTime>1</TotalTime>
  <ScaleCrop>false</ScaleCrop>
  <LinksUpToDate>false</LinksUpToDate>
  <CharactersWithSpaces>1079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2022-10-14T09:23:00Z</dcterms:created>
  <dc:creator>SoraXu</dc:creator>
  <cp:lastModifiedBy>熊天宇</cp:lastModifiedBy>
  <dcterms:modified xsi:type="dcterms:W3CDTF">2022-10-22T12:41:20Z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854F254E4F4A46CEB9D3773B68EC0B4D</vt:lpwstr>
  </property>
</Properties>
</file>