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DC54" w14:textId="77777777" w:rsidR="00657CFB" w:rsidRPr="00DD328C" w:rsidRDefault="00657CFB" w:rsidP="00657CFB">
      <w:pPr>
        <w:spacing w:after="0" w:line="240" w:lineRule="auto"/>
        <w:ind w:left="-270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DD328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Multisite Analysis of Patient Experience Scores and Risk of Hospital Admission: </w:t>
      </w:r>
    </w:p>
    <w:p w14:paraId="7ED67394" w14:textId="77777777" w:rsidR="00657CFB" w:rsidRPr="00DD328C" w:rsidRDefault="00657CFB" w:rsidP="00657CFB">
      <w:pPr>
        <w:spacing w:after="0" w:line="240" w:lineRule="auto"/>
        <w:ind w:left="-270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DD328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A Retrospective Cohort Study</w:t>
      </w:r>
    </w:p>
    <w:p w14:paraId="2D846670" w14:textId="6E560C14" w:rsidR="00813AD4" w:rsidRPr="00A92400" w:rsidRDefault="00813AD4" w:rsidP="00813AD4">
      <w:pPr>
        <w:spacing w:after="0" w:line="240" w:lineRule="auto"/>
        <w:ind w:left="-27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14:paraId="0755BC5E" w14:textId="78F7C1D3" w:rsidR="006D5BC2" w:rsidRPr="00A92400" w:rsidRDefault="006D5BC2" w:rsidP="001F358E">
      <w:pPr>
        <w:spacing w:line="240" w:lineRule="auto"/>
        <w:ind w:left="-27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924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Table of Contents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41"/>
        <w:gridCol w:w="7131"/>
        <w:gridCol w:w="853"/>
      </w:tblGrid>
      <w:tr w:rsidR="00257777" w:rsidRPr="00A92400" w14:paraId="1DF858AD" w14:textId="77777777" w:rsidTr="00140E19">
        <w:tc>
          <w:tcPr>
            <w:tcW w:w="1530" w:type="dxa"/>
            <w:tcBorders>
              <w:right w:val="single" w:sz="4" w:space="0" w:color="auto"/>
            </w:tcBorders>
          </w:tcPr>
          <w:p w14:paraId="14C73650" w14:textId="6D8502D6" w:rsidR="00257777" w:rsidRPr="00A92400" w:rsidRDefault="00257777" w:rsidP="008B026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81237468"/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67E615E6" w14:textId="293942DF" w:rsidR="00257777" w:rsidRPr="00A92400" w:rsidRDefault="00257777" w:rsidP="008B026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900" w:type="dxa"/>
          </w:tcPr>
          <w:p w14:paraId="00E2F5B2" w14:textId="77777777" w:rsidR="00257777" w:rsidRPr="00A92400" w:rsidRDefault="00257777" w:rsidP="00140E1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Page</w:t>
            </w:r>
          </w:p>
        </w:tc>
      </w:tr>
      <w:tr w:rsidR="00257777" w:rsidRPr="00A92400" w14:paraId="7357EE58" w14:textId="77777777" w:rsidTr="00995BA1">
        <w:tc>
          <w:tcPr>
            <w:tcW w:w="1530" w:type="dxa"/>
            <w:tcBorders>
              <w:right w:val="single" w:sz="4" w:space="0" w:color="auto"/>
            </w:tcBorders>
          </w:tcPr>
          <w:p w14:paraId="05E86C9D" w14:textId="7DB563D4" w:rsidR="00257777" w:rsidRPr="00A92400" w:rsidRDefault="00084F06" w:rsidP="0036745A">
            <w:pPr>
              <w:ind w:right="105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Supplemental table </w:t>
            </w:r>
            <w:r w:rsidR="00257777"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4FE916AC" w14:textId="0B21EBD1" w:rsidR="00257777" w:rsidRPr="00A92400" w:rsidRDefault="00657CFB" w:rsidP="008B026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Association of individual patient experience items and 30-day hospital admission</w:t>
            </w:r>
          </w:p>
        </w:tc>
        <w:tc>
          <w:tcPr>
            <w:tcW w:w="900" w:type="dxa"/>
            <w:vAlign w:val="center"/>
          </w:tcPr>
          <w:p w14:paraId="3C17AD16" w14:textId="77F0E306" w:rsidR="00257777" w:rsidRPr="00A92400" w:rsidRDefault="00B87680" w:rsidP="00995BA1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</w:tr>
      <w:tr w:rsidR="00257777" w:rsidRPr="00A92400" w14:paraId="05FB70E6" w14:textId="77777777" w:rsidTr="00995BA1">
        <w:tc>
          <w:tcPr>
            <w:tcW w:w="1530" w:type="dxa"/>
            <w:tcBorders>
              <w:right w:val="single" w:sz="4" w:space="0" w:color="auto"/>
            </w:tcBorders>
          </w:tcPr>
          <w:p w14:paraId="266099CD" w14:textId="32C3A584" w:rsidR="00257777" w:rsidRPr="00A92400" w:rsidRDefault="00084F06" w:rsidP="008B026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Supplemental table </w:t>
            </w:r>
            <w:r w:rsidR="00257777"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0F5F9F81" w14:textId="0F9E2E75" w:rsidR="00257777" w:rsidRPr="00A92400" w:rsidRDefault="00657CFB" w:rsidP="008B026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Association of individual patient experience items and 30-day hospital admission </w:t>
            </w:r>
            <w:r w:rsidR="00232BB4" w:rsidRPr="00A9240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categorized by</w:t>
            </w:r>
            <w:r w:rsidRPr="00A9240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service line</w:t>
            </w:r>
          </w:p>
        </w:tc>
        <w:tc>
          <w:tcPr>
            <w:tcW w:w="900" w:type="dxa"/>
            <w:vAlign w:val="center"/>
          </w:tcPr>
          <w:p w14:paraId="6276E350" w14:textId="5F9AEF35" w:rsidR="00257777" w:rsidRPr="00A92400" w:rsidRDefault="00B87680" w:rsidP="00995BA1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7777" w:rsidRPr="00A92400" w14:paraId="568D87CD" w14:textId="77777777" w:rsidTr="00995BA1">
        <w:tc>
          <w:tcPr>
            <w:tcW w:w="1530" w:type="dxa"/>
            <w:tcBorders>
              <w:right w:val="single" w:sz="4" w:space="0" w:color="auto"/>
            </w:tcBorders>
          </w:tcPr>
          <w:p w14:paraId="061936C8" w14:textId="33E957F9" w:rsidR="00257777" w:rsidRPr="00A92400" w:rsidRDefault="00084F06" w:rsidP="008B026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Supplemental table </w:t>
            </w:r>
            <w:r w:rsidR="00257777"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1A26CC32" w14:textId="26BBF4A9" w:rsidR="00257777" w:rsidRPr="00A92400" w:rsidRDefault="00657CFB" w:rsidP="008B026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Individual patient experience items and 30-day hospital admission </w:t>
            </w:r>
            <w:r w:rsidR="00232BB4" w:rsidRPr="00A9240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categorized by</w:t>
            </w:r>
            <w:r w:rsidRPr="00A9240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Elixhauser comorbidity index</w:t>
            </w:r>
          </w:p>
        </w:tc>
        <w:tc>
          <w:tcPr>
            <w:tcW w:w="900" w:type="dxa"/>
            <w:vAlign w:val="center"/>
          </w:tcPr>
          <w:p w14:paraId="5D746D2F" w14:textId="4DBBBAAA" w:rsidR="00257777" w:rsidRPr="00A92400" w:rsidRDefault="00B87680" w:rsidP="00995BA1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</w:tr>
      <w:tr w:rsidR="00FD59A0" w:rsidRPr="00A92400" w14:paraId="732A6EC0" w14:textId="77777777" w:rsidTr="00995BA1">
        <w:tc>
          <w:tcPr>
            <w:tcW w:w="1530" w:type="dxa"/>
            <w:tcBorders>
              <w:right w:val="single" w:sz="4" w:space="0" w:color="auto"/>
            </w:tcBorders>
          </w:tcPr>
          <w:p w14:paraId="36C9944A" w14:textId="5D7C979C" w:rsidR="00FD59A0" w:rsidRPr="00A92400" w:rsidRDefault="00084F06" w:rsidP="00FD59A0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Supplemental table </w:t>
            </w:r>
            <w:r w:rsidR="00FD59A0"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6E4AB924" w14:textId="5AE7F972" w:rsidR="00FD59A0" w:rsidRPr="00A92400" w:rsidRDefault="00657CFB" w:rsidP="00FD59A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Sensitivity analysis of patient experience and 30-day hospital admission </w:t>
            </w:r>
            <w:r w:rsidR="00232BB4" w:rsidRPr="00A92400">
              <w:rPr>
                <w:rFonts w:asciiTheme="majorBidi" w:hAnsiTheme="majorBidi" w:cstheme="majorBidi"/>
                <w:sz w:val="24"/>
                <w:szCs w:val="24"/>
              </w:rPr>
              <w:t>categorized by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service line</w:t>
            </w:r>
          </w:p>
        </w:tc>
        <w:tc>
          <w:tcPr>
            <w:tcW w:w="900" w:type="dxa"/>
            <w:vAlign w:val="center"/>
          </w:tcPr>
          <w:p w14:paraId="43AD8740" w14:textId="0EC2B423" w:rsidR="00FD59A0" w:rsidRPr="00A92400" w:rsidRDefault="00B87680" w:rsidP="00995BA1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</w:tr>
      <w:bookmarkEnd w:id="0"/>
    </w:tbl>
    <w:p w14:paraId="79D97F34" w14:textId="6099FE87" w:rsidR="00F77BA5" w:rsidRPr="00A92400" w:rsidRDefault="00F77BA5" w:rsidP="00B87680">
      <w:pPr>
        <w:rPr>
          <w:rFonts w:asciiTheme="majorBidi" w:hAnsiTheme="majorBidi" w:cstheme="majorBidi"/>
          <w:b/>
          <w:bCs/>
          <w:sz w:val="24"/>
          <w:szCs w:val="24"/>
        </w:rPr>
        <w:sectPr w:rsidR="00F77BA5" w:rsidRPr="00A92400" w:rsidSect="00CD7559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7C5AFF6" w14:textId="2D4DF2C1" w:rsidR="00657CFB" w:rsidRPr="00A92400" w:rsidRDefault="007F3209" w:rsidP="00A1798F">
      <w:pPr>
        <w:spacing w:line="240" w:lineRule="auto"/>
        <w:ind w:left="-54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9240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Supplemental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Table 1: </w:t>
      </w:r>
      <w:r w:rsidR="00657CFB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Association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of Individual Patient Experience Items </w:t>
      </w:r>
      <w:r w:rsidR="00DD328C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nd 30-Day Hospital </w:t>
      </w:r>
      <w:proofErr w:type="spellStart"/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>Admission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12060" w:type="dxa"/>
        <w:tblInd w:w="-545" w:type="dxa"/>
        <w:tblLook w:val="04A0" w:firstRow="1" w:lastRow="0" w:firstColumn="1" w:lastColumn="0" w:noHBand="0" w:noVBand="1"/>
      </w:tblPr>
      <w:tblGrid>
        <w:gridCol w:w="5670"/>
        <w:gridCol w:w="1980"/>
        <w:gridCol w:w="1170"/>
        <w:gridCol w:w="2070"/>
        <w:gridCol w:w="1170"/>
      </w:tblGrid>
      <w:tr w:rsidR="00657CFB" w:rsidRPr="00A92400" w14:paraId="44E90E56" w14:textId="77777777" w:rsidTr="00231A47">
        <w:tc>
          <w:tcPr>
            <w:tcW w:w="5670" w:type="dxa"/>
            <w:vMerge w:val="restart"/>
            <w:vAlign w:val="center"/>
          </w:tcPr>
          <w:p w14:paraId="65FC4A47" w14:textId="77777777" w:rsidR="00657CFB" w:rsidRPr="00A92400" w:rsidRDefault="00657CFB" w:rsidP="00231A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HCAHPS survey items</w:t>
            </w:r>
          </w:p>
          <w:p w14:paraId="1ABA84CD" w14:textId="54904EAE" w:rsidR="00657CFB" w:rsidRPr="00A92400" w:rsidRDefault="00657CFB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Start"/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proofErr w:type="gramEnd"/>
            <w:r w:rsidR="000552DF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vs un</w:t>
            </w:r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response)</w:t>
            </w:r>
          </w:p>
        </w:tc>
        <w:tc>
          <w:tcPr>
            <w:tcW w:w="6390" w:type="dxa"/>
            <w:gridSpan w:val="4"/>
            <w:vAlign w:val="center"/>
          </w:tcPr>
          <w:p w14:paraId="00855B62" w14:textId="77777777" w:rsidR="00657CFB" w:rsidRPr="00A92400" w:rsidRDefault="00657CFB" w:rsidP="00231A47">
            <w:pPr>
              <w:ind w:left="-104" w:right="-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30-day hospital admission 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after receipt of HCAHPS survey </w:t>
            </w:r>
          </w:p>
          <w:p w14:paraId="170F66D7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by the third-party vendor</w:t>
            </w:r>
          </w:p>
        </w:tc>
      </w:tr>
      <w:tr w:rsidR="00657CFB" w:rsidRPr="00A92400" w14:paraId="318159A0" w14:textId="77777777" w:rsidTr="00231A47">
        <w:tc>
          <w:tcPr>
            <w:tcW w:w="5670" w:type="dxa"/>
            <w:vMerge/>
          </w:tcPr>
          <w:p w14:paraId="3BD7E27B" w14:textId="77777777" w:rsidR="00657CFB" w:rsidRPr="00A92400" w:rsidRDefault="00657CFB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41853C3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Model 1</w:t>
            </w:r>
          </w:p>
        </w:tc>
        <w:tc>
          <w:tcPr>
            <w:tcW w:w="3240" w:type="dxa"/>
            <w:gridSpan w:val="2"/>
            <w:vAlign w:val="center"/>
          </w:tcPr>
          <w:p w14:paraId="145239D5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Model 2</w:t>
            </w:r>
          </w:p>
        </w:tc>
      </w:tr>
      <w:tr w:rsidR="00657CFB" w:rsidRPr="00A92400" w14:paraId="32A783E9" w14:textId="77777777" w:rsidTr="00231A47">
        <w:tc>
          <w:tcPr>
            <w:tcW w:w="5670" w:type="dxa"/>
            <w:vMerge/>
          </w:tcPr>
          <w:p w14:paraId="4A582046" w14:textId="77777777" w:rsidR="00657CFB" w:rsidRPr="00A92400" w:rsidRDefault="00657CFB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1DAEC68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Odds ratio </w:t>
            </w:r>
          </w:p>
          <w:p w14:paraId="36AC167E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(95% CI)</w:t>
            </w:r>
          </w:p>
        </w:tc>
        <w:tc>
          <w:tcPr>
            <w:tcW w:w="1170" w:type="dxa"/>
            <w:vAlign w:val="center"/>
          </w:tcPr>
          <w:p w14:paraId="02E7A8E8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  <w:tc>
          <w:tcPr>
            <w:tcW w:w="2070" w:type="dxa"/>
            <w:vAlign w:val="center"/>
          </w:tcPr>
          <w:p w14:paraId="0C478A8D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Odds ratio </w:t>
            </w:r>
          </w:p>
          <w:p w14:paraId="2F9AF487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(95% CI)</w:t>
            </w:r>
          </w:p>
        </w:tc>
        <w:tc>
          <w:tcPr>
            <w:tcW w:w="1170" w:type="dxa"/>
            <w:vAlign w:val="center"/>
          </w:tcPr>
          <w:p w14:paraId="66A3BD71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</w:tr>
      <w:tr w:rsidR="00657CFB" w:rsidRPr="00A92400" w14:paraId="02F5CB35" w14:textId="77777777" w:rsidTr="00231A47">
        <w:tc>
          <w:tcPr>
            <w:tcW w:w="5670" w:type="dxa"/>
          </w:tcPr>
          <w:p w14:paraId="5F7C5A5C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sz w:val="24"/>
                <w:szCs w:val="24"/>
              </w:rPr>
              <w:t>Composite Measures</w:t>
            </w:r>
          </w:p>
        </w:tc>
        <w:tc>
          <w:tcPr>
            <w:tcW w:w="1980" w:type="dxa"/>
            <w:vAlign w:val="center"/>
          </w:tcPr>
          <w:p w14:paraId="40A357A9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566B8DF" w14:textId="77777777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0CF31FB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7BD4467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7CFB" w:rsidRPr="00A92400" w14:paraId="49472AC3" w14:textId="77777777" w:rsidTr="00231A47">
        <w:tc>
          <w:tcPr>
            <w:tcW w:w="5670" w:type="dxa"/>
          </w:tcPr>
          <w:p w14:paraId="2A81750A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>Communication with Nurses</w:t>
            </w:r>
          </w:p>
        </w:tc>
        <w:tc>
          <w:tcPr>
            <w:tcW w:w="1980" w:type="dxa"/>
            <w:vAlign w:val="center"/>
          </w:tcPr>
          <w:p w14:paraId="4373D0BC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D1B8D72" w14:textId="77777777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50E1D64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98A4A09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7CFB" w:rsidRPr="00A92400" w14:paraId="4EE3C49E" w14:textId="77777777" w:rsidTr="00231A47">
        <w:tc>
          <w:tcPr>
            <w:tcW w:w="5670" w:type="dxa"/>
          </w:tcPr>
          <w:p w14:paraId="4A405F78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Treated with courtesy and respect</w:t>
            </w:r>
          </w:p>
        </w:tc>
        <w:tc>
          <w:tcPr>
            <w:tcW w:w="1980" w:type="dxa"/>
            <w:vAlign w:val="center"/>
          </w:tcPr>
          <w:p w14:paraId="229B5643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0.79 (0.68–0.93)</w:t>
            </w:r>
          </w:p>
        </w:tc>
        <w:tc>
          <w:tcPr>
            <w:tcW w:w="1170" w:type="dxa"/>
            <w:vAlign w:val="center"/>
          </w:tcPr>
          <w:p w14:paraId="3C490FBF" w14:textId="673CB484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2070" w:type="dxa"/>
            <w:vAlign w:val="center"/>
          </w:tcPr>
          <w:p w14:paraId="59EDF032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0.92 (0.78–1.08)</w:t>
            </w:r>
          </w:p>
        </w:tc>
        <w:tc>
          <w:tcPr>
            <w:tcW w:w="1170" w:type="dxa"/>
            <w:vAlign w:val="center"/>
          </w:tcPr>
          <w:p w14:paraId="182497E4" w14:textId="158311A9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.30</w:t>
            </w:r>
          </w:p>
        </w:tc>
      </w:tr>
      <w:tr w:rsidR="00657CFB" w:rsidRPr="00A92400" w14:paraId="6D62D82F" w14:textId="77777777" w:rsidTr="00231A47">
        <w:tc>
          <w:tcPr>
            <w:tcW w:w="5670" w:type="dxa"/>
          </w:tcPr>
          <w:p w14:paraId="12FAC37C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Listened carefully</w:t>
            </w:r>
          </w:p>
        </w:tc>
        <w:tc>
          <w:tcPr>
            <w:tcW w:w="1980" w:type="dxa"/>
            <w:vAlign w:val="center"/>
          </w:tcPr>
          <w:p w14:paraId="392A169B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0.85 (0.75–0.96)</w:t>
            </w:r>
          </w:p>
        </w:tc>
        <w:tc>
          <w:tcPr>
            <w:tcW w:w="1170" w:type="dxa"/>
            <w:vAlign w:val="center"/>
          </w:tcPr>
          <w:p w14:paraId="1EB218BE" w14:textId="248136FB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2070" w:type="dxa"/>
            <w:vAlign w:val="center"/>
          </w:tcPr>
          <w:p w14:paraId="316C0219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0.97 (0.86–1.10)</w:t>
            </w:r>
          </w:p>
        </w:tc>
        <w:tc>
          <w:tcPr>
            <w:tcW w:w="1170" w:type="dxa"/>
            <w:vAlign w:val="center"/>
          </w:tcPr>
          <w:p w14:paraId="17994117" w14:textId="6188B7D2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.64</w:t>
            </w:r>
          </w:p>
        </w:tc>
      </w:tr>
      <w:tr w:rsidR="00657CFB" w:rsidRPr="00A92400" w14:paraId="76B5B637" w14:textId="77777777" w:rsidTr="00231A47">
        <w:tc>
          <w:tcPr>
            <w:tcW w:w="5670" w:type="dxa"/>
          </w:tcPr>
          <w:p w14:paraId="040C7232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Explained things in a way you could understand</w:t>
            </w:r>
          </w:p>
        </w:tc>
        <w:tc>
          <w:tcPr>
            <w:tcW w:w="1980" w:type="dxa"/>
            <w:vAlign w:val="center"/>
          </w:tcPr>
          <w:p w14:paraId="6C85AA06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0.85 (0.75–0.95)</w:t>
            </w:r>
          </w:p>
        </w:tc>
        <w:tc>
          <w:tcPr>
            <w:tcW w:w="1170" w:type="dxa"/>
            <w:vAlign w:val="center"/>
          </w:tcPr>
          <w:p w14:paraId="5ED89B6B" w14:textId="1E962F17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2070" w:type="dxa"/>
            <w:vAlign w:val="center"/>
          </w:tcPr>
          <w:p w14:paraId="36CF3FCC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0.96 (0.85–1.08)</w:t>
            </w:r>
          </w:p>
        </w:tc>
        <w:tc>
          <w:tcPr>
            <w:tcW w:w="1170" w:type="dxa"/>
            <w:vAlign w:val="center"/>
          </w:tcPr>
          <w:p w14:paraId="47CF4C7A" w14:textId="3A78FEBD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.47</w:t>
            </w:r>
          </w:p>
        </w:tc>
      </w:tr>
      <w:tr w:rsidR="00657CFB" w:rsidRPr="00A92400" w14:paraId="6ECC39BF" w14:textId="77777777" w:rsidTr="00231A47">
        <w:tc>
          <w:tcPr>
            <w:tcW w:w="5670" w:type="dxa"/>
          </w:tcPr>
          <w:p w14:paraId="341C4A47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>Communication with Doctors</w:t>
            </w:r>
          </w:p>
        </w:tc>
        <w:tc>
          <w:tcPr>
            <w:tcW w:w="1980" w:type="dxa"/>
            <w:vAlign w:val="center"/>
          </w:tcPr>
          <w:p w14:paraId="3C5A47A8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7BC4E8" w14:textId="77777777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D3DE00F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9C968F4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7CFB" w:rsidRPr="00A92400" w14:paraId="2AB96064" w14:textId="77777777" w:rsidTr="00231A47">
        <w:tc>
          <w:tcPr>
            <w:tcW w:w="5670" w:type="dxa"/>
          </w:tcPr>
          <w:p w14:paraId="2BD03DD0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Treated with courtesy and respect</w:t>
            </w:r>
          </w:p>
        </w:tc>
        <w:tc>
          <w:tcPr>
            <w:tcW w:w="1980" w:type="dxa"/>
            <w:vAlign w:val="center"/>
          </w:tcPr>
          <w:p w14:paraId="6EE01DEA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0.78 (0.66–0.91)</w:t>
            </w:r>
          </w:p>
        </w:tc>
        <w:tc>
          <w:tcPr>
            <w:tcW w:w="1170" w:type="dxa"/>
            <w:vAlign w:val="center"/>
          </w:tcPr>
          <w:p w14:paraId="26E8938B" w14:textId="06741892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2070" w:type="dxa"/>
            <w:vAlign w:val="center"/>
          </w:tcPr>
          <w:p w14:paraId="437106F3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0.96 (0.82–1.13)</w:t>
            </w:r>
          </w:p>
        </w:tc>
        <w:tc>
          <w:tcPr>
            <w:tcW w:w="1170" w:type="dxa"/>
            <w:vAlign w:val="center"/>
          </w:tcPr>
          <w:p w14:paraId="62246EBE" w14:textId="5743D062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.65</w:t>
            </w:r>
          </w:p>
        </w:tc>
      </w:tr>
      <w:tr w:rsidR="00657CFB" w:rsidRPr="00A92400" w14:paraId="51636654" w14:textId="77777777" w:rsidTr="00231A47">
        <w:tc>
          <w:tcPr>
            <w:tcW w:w="5670" w:type="dxa"/>
          </w:tcPr>
          <w:p w14:paraId="24B3AF5A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Listened carefully</w:t>
            </w:r>
          </w:p>
        </w:tc>
        <w:tc>
          <w:tcPr>
            <w:tcW w:w="1980" w:type="dxa"/>
            <w:vAlign w:val="center"/>
          </w:tcPr>
          <w:p w14:paraId="1C5ACD10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0.80 (0.71–0.90)</w:t>
            </w:r>
          </w:p>
        </w:tc>
        <w:tc>
          <w:tcPr>
            <w:tcW w:w="1170" w:type="dxa"/>
            <w:vAlign w:val="center"/>
          </w:tcPr>
          <w:p w14:paraId="6279AF95" w14:textId="464453FB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r w:rsidR="000552DF"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2070" w:type="dxa"/>
            <w:vAlign w:val="center"/>
          </w:tcPr>
          <w:p w14:paraId="7151DFFC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0.97 (0.85–1.10)</w:t>
            </w:r>
          </w:p>
        </w:tc>
        <w:tc>
          <w:tcPr>
            <w:tcW w:w="1170" w:type="dxa"/>
            <w:vAlign w:val="center"/>
          </w:tcPr>
          <w:p w14:paraId="6D0AC639" w14:textId="2371C943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.61</w:t>
            </w:r>
          </w:p>
        </w:tc>
      </w:tr>
      <w:tr w:rsidR="00657CFB" w:rsidRPr="00A92400" w14:paraId="00BEA3C0" w14:textId="77777777" w:rsidTr="00231A47">
        <w:tc>
          <w:tcPr>
            <w:tcW w:w="5670" w:type="dxa"/>
          </w:tcPr>
          <w:p w14:paraId="6D597476" w14:textId="77777777" w:rsidR="00657CFB" w:rsidRPr="00A92400" w:rsidRDefault="00657CFB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Explained things in a way you could understand</w:t>
            </w:r>
          </w:p>
        </w:tc>
        <w:tc>
          <w:tcPr>
            <w:tcW w:w="1980" w:type="dxa"/>
            <w:vAlign w:val="center"/>
          </w:tcPr>
          <w:p w14:paraId="1BD5CBCE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0.80 (0.72–0.90)</w:t>
            </w:r>
          </w:p>
        </w:tc>
        <w:tc>
          <w:tcPr>
            <w:tcW w:w="1170" w:type="dxa"/>
            <w:vAlign w:val="center"/>
          </w:tcPr>
          <w:p w14:paraId="73F857E7" w14:textId="5DA4889B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r w:rsidR="000552DF"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2070" w:type="dxa"/>
            <w:vAlign w:val="center"/>
          </w:tcPr>
          <w:p w14:paraId="1951305B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0.98 (0.87–1.10)</w:t>
            </w:r>
          </w:p>
        </w:tc>
        <w:tc>
          <w:tcPr>
            <w:tcW w:w="1170" w:type="dxa"/>
            <w:vAlign w:val="center"/>
          </w:tcPr>
          <w:p w14:paraId="5AB8DB37" w14:textId="400C00A3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.69</w:t>
            </w:r>
          </w:p>
        </w:tc>
      </w:tr>
      <w:tr w:rsidR="00657CFB" w:rsidRPr="00A92400" w14:paraId="2D054396" w14:textId="77777777" w:rsidTr="00231A47">
        <w:tc>
          <w:tcPr>
            <w:tcW w:w="5670" w:type="dxa"/>
          </w:tcPr>
          <w:p w14:paraId="2C9CBD44" w14:textId="77777777" w:rsidR="00657CFB" w:rsidRPr="00A92400" w:rsidRDefault="00657CFB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Discharge Information</w:t>
            </w:r>
          </w:p>
        </w:tc>
        <w:tc>
          <w:tcPr>
            <w:tcW w:w="1980" w:type="dxa"/>
            <w:vAlign w:val="center"/>
          </w:tcPr>
          <w:p w14:paraId="14159C3E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C17C0E4" w14:textId="77777777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64FBC29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BF26479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7CFB" w:rsidRPr="00A92400" w14:paraId="08F339FF" w14:textId="77777777" w:rsidTr="00231A47">
        <w:tc>
          <w:tcPr>
            <w:tcW w:w="5670" w:type="dxa"/>
          </w:tcPr>
          <w:p w14:paraId="3DFE8BDD" w14:textId="77777777" w:rsidR="00657CFB" w:rsidRPr="00A92400" w:rsidRDefault="00657CFB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Staff discussed help needed after discharge</w:t>
            </w:r>
          </w:p>
        </w:tc>
        <w:tc>
          <w:tcPr>
            <w:tcW w:w="1980" w:type="dxa"/>
            <w:vAlign w:val="center"/>
          </w:tcPr>
          <w:p w14:paraId="694863DE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0.91 (0.77–1.08)</w:t>
            </w:r>
          </w:p>
        </w:tc>
        <w:tc>
          <w:tcPr>
            <w:tcW w:w="1170" w:type="dxa"/>
            <w:vAlign w:val="center"/>
          </w:tcPr>
          <w:p w14:paraId="192C1989" w14:textId="21E471E4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.29</w:t>
            </w:r>
          </w:p>
        </w:tc>
        <w:tc>
          <w:tcPr>
            <w:tcW w:w="2070" w:type="dxa"/>
            <w:vAlign w:val="center"/>
          </w:tcPr>
          <w:p w14:paraId="4BDC6719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1.07 (0.90–1.26)</w:t>
            </w:r>
          </w:p>
        </w:tc>
        <w:tc>
          <w:tcPr>
            <w:tcW w:w="1170" w:type="dxa"/>
            <w:vAlign w:val="center"/>
          </w:tcPr>
          <w:p w14:paraId="616C0B1D" w14:textId="45AC0F80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.46</w:t>
            </w:r>
          </w:p>
        </w:tc>
      </w:tr>
      <w:tr w:rsidR="00657CFB" w:rsidRPr="00A92400" w14:paraId="14E32C63" w14:textId="77777777" w:rsidTr="00231A47">
        <w:tc>
          <w:tcPr>
            <w:tcW w:w="5670" w:type="dxa"/>
          </w:tcPr>
          <w:p w14:paraId="760492AC" w14:textId="77777777" w:rsidR="00657CFB" w:rsidRPr="00A92400" w:rsidRDefault="00657CFB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Received information on symptoms or health problems</w:t>
            </w:r>
          </w:p>
        </w:tc>
        <w:tc>
          <w:tcPr>
            <w:tcW w:w="1980" w:type="dxa"/>
            <w:vAlign w:val="center"/>
          </w:tcPr>
          <w:p w14:paraId="287BC2AD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0.88 (0.73–1.07)</w:t>
            </w:r>
          </w:p>
        </w:tc>
        <w:tc>
          <w:tcPr>
            <w:tcW w:w="1170" w:type="dxa"/>
            <w:vAlign w:val="center"/>
          </w:tcPr>
          <w:p w14:paraId="2EE839CB" w14:textId="5690F6F0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.20</w:t>
            </w:r>
          </w:p>
        </w:tc>
        <w:tc>
          <w:tcPr>
            <w:tcW w:w="2070" w:type="dxa"/>
            <w:vAlign w:val="center"/>
          </w:tcPr>
          <w:p w14:paraId="1DFDFD82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1.10 (0.91–1.33)</w:t>
            </w:r>
          </w:p>
        </w:tc>
        <w:tc>
          <w:tcPr>
            <w:tcW w:w="1170" w:type="dxa"/>
            <w:vAlign w:val="center"/>
          </w:tcPr>
          <w:p w14:paraId="33F3391F" w14:textId="41CCF2C3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.34</w:t>
            </w:r>
          </w:p>
        </w:tc>
      </w:tr>
      <w:tr w:rsidR="00657CFB" w:rsidRPr="00A92400" w14:paraId="02C758C5" w14:textId="77777777" w:rsidTr="00231A47">
        <w:tc>
          <w:tcPr>
            <w:tcW w:w="5670" w:type="dxa"/>
          </w:tcPr>
          <w:p w14:paraId="6A2A886F" w14:textId="77777777" w:rsidR="00657CFB" w:rsidRPr="00A92400" w:rsidRDefault="00657CFB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Care Transition</w:t>
            </w:r>
          </w:p>
        </w:tc>
        <w:tc>
          <w:tcPr>
            <w:tcW w:w="1980" w:type="dxa"/>
            <w:vAlign w:val="center"/>
          </w:tcPr>
          <w:p w14:paraId="7CC10C8C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50B4B3A" w14:textId="77777777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D51A6FE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0803D94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7CFB" w:rsidRPr="00A92400" w14:paraId="7DA87B53" w14:textId="77777777" w:rsidTr="00231A47">
        <w:tc>
          <w:tcPr>
            <w:tcW w:w="5670" w:type="dxa"/>
          </w:tcPr>
          <w:p w14:paraId="34A536BD" w14:textId="77777777" w:rsidR="00657CFB" w:rsidRPr="00A92400" w:rsidRDefault="00657CFB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Staff considered needs after discharge</w:t>
            </w:r>
          </w:p>
        </w:tc>
        <w:tc>
          <w:tcPr>
            <w:tcW w:w="1980" w:type="dxa"/>
            <w:vAlign w:val="center"/>
          </w:tcPr>
          <w:p w14:paraId="4131BAD7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0.92 (0.83–1.01)</w:t>
            </w:r>
          </w:p>
        </w:tc>
        <w:tc>
          <w:tcPr>
            <w:tcW w:w="1170" w:type="dxa"/>
            <w:vAlign w:val="center"/>
          </w:tcPr>
          <w:p w14:paraId="2BD9B435" w14:textId="6D7E609B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.09</w:t>
            </w:r>
          </w:p>
        </w:tc>
        <w:tc>
          <w:tcPr>
            <w:tcW w:w="2070" w:type="dxa"/>
            <w:vAlign w:val="center"/>
          </w:tcPr>
          <w:p w14:paraId="59E31085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1.02 (0.92–1.13)</w:t>
            </w:r>
          </w:p>
        </w:tc>
        <w:tc>
          <w:tcPr>
            <w:tcW w:w="1170" w:type="dxa"/>
            <w:vAlign w:val="center"/>
          </w:tcPr>
          <w:p w14:paraId="76FDB227" w14:textId="02087119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.71</w:t>
            </w:r>
          </w:p>
        </w:tc>
      </w:tr>
      <w:tr w:rsidR="00657CFB" w:rsidRPr="00A92400" w14:paraId="67F87F47" w14:textId="77777777" w:rsidTr="00231A47">
        <w:tc>
          <w:tcPr>
            <w:tcW w:w="5670" w:type="dxa"/>
          </w:tcPr>
          <w:p w14:paraId="4390146A" w14:textId="77777777" w:rsidR="00657CFB" w:rsidRPr="00A92400" w:rsidRDefault="00657CFB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Understood how to manage health </w:t>
            </w:r>
          </w:p>
        </w:tc>
        <w:tc>
          <w:tcPr>
            <w:tcW w:w="1980" w:type="dxa"/>
            <w:vAlign w:val="center"/>
          </w:tcPr>
          <w:p w14:paraId="096C0AB1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0.81 (0.73–0.89)</w:t>
            </w:r>
          </w:p>
        </w:tc>
        <w:tc>
          <w:tcPr>
            <w:tcW w:w="1170" w:type="dxa"/>
            <w:vAlign w:val="center"/>
          </w:tcPr>
          <w:p w14:paraId="10E2D629" w14:textId="1D84BB66" w:rsidR="00657CFB" w:rsidRPr="00A92400" w:rsidRDefault="00657CFB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r w:rsidR="000552DF"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>.001</w:t>
            </w:r>
          </w:p>
        </w:tc>
        <w:tc>
          <w:tcPr>
            <w:tcW w:w="2070" w:type="dxa"/>
            <w:vAlign w:val="center"/>
          </w:tcPr>
          <w:p w14:paraId="693E9CA9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0.91 (0.82–1.01)</w:t>
            </w:r>
          </w:p>
        </w:tc>
        <w:tc>
          <w:tcPr>
            <w:tcW w:w="1170" w:type="dxa"/>
            <w:vAlign w:val="center"/>
          </w:tcPr>
          <w:p w14:paraId="220D0153" w14:textId="46314858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.07</w:t>
            </w:r>
          </w:p>
        </w:tc>
      </w:tr>
      <w:tr w:rsidR="00657CFB" w:rsidRPr="00A92400" w14:paraId="33C9E531" w14:textId="77777777" w:rsidTr="00231A47">
        <w:tc>
          <w:tcPr>
            <w:tcW w:w="5670" w:type="dxa"/>
          </w:tcPr>
          <w:p w14:paraId="4337B47D" w14:textId="77777777" w:rsidR="00657CFB" w:rsidRPr="00A92400" w:rsidRDefault="00657CFB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Clearly understood purpose of medicines</w:t>
            </w:r>
          </w:p>
        </w:tc>
        <w:tc>
          <w:tcPr>
            <w:tcW w:w="1980" w:type="dxa"/>
            <w:vAlign w:val="center"/>
          </w:tcPr>
          <w:p w14:paraId="4B13F640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0.87 (0.79–0.96)</w:t>
            </w:r>
          </w:p>
        </w:tc>
        <w:tc>
          <w:tcPr>
            <w:tcW w:w="1170" w:type="dxa"/>
            <w:vAlign w:val="center"/>
          </w:tcPr>
          <w:p w14:paraId="57DAE318" w14:textId="47BF8280" w:rsidR="00657CFB" w:rsidRPr="00A92400" w:rsidRDefault="000552DF" w:rsidP="00231A47">
            <w:pPr>
              <w:ind w:left="-104" w:right="-10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2070" w:type="dxa"/>
            <w:vAlign w:val="center"/>
          </w:tcPr>
          <w:p w14:paraId="0346F480" w14:textId="77777777" w:rsidR="00657CFB" w:rsidRPr="00A92400" w:rsidRDefault="00657CFB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0.96 (0.86–1.06)</w:t>
            </w:r>
          </w:p>
        </w:tc>
        <w:tc>
          <w:tcPr>
            <w:tcW w:w="1170" w:type="dxa"/>
            <w:vAlign w:val="center"/>
          </w:tcPr>
          <w:p w14:paraId="541E91BD" w14:textId="75032D4A" w:rsidR="00657CFB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7CFB" w:rsidRPr="00A92400">
              <w:rPr>
                <w:rFonts w:asciiTheme="majorBidi" w:hAnsiTheme="majorBidi" w:cstheme="majorBidi"/>
                <w:sz w:val="24"/>
                <w:szCs w:val="24"/>
              </w:rPr>
              <w:t>.39</w:t>
            </w:r>
          </w:p>
        </w:tc>
      </w:tr>
    </w:tbl>
    <w:p w14:paraId="636A5800" w14:textId="77777777" w:rsidR="00657CFB" w:rsidRPr="00A92400" w:rsidRDefault="00657CFB" w:rsidP="007F3209">
      <w:pPr>
        <w:tabs>
          <w:tab w:val="left" w:pos="8820"/>
        </w:tabs>
        <w:spacing w:after="0" w:line="240" w:lineRule="auto"/>
        <w:ind w:left="-540" w:right="162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Odds ratios (95% confidence interval) from logistic regression analysis using model 1 (included age, sex, race, and study site) and model 2 (included model 1 covariates plus service line and Elixhauser comorbidity index). Study sites were Mayo Clinic Arizona, Mayo Clinic Florida, MCHS, and Mayo Clinic Rochester. MCHS is a network that includes 17 hospitals in Minnesota and Wisconsin.</w:t>
      </w:r>
    </w:p>
    <w:p w14:paraId="01BED19E" w14:textId="77777777" w:rsidR="00657CFB" w:rsidRPr="00A92400" w:rsidRDefault="00657CFB" w:rsidP="007F3209">
      <w:pPr>
        <w:spacing w:after="0" w:line="240" w:lineRule="auto"/>
        <w:ind w:left="-540" w:right="-81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A92400">
        <w:rPr>
          <w:rFonts w:asciiTheme="majorBidi" w:hAnsiTheme="majorBidi" w:cstheme="majorBidi"/>
          <w:sz w:val="24"/>
          <w:szCs w:val="24"/>
        </w:rPr>
        <w:t xml:space="preserve">Patients living ≤60 miles of a Mayo Clinic hospital and the HCAHPS survey was received by the third-party vendor ≤60 days after </w:t>
      </w:r>
    </w:p>
    <w:p w14:paraId="107C572B" w14:textId="77777777" w:rsidR="00657CFB" w:rsidRPr="00A92400" w:rsidRDefault="00657CFB" w:rsidP="007F3209">
      <w:pPr>
        <w:spacing w:after="0" w:line="240" w:lineRule="auto"/>
        <w:ind w:left="-540" w:right="-81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hospital discharge. Admission was to any Mayo Clinic hospital ≤30 days after survey was received by the third-party vendor.</w:t>
      </w:r>
    </w:p>
    <w:p w14:paraId="0D28CC04" w14:textId="5A5BA634" w:rsidR="00657CFB" w:rsidRPr="00A92400" w:rsidRDefault="00232BB4" w:rsidP="007F3209">
      <w:pPr>
        <w:spacing w:after="0" w:line="240" w:lineRule="auto"/>
        <w:ind w:left="-540" w:right="-81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Favorable</w:t>
      </w:r>
      <w:r w:rsidR="00657CFB" w:rsidRPr="00A92400">
        <w:rPr>
          <w:rFonts w:asciiTheme="majorBidi" w:hAnsiTheme="majorBidi" w:cstheme="majorBidi"/>
          <w:sz w:val="24"/>
          <w:szCs w:val="24"/>
        </w:rPr>
        <w:t xml:space="preserve"> response indicates the most satisfactory response: always; score of 9 or 10; yes; </w:t>
      </w:r>
      <w:proofErr w:type="gramStart"/>
      <w:r w:rsidR="00657CFB" w:rsidRPr="00A92400">
        <w:rPr>
          <w:rFonts w:asciiTheme="majorBidi" w:hAnsiTheme="majorBidi" w:cstheme="majorBidi"/>
          <w:sz w:val="24"/>
          <w:szCs w:val="24"/>
        </w:rPr>
        <w:t>definitely yes</w:t>
      </w:r>
      <w:proofErr w:type="gramEnd"/>
      <w:r w:rsidR="00657CFB" w:rsidRPr="00A92400">
        <w:rPr>
          <w:rFonts w:asciiTheme="majorBidi" w:hAnsiTheme="majorBidi" w:cstheme="majorBidi"/>
          <w:sz w:val="24"/>
          <w:szCs w:val="24"/>
        </w:rPr>
        <w:t>; strongly agree.</w:t>
      </w:r>
    </w:p>
    <w:p w14:paraId="71277331" w14:textId="77777777" w:rsidR="00657CFB" w:rsidRPr="00A92400" w:rsidRDefault="00657CFB" w:rsidP="007F3209">
      <w:pPr>
        <w:spacing w:after="0" w:line="240" w:lineRule="auto"/>
        <w:ind w:left="-540" w:right="-81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Abbreviations: CI confidence interval; </w:t>
      </w:r>
      <w:r w:rsidRPr="00A924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HCAHPS Hospital Consumer Assessment of Healthcare Providers and Systems; </w:t>
      </w:r>
      <w:r w:rsidRPr="00A92400">
        <w:rPr>
          <w:rFonts w:asciiTheme="majorBidi" w:hAnsiTheme="majorBidi" w:cstheme="majorBidi"/>
          <w:sz w:val="24"/>
          <w:szCs w:val="24"/>
        </w:rPr>
        <w:t xml:space="preserve">MCHS Mayo </w:t>
      </w:r>
    </w:p>
    <w:p w14:paraId="117B126B" w14:textId="77777777" w:rsidR="00657CFB" w:rsidRPr="00A92400" w:rsidRDefault="00657CFB" w:rsidP="007F3209">
      <w:pPr>
        <w:spacing w:after="0" w:line="240" w:lineRule="auto"/>
        <w:ind w:left="-540" w:right="-81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Clinic Health System.</w:t>
      </w:r>
    </w:p>
    <w:p w14:paraId="360DF469" w14:textId="77777777" w:rsidR="00657CFB" w:rsidRPr="00A92400" w:rsidRDefault="00657CFB" w:rsidP="00CD7559">
      <w:pPr>
        <w:ind w:left="-27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924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14:paraId="51C2FCFA" w14:textId="33D79C0D" w:rsidR="007B724F" w:rsidRPr="00A92400" w:rsidRDefault="007F3209" w:rsidP="001F358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9240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Supplemental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Table 2: </w:t>
      </w:r>
      <w:r w:rsidR="007B724F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Association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of Individual Patient Experience Items </w:t>
      </w:r>
      <w:r w:rsidR="00DD328C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nd 30-Day Hospital Admission Categorized </w:t>
      </w:r>
      <w:r w:rsidR="00DD328C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>y Service Line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11785" w:type="dxa"/>
        <w:tblInd w:w="-5" w:type="dxa"/>
        <w:tblLook w:val="04A0" w:firstRow="1" w:lastRow="0" w:firstColumn="1" w:lastColumn="0" w:noHBand="0" w:noVBand="1"/>
      </w:tblPr>
      <w:tblGrid>
        <w:gridCol w:w="5713"/>
        <w:gridCol w:w="1968"/>
        <w:gridCol w:w="1098"/>
        <w:gridCol w:w="1968"/>
        <w:gridCol w:w="1038"/>
      </w:tblGrid>
      <w:tr w:rsidR="007B724F" w:rsidRPr="00A92400" w14:paraId="1B55FEC2" w14:textId="77777777" w:rsidTr="00231A47">
        <w:tc>
          <w:tcPr>
            <w:tcW w:w="5713" w:type="dxa"/>
            <w:vMerge w:val="restart"/>
            <w:vAlign w:val="center"/>
          </w:tcPr>
          <w:p w14:paraId="406FEE58" w14:textId="77777777" w:rsidR="007B724F" w:rsidRPr="00A92400" w:rsidRDefault="007B724F" w:rsidP="00231A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HCAHPS survey items</w:t>
            </w:r>
          </w:p>
          <w:p w14:paraId="2117728C" w14:textId="1ADA02D8" w:rsidR="007B724F" w:rsidRPr="00A92400" w:rsidRDefault="007B724F" w:rsidP="00231A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Start"/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proofErr w:type="gramEnd"/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vs un</w:t>
            </w:r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response)</w:t>
            </w:r>
          </w:p>
        </w:tc>
        <w:tc>
          <w:tcPr>
            <w:tcW w:w="6072" w:type="dxa"/>
            <w:gridSpan w:val="4"/>
          </w:tcPr>
          <w:p w14:paraId="1B9230C4" w14:textId="77777777" w:rsidR="007B724F" w:rsidRPr="00A92400" w:rsidRDefault="007B724F" w:rsidP="00231A47">
            <w:pPr>
              <w:ind w:left="-104" w:right="-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30-day hospital admission 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after receipt of HCAHPS survey </w:t>
            </w:r>
          </w:p>
          <w:p w14:paraId="526582C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by the third-party vendor</w:t>
            </w:r>
          </w:p>
        </w:tc>
      </w:tr>
      <w:tr w:rsidR="007B724F" w:rsidRPr="00A92400" w14:paraId="79F7FAFE" w14:textId="77777777" w:rsidTr="00231A47">
        <w:tc>
          <w:tcPr>
            <w:tcW w:w="5713" w:type="dxa"/>
            <w:vMerge/>
            <w:vAlign w:val="center"/>
          </w:tcPr>
          <w:p w14:paraId="4D1B0762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14:paraId="20F70934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Medical service line</w:t>
            </w:r>
          </w:p>
        </w:tc>
        <w:tc>
          <w:tcPr>
            <w:tcW w:w="3006" w:type="dxa"/>
            <w:gridSpan w:val="2"/>
          </w:tcPr>
          <w:p w14:paraId="4028D81F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Surgical service line</w:t>
            </w:r>
          </w:p>
        </w:tc>
      </w:tr>
      <w:tr w:rsidR="007B724F" w:rsidRPr="00A92400" w14:paraId="631B4883" w14:textId="77777777" w:rsidTr="00231A47">
        <w:tc>
          <w:tcPr>
            <w:tcW w:w="5713" w:type="dxa"/>
            <w:vMerge/>
            <w:vAlign w:val="center"/>
          </w:tcPr>
          <w:p w14:paraId="3964EB65" w14:textId="77777777" w:rsidR="007B724F" w:rsidRPr="00A92400" w:rsidRDefault="007B724F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6FA744C0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Odds ratio</w:t>
            </w:r>
          </w:p>
          <w:p w14:paraId="7F056964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(95% CI)</w:t>
            </w:r>
          </w:p>
        </w:tc>
        <w:tc>
          <w:tcPr>
            <w:tcW w:w="1098" w:type="dxa"/>
            <w:vAlign w:val="center"/>
          </w:tcPr>
          <w:p w14:paraId="0DA9140C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  <w:tc>
          <w:tcPr>
            <w:tcW w:w="1968" w:type="dxa"/>
            <w:vAlign w:val="center"/>
          </w:tcPr>
          <w:p w14:paraId="2A72C76F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Odds ratio</w:t>
            </w:r>
          </w:p>
          <w:p w14:paraId="1059B436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(95% CI)</w:t>
            </w:r>
          </w:p>
        </w:tc>
        <w:tc>
          <w:tcPr>
            <w:tcW w:w="1038" w:type="dxa"/>
            <w:vAlign w:val="center"/>
          </w:tcPr>
          <w:p w14:paraId="5C6328A6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</w:tr>
      <w:tr w:rsidR="007B724F" w:rsidRPr="00A92400" w14:paraId="249DC4E1" w14:textId="77777777" w:rsidTr="00231A47">
        <w:tc>
          <w:tcPr>
            <w:tcW w:w="5713" w:type="dxa"/>
          </w:tcPr>
          <w:p w14:paraId="28B9AC1F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sz w:val="24"/>
                <w:szCs w:val="24"/>
              </w:rPr>
              <w:t>Composite Measures</w:t>
            </w:r>
          </w:p>
        </w:tc>
        <w:tc>
          <w:tcPr>
            <w:tcW w:w="1968" w:type="dxa"/>
          </w:tcPr>
          <w:p w14:paraId="760CF5A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A380F8E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3B9B459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0648742E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24F" w:rsidRPr="00A92400" w14:paraId="32787ADA" w14:textId="77777777" w:rsidTr="00231A47">
        <w:tc>
          <w:tcPr>
            <w:tcW w:w="5713" w:type="dxa"/>
          </w:tcPr>
          <w:p w14:paraId="5396C01B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>Communication with Nurses</w:t>
            </w:r>
          </w:p>
        </w:tc>
        <w:tc>
          <w:tcPr>
            <w:tcW w:w="1968" w:type="dxa"/>
          </w:tcPr>
          <w:p w14:paraId="5954B9E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26BC010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AB3D8B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008CBE98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24F" w:rsidRPr="00A92400" w14:paraId="7166F8D2" w14:textId="77777777" w:rsidTr="00231A47">
        <w:tc>
          <w:tcPr>
            <w:tcW w:w="5713" w:type="dxa"/>
          </w:tcPr>
          <w:p w14:paraId="530DC86C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Treated with courtesy and respect</w:t>
            </w:r>
          </w:p>
        </w:tc>
        <w:tc>
          <w:tcPr>
            <w:tcW w:w="1968" w:type="dxa"/>
          </w:tcPr>
          <w:p w14:paraId="52CECAA9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0.98 (0.80–1.19)</w:t>
            </w:r>
          </w:p>
        </w:tc>
        <w:tc>
          <w:tcPr>
            <w:tcW w:w="1098" w:type="dxa"/>
          </w:tcPr>
          <w:p w14:paraId="62419B72" w14:textId="46CD9949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.81</w:t>
            </w:r>
          </w:p>
        </w:tc>
        <w:tc>
          <w:tcPr>
            <w:tcW w:w="1968" w:type="dxa"/>
          </w:tcPr>
          <w:p w14:paraId="09F54D64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0.83 (0.64–1.08)</w:t>
            </w:r>
          </w:p>
        </w:tc>
        <w:tc>
          <w:tcPr>
            <w:tcW w:w="1038" w:type="dxa"/>
          </w:tcPr>
          <w:p w14:paraId="22A6BB2A" w14:textId="06D735E4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.16</w:t>
            </w:r>
          </w:p>
        </w:tc>
      </w:tr>
      <w:tr w:rsidR="007B724F" w:rsidRPr="00A92400" w14:paraId="67F5C533" w14:textId="77777777" w:rsidTr="00231A47">
        <w:tc>
          <w:tcPr>
            <w:tcW w:w="5713" w:type="dxa"/>
          </w:tcPr>
          <w:p w14:paraId="166483D5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Listened carefully</w:t>
            </w:r>
          </w:p>
        </w:tc>
        <w:tc>
          <w:tcPr>
            <w:tcW w:w="1968" w:type="dxa"/>
          </w:tcPr>
          <w:p w14:paraId="29223974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0.97 (0.83–1.13)</w:t>
            </w:r>
          </w:p>
        </w:tc>
        <w:tc>
          <w:tcPr>
            <w:tcW w:w="1098" w:type="dxa"/>
          </w:tcPr>
          <w:p w14:paraId="2102DE06" w14:textId="2066084F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.69</w:t>
            </w:r>
          </w:p>
        </w:tc>
        <w:tc>
          <w:tcPr>
            <w:tcW w:w="1968" w:type="dxa"/>
          </w:tcPr>
          <w:p w14:paraId="060C5F94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0.98 (0.80–1.21)</w:t>
            </w:r>
          </w:p>
        </w:tc>
        <w:tc>
          <w:tcPr>
            <w:tcW w:w="1038" w:type="dxa"/>
          </w:tcPr>
          <w:p w14:paraId="23BB6A9D" w14:textId="78E83B57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.86</w:t>
            </w:r>
          </w:p>
        </w:tc>
      </w:tr>
      <w:tr w:rsidR="007B724F" w:rsidRPr="00A92400" w14:paraId="1572F31C" w14:textId="77777777" w:rsidTr="00231A47">
        <w:tc>
          <w:tcPr>
            <w:tcW w:w="5713" w:type="dxa"/>
          </w:tcPr>
          <w:p w14:paraId="5A9B3042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Explained things in a way you could understand</w:t>
            </w:r>
          </w:p>
        </w:tc>
        <w:tc>
          <w:tcPr>
            <w:tcW w:w="1968" w:type="dxa"/>
          </w:tcPr>
          <w:p w14:paraId="0E97420D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0.93 (0.81–1.08)</w:t>
            </w:r>
          </w:p>
        </w:tc>
        <w:tc>
          <w:tcPr>
            <w:tcW w:w="1098" w:type="dxa"/>
          </w:tcPr>
          <w:p w14:paraId="5BCD99AE" w14:textId="5BB2EC5C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.33</w:t>
            </w:r>
          </w:p>
        </w:tc>
        <w:tc>
          <w:tcPr>
            <w:tcW w:w="1968" w:type="dxa"/>
          </w:tcPr>
          <w:p w14:paraId="798D8173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1.01 (0.83–1.25)</w:t>
            </w:r>
          </w:p>
        </w:tc>
        <w:tc>
          <w:tcPr>
            <w:tcW w:w="1038" w:type="dxa"/>
          </w:tcPr>
          <w:p w14:paraId="44ABFF6E" w14:textId="48268A84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.89</w:t>
            </w:r>
          </w:p>
        </w:tc>
      </w:tr>
      <w:tr w:rsidR="007B724F" w:rsidRPr="00A92400" w14:paraId="341E929F" w14:textId="77777777" w:rsidTr="00231A47">
        <w:tc>
          <w:tcPr>
            <w:tcW w:w="5713" w:type="dxa"/>
          </w:tcPr>
          <w:p w14:paraId="75E52BF8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Communication with Doctors</w:t>
            </w:r>
          </w:p>
        </w:tc>
        <w:tc>
          <w:tcPr>
            <w:tcW w:w="1968" w:type="dxa"/>
          </w:tcPr>
          <w:p w14:paraId="73D4CF23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61B7045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5AED8F7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FC643A9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24F" w:rsidRPr="00A92400" w14:paraId="60FDAFA1" w14:textId="77777777" w:rsidTr="00231A47">
        <w:tc>
          <w:tcPr>
            <w:tcW w:w="5713" w:type="dxa"/>
          </w:tcPr>
          <w:p w14:paraId="13EBAAA4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Treated with courtesy and respect</w:t>
            </w:r>
          </w:p>
        </w:tc>
        <w:tc>
          <w:tcPr>
            <w:tcW w:w="1968" w:type="dxa"/>
          </w:tcPr>
          <w:p w14:paraId="52FE16FD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1.06 (0.87–1.29)</w:t>
            </w:r>
          </w:p>
        </w:tc>
        <w:tc>
          <w:tcPr>
            <w:tcW w:w="1098" w:type="dxa"/>
          </w:tcPr>
          <w:p w14:paraId="78C4D7B3" w14:textId="46A6313E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.56</w:t>
            </w:r>
          </w:p>
        </w:tc>
        <w:tc>
          <w:tcPr>
            <w:tcW w:w="1968" w:type="dxa"/>
          </w:tcPr>
          <w:p w14:paraId="3293EE88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0.78 (0.59–1.03)</w:t>
            </w:r>
          </w:p>
        </w:tc>
        <w:tc>
          <w:tcPr>
            <w:tcW w:w="1038" w:type="dxa"/>
          </w:tcPr>
          <w:p w14:paraId="70329EA9" w14:textId="0A9D5A37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.07</w:t>
            </w:r>
          </w:p>
        </w:tc>
      </w:tr>
      <w:tr w:rsidR="007B724F" w:rsidRPr="00A92400" w14:paraId="37C733C1" w14:textId="77777777" w:rsidTr="00231A47">
        <w:tc>
          <w:tcPr>
            <w:tcW w:w="5713" w:type="dxa"/>
          </w:tcPr>
          <w:p w14:paraId="7F47A59A" w14:textId="77777777" w:rsidR="007B724F" w:rsidRPr="00A92400" w:rsidRDefault="007B724F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Listened carefully</w:t>
            </w:r>
          </w:p>
        </w:tc>
        <w:tc>
          <w:tcPr>
            <w:tcW w:w="1968" w:type="dxa"/>
          </w:tcPr>
          <w:p w14:paraId="7AA8F748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1.00 (0.86–1.16)</w:t>
            </w:r>
          </w:p>
        </w:tc>
        <w:tc>
          <w:tcPr>
            <w:tcW w:w="1098" w:type="dxa"/>
          </w:tcPr>
          <w:p w14:paraId="3F238C8D" w14:textId="7CD2A583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.95</w:t>
            </w:r>
          </w:p>
        </w:tc>
        <w:tc>
          <w:tcPr>
            <w:tcW w:w="1968" w:type="dxa"/>
          </w:tcPr>
          <w:p w14:paraId="51D3DFC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0.92 (0.73–1.14)</w:t>
            </w:r>
          </w:p>
        </w:tc>
        <w:tc>
          <w:tcPr>
            <w:tcW w:w="1038" w:type="dxa"/>
          </w:tcPr>
          <w:p w14:paraId="483BC37B" w14:textId="35B5188F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.44</w:t>
            </w:r>
          </w:p>
        </w:tc>
      </w:tr>
      <w:tr w:rsidR="007B724F" w:rsidRPr="00A92400" w14:paraId="63AEF63C" w14:textId="77777777" w:rsidTr="00231A47">
        <w:tc>
          <w:tcPr>
            <w:tcW w:w="5713" w:type="dxa"/>
          </w:tcPr>
          <w:p w14:paraId="7019466E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Explained things in a way you could understand</w:t>
            </w:r>
          </w:p>
        </w:tc>
        <w:tc>
          <w:tcPr>
            <w:tcW w:w="1968" w:type="dxa"/>
          </w:tcPr>
          <w:p w14:paraId="14AFE99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0.99 (0.86–1.14)</w:t>
            </w:r>
          </w:p>
        </w:tc>
        <w:tc>
          <w:tcPr>
            <w:tcW w:w="1098" w:type="dxa"/>
          </w:tcPr>
          <w:p w14:paraId="3BA0200A" w14:textId="305F763C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.91</w:t>
            </w:r>
          </w:p>
        </w:tc>
        <w:tc>
          <w:tcPr>
            <w:tcW w:w="1968" w:type="dxa"/>
          </w:tcPr>
          <w:p w14:paraId="08F9FA99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0.95 (0.77–1.17)</w:t>
            </w:r>
          </w:p>
        </w:tc>
        <w:tc>
          <w:tcPr>
            <w:tcW w:w="1038" w:type="dxa"/>
          </w:tcPr>
          <w:p w14:paraId="790F86B0" w14:textId="2B916580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.62</w:t>
            </w:r>
          </w:p>
        </w:tc>
      </w:tr>
      <w:tr w:rsidR="007B724F" w:rsidRPr="00A92400" w14:paraId="4D41387D" w14:textId="77777777" w:rsidTr="00231A47">
        <w:tc>
          <w:tcPr>
            <w:tcW w:w="5713" w:type="dxa"/>
          </w:tcPr>
          <w:p w14:paraId="4A295601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Discharge Information</w:t>
            </w:r>
          </w:p>
        </w:tc>
        <w:tc>
          <w:tcPr>
            <w:tcW w:w="1968" w:type="dxa"/>
          </w:tcPr>
          <w:p w14:paraId="2ED54805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738B19F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502F760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3DD91D2E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24F" w:rsidRPr="00A92400" w14:paraId="264BB5F9" w14:textId="77777777" w:rsidTr="00231A47">
        <w:tc>
          <w:tcPr>
            <w:tcW w:w="5713" w:type="dxa"/>
          </w:tcPr>
          <w:p w14:paraId="5A20F7E3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Staff discussed help needed after discharge</w:t>
            </w:r>
          </w:p>
        </w:tc>
        <w:tc>
          <w:tcPr>
            <w:tcW w:w="1968" w:type="dxa"/>
          </w:tcPr>
          <w:p w14:paraId="3DD2AF8F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1.07 (0.88–1.30)</w:t>
            </w:r>
          </w:p>
        </w:tc>
        <w:tc>
          <w:tcPr>
            <w:tcW w:w="1098" w:type="dxa"/>
          </w:tcPr>
          <w:p w14:paraId="56A5D099" w14:textId="7733DC9A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.49</w:t>
            </w:r>
          </w:p>
        </w:tc>
        <w:tc>
          <w:tcPr>
            <w:tcW w:w="1968" w:type="dxa"/>
          </w:tcPr>
          <w:p w14:paraId="32405AA5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1.09 (0.77–1.56)</w:t>
            </w:r>
          </w:p>
        </w:tc>
        <w:tc>
          <w:tcPr>
            <w:tcW w:w="1038" w:type="dxa"/>
          </w:tcPr>
          <w:p w14:paraId="69E23658" w14:textId="645F9638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.62</w:t>
            </w:r>
          </w:p>
        </w:tc>
      </w:tr>
      <w:tr w:rsidR="007B724F" w:rsidRPr="00A92400" w14:paraId="626B78A7" w14:textId="77777777" w:rsidTr="00231A47">
        <w:tc>
          <w:tcPr>
            <w:tcW w:w="5713" w:type="dxa"/>
          </w:tcPr>
          <w:p w14:paraId="4190C96E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Received information on symptoms or health problems</w:t>
            </w:r>
          </w:p>
        </w:tc>
        <w:tc>
          <w:tcPr>
            <w:tcW w:w="1968" w:type="dxa"/>
          </w:tcPr>
          <w:p w14:paraId="6A8C4EBC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1.23 (0.99–1.53)</w:t>
            </w:r>
          </w:p>
        </w:tc>
        <w:tc>
          <w:tcPr>
            <w:tcW w:w="1098" w:type="dxa"/>
          </w:tcPr>
          <w:p w14:paraId="23B570F8" w14:textId="066161F1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.07</w:t>
            </w:r>
          </w:p>
        </w:tc>
        <w:tc>
          <w:tcPr>
            <w:tcW w:w="1968" w:type="dxa"/>
          </w:tcPr>
          <w:p w14:paraId="02BB9870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0.73 (0.50–1.06)</w:t>
            </w:r>
          </w:p>
        </w:tc>
        <w:tc>
          <w:tcPr>
            <w:tcW w:w="1038" w:type="dxa"/>
          </w:tcPr>
          <w:p w14:paraId="71D3B8F5" w14:textId="25D44465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.10</w:t>
            </w:r>
          </w:p>
        </w:tc>
      </w:tr>
      <w:tr w:rsidR="007B724F" w:rsidRPr="00A92400" w14:paraId="32DAA51D" w14:textId="77777777" w:rsidTr="00231A47">
        <w:tc>
          <w:tcPr>
            <w:tcW w:w="5713" w:type="dxa"/>
          </w:tcPr>
          <w:p w14:paraId="500093EE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Care Transition</w:t>
            </w:r>
          </w:p>
        </w:tc>
        <w:tc>
          <w:tcPr>
            <w:tcW w:w="1968" w:type="dxa"/>
          </w:tcPr>
          <w:p w14:paraId="4137F59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AD488EE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695D05A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C66E7E3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24F" w:rsidRPr="00A92400" w14:paraId="5A65F026" w14:textId="77777777" w:rsidTr="00231A47">
        <w:tc>
          <w:tcPr>
            <w:tcW w:w="5713" w:type="dxa"/>
          </w:tcPr>
          <w:p w14:paraId="08FD257A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Staff considered needs after discharge</w:t>
            </w:r>
          </w:p>
        </w:tc>
        <w:tc>
          <w:tcPr>
            <w:tcW w:w="1968" w:type="dxa"/>
          </w:tcPr>
          <w:p w14:paraId="729367EC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1.03 (0.90–1.16)</w:t>
            </w:r>
          </w:p>
        </w:tc>
        <w:tc>
          <w:tcPr>
            <w:tcW w:w="1098" w:type="dxa"/>
          </w:tcPr>
          <w:p w14:paraId="1C06C831" w14:textId="3734AD9F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.70</w:t>
            </w:r>
          </w:p>
        </w:tc>
        <w:tc>
          <w:tcPr>
            <w:tcW w:w="1968" w:type="dxa"/>
          </w:tcPr>
          <w:p w14:paraId="4B3AB23A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1.02 (0.87–1.21)</w:t>
            </w:r>
          </w:p>
        </w:tc>
        <w:tc>
          <w:tcPr>
            <w:tcW w:w="1038" w:type="dxa"/>
          </w:tcPr>
          <w:p w14:paraId="25D43E47" w14:textId="5E0AD845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.79</w:t>
            </w:r>
          </w:p>
        </w:tc>
      </w:tr>
      <w:tr w:rsidR="007B724F" w:rsidRPr="00A92400" w14:paraId="5E8D170E" w14:textId="77777777" w:rsidTr="00231A47">
        <w:tc>
          <w:tcPr>
            <w:tcW w:w="5713" w:type="dxa"/>
          </w:tcPr>
          <w:p w14:paraId="13BAD127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Understood how to manage health </w:t>
            </w:r>
          </w:p>
        </w:tc>
        <w:tc>
          <w:tcPr>
            <w:tcW w:w="1968" w:type="dxa"/>
          </w:tcPr>
          <w:p w14:paraId="00F67580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0.96 (0.85–1.09)</w:t>
            </w:r>
          </w:p>
        </w:tc>
        <w:tc>
          <w:tcPr>
            <w:tcW w:w="1098" w:type="dxa"/>
          </w:tcPr>
          <w:p w14:paraId="0A06690C" w14:textId="7B9EEF0B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.55</w:t>
            </w:r>
          </w:p>
        </w:tc>
        <w:tc>
          <w:tcPr>
            <w:tcW w:w="1968" w:type="dxa"/>
          </w:tcPr>
          <w:p w14:paraId="32F8B805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0.84 (0.71–0.98)</w:t>
            </w:r>
          </w:p>
        </w:tc>
        <w:tc>
          <w:tcPr>
            <w:tcW w:w="1038" w:type="dxa"/>
          </w:tcPr>
          <w:p w14:paraId="0AB861D0" w14:textId="1F2B2217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</w:tr>
      <w:tr w:rsidR="007B724F" w:rsidRPr="00A92400" w14:paraId="1B608F45" w14:textId="77777777" w:rsidTr="00231A47">
        <w:tc>
          <w:tcPr>
            <w:tcW w:w="5713" w:type="dxa"/>
          </w:tcPr>
          <w:p w14:paraId="65BA55E7" w14:textId="77777777" w:rsidR="007B724F" w:rsidRPr="00A92400" w:rsidRDefault="007B724F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Clearly understood purpose of medicines</w:t>
            </w:r>
          </w:p>
        </w:tc>
        <w:tc>
          <w:tcPr>
            <w:tcW w:w="1968" w:type="dxa"/>
          </w:tcPr>
          <w:p w14:paraId="387E70F6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0.93 (0.82–1.06)</w:t>
            </w:r>
          </w:p>
        </w:tc>
        <w:tc>
          <w:tcPr>
            <w:tcW w:w="1098" w:type="dxa"/>
          </w:tcPr>
          <w:p w14:paraId="65C05260" w14:textId="17902F26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.27</w:t>
            </w:r>
          </w:p>
        </w:tc>
        <w:tc>
          <w:tcPr>
            <w:tcW w:w="1968" w:type="dxa"/>
          </w:tcPr>
          <w:p w14:paraId="1E2511E1" w14:textId="77777777" w:rsidR="007B724F" w:rsidRPr="00A92400" w:rsidRDefault="007B724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1.02 (0.86–1.21)</w:t>
            </w:r>
          </w:p>
        </w:tc>
        <w:tc>
          <w:tcPr>
            <w:tcW w:w="1038" w:type="dxa"/>
          </w:tcPr>
          <w:p w14:paraId="0F2BB8E3" w14:textId="67275A61" w:rsidR="007B724F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B724F" w:rsidRPr="00A92400">
              <w:rPr>
                <w:rFonts w:asciiTheme="majorBidi" w:hAnsiTheme="majorBidi" w:cstheme="majorBidi"/>
                <w:sz w:val="24"/>
                <w:szCs w:val="24"/>
              </w:rPr>
              <w:t>.79</w:t>
            </w:r>
          </w:p>
        </w:tc>
      </w:tr>
    </w:tbl>
    <w:p w14:paraId="62650363" w14:textId="77777777" w:rsidR="007B724F" w:rsidRPr="00A92400" w:rsidRDefault="007B724F" w:rsidP="007B724F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Odds ratio (95% confidence interval) from logistic regression analysis using model 2 (included age, sex, race, study site, </w:t>
      </w:r>
    </w:p>
    <w:p w14:paraId="583FC514" w14:textId="77777777" w:rsidR="007B724F" w:rsidRPr="00A92400" w:rsidRDefault="007B724F" w:rsidP="007B724F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and Elixhauser comorbidity index). Study sites were Mayo Clinic Arizona, Mayo Clinic Florida, MCHS, and Mayo Clinic Rochester. </w:t>
      </w:r>
    </w:p>
    <w:p w14:paraId="2178817C" w14:textId="77777777" w:rsidR="007B724F" w:rsidRPr="00A92400" w:rsidRDefault="007B724F" w:rsidP="007B724F">
      <w:pPr>
        <w:spacing w:after="0" w:line="240" w:lineRule="auto"/>
        <w:ind w:right="-117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MCHS is a network that includes 17 hospitals in Minnesota and Wisconsin.</w:t>
      </w:r>
    </w:p>
    <w:p w14:paraId="270C3722" w14:textId="77777777" w:rsidR="007B724F" w:rsidRPr="00A92400" w:rsidRDefault="007B724F" w:rsidP="007B724F">
      <w:pPr>
        <w:spacing w:after="0" w:line="240" w:lineRule="auto"/>
        <w:ind w:right="-63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A92400">
        <w:rPr>
          <w:rFonts w:asciiTheme="majorBidi" w:hAnsiTheme="majorBidi" w:cstheme="majorBidi"/>
          <w:sz w:val="24"/>
          <w:szCs w:val="24"/>
        </w:rPr>
        <w:t xml:space="preserve">Patients living ≤60 miles of a Mayo Clinic hospital and the HCAHPS survey was received by the third-party vendor ≤60 days </w:t>
      </w:r>
    </w:p>
    <w:p w14:paraId="1AABD8F6" w14:textId="77777777" w:rsidR="007B724F" w:rsidRPr="00A92400" w:rsidRDefault="007B724F" w:rsidP="007B724F">
      <w:pPr>
        <w:spacing w:after="0" w:line="240" w:lineRule="auto"/>
        <w:ind w:right="-63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after hospital discharge. Admission was to any Mayo Clinic hospital ≤30 days after survey was received by the third-party vendor.</w:t>
      </w:r>
    </w:p>
    <w:p w14:paraId="4DAF2564" w14:textId="313A7A68" w:rsidR="007B724F" w:rsidRPr="00A92400" w:rsidRDefault="00232BB4" w:rsidP="007B724F">
      <w:pPr>
        <w:spacing w:after="0" w:line="240" w:lineRule="auto"/>
        <w:ind w:right="-63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Favorable</w:t>
      </w:r>
      <w:r w:rsidR="007B724F" w:rsidRPr="00A92400">
        <w:rPr>
          <w:rFonts w:asciiTheme="majorBidi" w:hAnsiTheme="majorBidi" w:cstheme="majorBidi"/>
          <w:sz w:val="24"/>
          <w:szCs w:val="24"/>
        </w:rPr>
        <w:t xml:space="preserve"> response indicates the most satisfactory response: always; score of 9 or 10; yes; </w:t>
      </w:r>
      <w:proofErr w:type="gramStart"/>
      <w:r w:rsidR="007B724F" w:rsidRPr="00A92400">
        <w:rPr>
          <w:rFonts w:asciiTheme="majorBidi" w:hAnsiTheme="majorBidi" w:cstheme="majorBidi"/>
          <w:sz w:val="24"/>
          <w:szCs w:val="24"/>
        </w:rPr>
        <w:t>definitely yes</w:t>
      </w:r>
      <w:proofErr w:type="gramEnd"/>
      <w:r w:rsidR="007B724F" w:rsidRPr="00A92400">
        <w:rPr>
          <w:rFonts w:asciiTheme="majorBidi" w:hAnsiTheme="majorBidi" w:cstheme="majorBidi"/>
          <w:sz w:val="24"/>
          <w:szCs w:val="24"/>
        </w:rPr>
        <w:t>; strongly agree.</w:t>
      </w:r>
    </w:p>
    <w:p w14:paraId="533A46DE" w14:textId="77777777" w:rsidR="007B724F" w:rsidRPr="00A92400" w:rsidRDefault="007B724F" w:rsidP="007B724F">
      <w:pPr>
        <w:spacing w:after="0" w:line="240" w:lineRule="auto"/>
        <w:ind w:right="-81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Abbreviations: CI confidence interval; </w:t>
      </w:r>
      <w:r w:rsidRPr="00A924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HCAHPS Hospital Consumer Assessment of Healthcare Providers and </w:t>
      </w:r>
      <w:proofErr w:type="gramStart"/>
      <w:r w:rsidRPr="00A92400">
        <w:rPr>
          <w:rFonts w:asciiTheme="majorBidi" w:eastAsia="Times New Roman" w:hAnsiTheme="majorBidi" w:cstheme="majorBidi"/>
          <w:color w:val="000000"/>
          <w:sz w:val="24"/>
          <w:szCs w:val="24"/>
        </w:rPr>
        <w:t>Systems;</w:t>
      </w:r>
      <w:proofErr w:type="gramEnd"/>
      <w:r w:rsidRPr="00A924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7DBD8ECF" w14:textId="77777777" w:rsidR="007B724F" w:rsidRPr="00A92400" w:rsidRDefault="007B724F" w:rsidP="007B724F">
      <w:pPr>
        <w:spacing w:after="0" w:line="240" w:lineRule="auto"/>
        <w:ind w:right="-81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MCHS Mayo Clinic Health System.</w:t>
      </w:r>
    </w:p>
    <w:p w14:paraId="76B2F714" w14:textId="77777777" w:rsidR="007B724F" w:rsidRPr="00A92400" w:rsidRDefault="007B724F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924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 w:type="page"/>
      </w:r>
    </w:p>
    <w:p w14:paraId="7D48886C" w14:textId="75A92F1D" w:rsidR="001F3772" w:rsidRPr="00A92400" w:rsidRDefault="007F3209" w:rsidP="007F3209">
      <w:pPr>
        <w:spacing w:line="240" w:lineRule="auto"/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 w:rsidRPr="00A9240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Supplemental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Table 3: </w:t>
      </w:r>
      <w:r w:rsidR="001F3772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Individual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Patient Experience Items </w:t>
      </w:r>
      <w:r w:rsidR="00DD328C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nd 30-Day Hospital Admission Categorized </w:t>
      </w:r>
      <w:r w:rsidR="00DD328C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y </w:t>
      </w:r>
      <w:r w:rsidR="001F3772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Elixhauser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Comorbidity </w:t>
      </w:r>
      <w:proofErr w:type="spellStart"/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>Index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14490" w:type="dxa"/>
        <w:tblInd w:w="-545" w:type="dxa"/>
        <w:tblLook w:val="04A0" w:firstRow="1" w:lastRow="0" w:firstColumn="1" w:lastColumn="0" w:noHBand="0" w:noVBand="1"/>
      </w:tblPr>
      <w:tblGrid>
        <w:gridCol w:w="5626"/>
        <w:gridCol w:w="1878"/>
        <w:gridCol w:w="1080"/>
        <w:gridCol w:w="1878"/>
        <w:gridCol w:w="968"/>
        <w:gridCol w:w="1925"/>
        <w:gridCol w:w="1135"/>
      </w:tblGrid>
      <w:tr w:rsidR="001F3772" w:rsidRPr="00A92400" w14:paraId="368E2761" w14:textId="77777777" w:rsidTr="00231A47">
        <w:tc>
          <w:tcPr>
            <w:tcW w:w="5626" w:type="dxa"/>
            <w:vMerge w:val="restart"/>
            <w:vAlign w:val="center"/>
          </w:tcPr>
          <w:p w14:paraId="6DEBF9B9" w14:textId="2445DB3F" w:rsidR="001F3772" w:rsidRPr="00A92400" w:rsidRDefault="001F3772" w:rsidP="00231A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HCAHPS survey items</w:t>
            </w:r>
          </w:p>
          <w:p w14:paraId="62A6806F" w14:textId="54AFB941" w:rsidR="001F3772" w:rsidRPr="00A92400" w:rsidRDefault="001F3772" w:rsidP="00231A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Start"/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proofErr w:type="gramEnd"/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vs un</w:t>
            </w:r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response)</w:t>
            </w:r>
          </w:p>
        </w:tc>
        <w:tc>
          <w:tcPr>
            <w:tcW w:w="8864" w:type="dxa"/>
            <w:gridSpan w:val="6"/>
          </w:tcPr>
          <w:p w14:paraId="2899FD10" w14:textId="77777777" w:rsidR="001F3772" w:rsidRPr="00A92400" w:rsidRDefault="001F3772" w:rsidP="00231A47">
            <w:pPr>
              <w:ind w:left="-104" w:right="-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30-day hospital admission 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after receipt of HCAHPS survey by the third-party vendor</w:t>
            </w:r>
          </w:p>
        </w:tc>
      </w:tr>
      <w:tr w:rsidR="001F3772" w:rsidRPr="00A92400" w14:paraId="7C7062C3" w14:textId="77777777" w:rsidTr="00231A47">
        <w:tc>
          <w:tcPr>
            <w:tcW w:w="5626" w:type="dxa"/>
            <w:vMerge/>
            <w:vAlign w:val="center"/>
          </w:tcPr>
          <w:p w14:paraId="6461BADA" w14:textId="18E03F60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64" w:type="dxa"/>
            <w:gridSpan w:val="6"/>
          </w:tcPr>
          <w:p w14:paraId="144A2B6B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Elixhauser comorbidity index</w:t>
            </w:r>
          </w:p>
        </w:tc>
      </w:tr>
      <w:tr w:rsidR="001F3772" w:rsidRPr="00A92400" w14:paraId="35127C3B" w14:textId="77777777" w:rsidTr="00231A47">
        <w:tc>
          <w:tcPr>
            <w:tcW w:w="5626" w:type="dxa"/>
            <w:vMerge/>
            <w:vAlign w:val="center"/>
          </w:tcPr>
          <w:p w14:paraId="7E89CA32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14:paraId="071EEE02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Lower tertile</w:t>
            </w:r>
          </w:p>
        </w:tc>
        <w:tc>
          <w:tcPr>
            <w:tcW w:w="2846" w:type="dxa"/>
            <w:gridSpan w:val="2"/>
          </w:tcPr>
          <w:p w14:paraId="489D705C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Middle tertile</w:t>
            </w:r>
          </w:p>
        </w:tc>
        <w:tc>
          <w:tcPr>
            <w:tcW w:w="3060" w:type="dxa"/>
            <w:gridSpan w:val="2"/>
          </w:tcPr>
          <w:p w14:paraId="5AEC44A6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Upper tertile</w:t>
            </w:r>
          </w:p>
        </w:tc>
      </w:tr>
      <w:tr w:rsidR="001F3772" w:rsidRPr="00A92400" w14:paraId="05A9E3A3" w14:textId="77777777" w:rsidTr="00231A47">
        <w:tc>
          <w:tcPr>
            <w:tcW w:w="5626" w:type="dxa"/>
            <w:vMerge/>
            <w:vAlign w:val="center"/>
          </w:tcPr>
          <w:p w14:paraId="2134BACD" w14:textId="77777777" w:rsidR="001F3772" w:rsidRPr="00A92400" w:rsidRDefault="001F3772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7EEF1C5E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OR (95% CI)</w:t>
            </w:r>
          </w:p>
        </w:tc>
        <w:tc>
          <w:tcPr>
            <w:tcW w:w="1080" w:type="dxa"/>
            <w:vAlign w:val="center"/>
          </w:tcPr>
          <w:p w14:paraId="36203072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  <w:tc>
          <w:tcPr>
            <w:tcW w:w="1878" w:type="dxa"/>
            <w:vAlign w:val="center"/>
          </w:tcPr>
          <w:p w14:paraId="0BEF4748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OR (95% CI)</w:t>
            </w:r>
          </w:p>
        </w:tc>
        <w:tc>
          <w:tcPr>
            <w:tcW w:w="968" w:type="dxa"/>
            <w:vAlign w:val="center"/>
          </w:tcPr>
          <w:p w14:paraId="758E3BAB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  <w:tc>
          <w:tcPr>
            <w:tcW w:w="1925" w:type="dxa"/>
            <w:vAlign w:val="center"/>
          </w:tcPr>
          <w:p w14:paraId="6C93F6E5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OR (95% CI)</w:t>
            </w:r>
          </w:p>
        </w:tc>
        <w:tc>
          <w:tcPr>
            <w:tcW w:w="1135" w:type="dxa"/>
            <w:vAlign w:val="center"/>
          </w:tcPr>
          <w:p w14:paraId="03739F10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</w:tr>
      <w:tr w:rsidR="001F3772" w:rsidRPr="00A92400" w14:paraId="3253075B" w14:textId="77777777" w:rsidTr="00231A47">
        <w:tc>
          <w:tcPr>
            <w:tcW w:w="5626" w:type="dxa"/>
          </w:tcPr>
          <w:p w14:paraId="618E87E1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sz w:val="24"/>
                <w:szCs w:val="24"/>
              </w:rPr>
              <w:t>Composite Measures</w:t>
            </w:r>
          </w:p>
        </w:tc>
        <w:tc>
          <w:tcPr>
            <w:tcW w:w="1878" w:type="dxa"/>
            <w:vAlign w:val="center"/>
          </w:tcPr>
          <w:p w14:paraId="33FFAE43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CD0CEA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3F755F46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14D4DA6C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44CC1A7B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520B1D4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</w:tr>
      <w:tr w:rsidR="001F3772" w:rsidRPr="00A92400" w14:paraId="031AF171" w14:textId="77777777" w:rsidTr="00231A47">
        <w:tc>
          <w:tcPr>
            <w:tcW w:w="5626" w:type="dxa"/>
          </w:tcPr>
          <w:p w14:paraId="364DF2C5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>Communication with Nurses</w:t>
            </w:r>
          </w:p>
        </w:tc>
        <w:tc>
          <w:tcPr>
            <w:tcW w:w="1878" w:type="dxa"/>
            <w:vAlign w:val="center"/>
          </w:tcPr>
          <w:p w14:paraId="676738B2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F6E94A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0460B9EB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0DC90D91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751A390E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A0BD5EF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</w:tr>
      <w:tr w:rsidR="001F3772" w:rsidRPr="00A92400" w14:paraId="6242509D" w14:textId="77777777" w:rsidTr="00231A47">
        <w:tc>
          <w:tcPr>
            <w:tcW w:w="5626" w:type="dxa"/>
          </w:tcPr>
          <w:p w14:paraId="3BAD37B2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Treated with courtesy and respect</w:t>
            </w:r>
          </w:p>
        </w:tc>
        <w:tc>
          <w:tcPr>
            <w:tcW w:w="1878" w:type="dxa"/>
            <w:vAlign w:val="center"/>
          </w:tcPr>
          <w:p w14:paraId="7F3E719E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1.23 (0.80–1.91)</w:t>
            </w:r>
          </w:p>
        </w:tc>
        <w:tc>
          <w:tcPr>
            <w:tcW w:w="1080" w:type="dxa"/>
            <w:vAlign w:val="center"/>
          </w:tcPr>
          <w:p w14:paraId="1999B5F5" w14:textId="0A27BD4D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.35</w:t>
            </w:r>
          </w:p>
        </w:tc>
        <w:tc>
          <w:tcPr>
            <w:tcW w:w="1878" w:type="dxa"/>
            <w:vAlign w:val="center"/>
          </w:tcPr>
          <w:p w14:paraId="38E63FB6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1.01 (0.69–1.48)</w:t>
            </w:r>
          </w:p>
        </w:tc>
        <w:tc>
          <w:tcPr>
            <w:tcW w:w="968" w:type="dxa"/>
            <w:vAlign w:val="center"/>
          </w:tcPr>
          <w:p w14:paraId="7426FC6F" w14:textId="547AF690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.97</w:t>
            </w:r>
          </w:p>
        </w:tc>
        <w:tc>
          <w:tcPr>
            <w:tcW w:w="1925" w:type="dxa"/>
            <w:vAlign w:val="center"/>
          </w:tcPr>
          <w:p w14:paraId="16AF2DEE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0.79 (0.65–0.96)</w:t>
            </w:r>
          </w:p>
        </w:tc>
        <w:tc>
          <w:tcPr>
            <w:tcW w:w="1135" w:type="dxa"/>
            <w:vAlign w:val="center"/>
          </w:tcPr>
          <w:p w14:paraId="5981C3D3" w14:textId="2DD6CBEE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.02</w:t>
            </w:r>
          </w:p>
        </w:tc>
      </w:tr>
      <w:tr w:rsidR="001F3772" w:rsidRPr="00A92400" w14:paraId="7F1089A1" w14:textId="77777777" w:rsidTr="00231A47">
        <w:tc>
          <w:tcPr>
            <w:tcW w:w="5626" w:type="dxa"/>
          </w:tcPr>
          <w:p w14:paraId="251B8482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Listened carefully</w:t>
            </w:r>
          </w:p>
        </w:tc>
        <w:tc>
          <w:tcPr>
            <w:tcW w:w="1878" w:type="dxa"/>
            <w:vAlign w:val="center"/>
          </w:tcPr>
          <w:p w14:paraId="2BB7312A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1.42 (1.02–1.99)</w:t>
            </w:r>
          </w:p>
        </w:tc>
        <w:tc>
          <w:tcPr>
            <w:tcW w:w="1080" w:type="dxa"/>
            <w:vAlign w:val="center"/>
          </w:tcPr>
          <w:p w14:paraId="2DE5EC1B" w14:textId="49516074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.04</w:t>
            </w:r>
          </w:p>
        </w:tc>
        <w:tc>
          <w:tcPr>
            <w:tcW w:w="1878" w:type="dxa"/>
            <w:vAlign w:val="center"/>
          </w:tcPr>
          <w:p w14:paraId="689F8519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0.86 (0.66–1.11)</w:t>
            </w:r>
          </w:p>
        </w:tc>
        <w:tc>
          <w:tcPr>
            <w:tcW w:w="968" w:type="dxa"/>
            <w:vAlign w:val="center"/>
          </w:tcPr>
          <w:p w14:paraId="4AC20040" w14:textId="4DC8ED76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.24</w:t>
            </w:r>
          </w:p>
        </w:tc>
        <w:tc>
          <w:tcPr>
            <w:tcW w:w="1925" w:type="dxa"/>
            <w:vAlign w:val="center"/>
          </w:tcPr>
          <w:p w14:paraId="0F906DDF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0.88 (0.76–1.03)</w:t>
            </w:r>
          </w:p>
        </w:tc>
        <w:tc>
          <w:tcPr>
            <w:tcW w:w="1135" w:type="dxa"/>
            <w:vAlign w:val="center"/>
          </w:tcPr>
          <w:p w14:paraId="32D3B697" w14:textId="71871B59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.10</w:t>
            </w:r>
          </w:p>
        </w:tc>
      </w:tr>
      <w:tr w:rsidR="001F3772" w:rsidRPr="00A92400" w14:paraId="56574F29" w14:textId="77777777" w:rsidTr="00231A47">
        <w:tc>
          <w:tcPr>
            <w:tcW w:w="5626" w:type="dxa"/>
          </w:tcPr>
          <w:p w14:paraId="387CF055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Explained things in a way you could understand</w:t>
            </w:r>
          </w:p>
        </w:tc>
        <w:tc>
          <w:tcPr>
            <w:tcW w:w="1878" w:type="dxa"/>
            <w:vAlign w:val="center"/>
          </w:tcPr>
          <w:p w14:paraId="2C1CB6AF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0.99 (0.74–1.31)</w:t>
            </w:r>
          </w:p>
        </w:tc>
        <w:tc>
          <w:tcPr>
            <w:tcW w:w="1080" w:type="dxa"/>
            <w:vAlign w:val="center"/>
          </w:tcPr>
          <w:p w14:paraId="64992E30" w14:textId="0E3604E8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.92</w:t>
            </w:r>
          </w:p>
        </w:tc>
        <w:tc>
          <w:tcPr>
            <w:tcW w:w="1878" w:type="dxa"/>
            <w:vAlign w:val="center"/>
          </w:tcPr>
          <w:p w14:paraId="638DE6BD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0.97 (0.75–1.25)</w:t>
            </w:r>
          </w:p>
        </w:tc>
        <w:tc>
          <w:tcPr>
            <w:tcW w:w="968" w:type="dxa"/>
            <w:vAlign w:val="center"/>
          </w:tcPr>
          <w:p w14:paraId="55D9D1CD" w14:textId="451AE9F0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.80</w:t>
            </w:r>
          </w:p>
        </w:tc>
        <w:tc>
          <w:tcPr>
            <w:tcW w:w="1925" w:type="dxa"/>
            <w:vAlign w:val="center"/>
          </w:tcPr>
          <w:p w14:paraId="205289F4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0.92 (0.79–1.06)</w:t>
            </w:r>
          </w:p>
        </w:tc>
        <w:tc>
          <w:tcPr>
            <w:tcW w:w="1135" w:type="dxa"/>
            <w:vAlign w:val="center"/>
          </w:tcPr>
          <w:p w14:paraId="19831F5F" w14:textId="667FD4A3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.26</w:t>
            </w:r>
          </w:p>
        </w:tc>
      </w:tr>
      <w:tr w:rsidR="001F3772" w:rsidRPr="00A92400" w14:paraId="4257CBAB" w14:textId="77777777" w:rsidTr="00231A47">
        <w:tc>
          <w:tcPr>
            <w:tcW w:w="5626" w:type="dxa"/>
          </w:tcPr>
          <w:p w14:paraId="6E84B4F4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>Communication with Doctors</w:t>
            </w:r>
          </w:p>
        </w:tc>
        <w:tc>
          <w:tcPr>
            <w:tcW w:w="1878" w:type="dxa"/>
            <w:vAlign w:val="center"/>
          </w:tcPr>
          <w:p w14:paraId="741EE568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053AEDB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0567ECF1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7EF983CF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4542871F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44691E5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</w:tr>
      <w:tr w:rsidR="001F3772" w:rsidRPr="00A92400" w14:paraId="247844D1" w14:textId="77777777" w:rsidTr="00231A47">
        <w:tc>
          <w:tcPr>
            <w:tcW w:w="5626" w:type="dxa"/>
          </w:tcPr>
          <w:p w14:paraId="3D2D31EB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Treated with courtesy and respect</w:t>
            </w:r>
          </w:p>
        </w:tc>
        <w:tc>
          <w:tcPr>
            <w:tcW w:w="1878" w:type="dxa"/>
            <w:vAlign w:val="center"/>
          </w:tcPr>
          <w:p w14:paraId="09E0D333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1.05 (0.70–1.57)</w:t>
            </w:r>
          </w:p>
        </w:tc>
        <w:tc>
          <w:tcPr>
            <w:tcW w:w="1080" w:type="dxa"/>
            <w:vAlign w:val="center"/>
          </w:tcPr>
          <w:p w14:paraId="1113024E" w14:textId="62A6A765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.83</w:t>
            </w:r>
          </w:p>
        </w:tc>
        <w:tc>
          <w:tcPr>
            <w:tcW w:w="1878" w:type="dxa"/>
            <w:vAlign w:val="center"/>
          </w:tcPr>
          <w:p w14:paraId="214C1559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0.89 (0.63–1.24)</w:t>
            </w:r>
          </w:p>
        </w:tc>
        <w:tc>
          <w:tcPr>
            <w:tcW w:w="968" w:type="dxa"/>
            <w:vAlign w:val="center"/>
          </w:tcPr>
          <w:p w14:paraId="7EDBB4D8" w14:textId="28DA86B8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.48</w:t>
            </w:r>
          </w:p>
        </w:tc>
        <w:tc>
          <w:tcPr>
            <w:tcW w:w="1925" w:type="dxa"/>
            <w:vAlign w:val="center"/>
          </w:tcPr>
          <w:p w14:paraId="4DB5C78A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0.94 (0.77–1.14)</w:t>
            </w:r>
          </w:p>
        </w:tc>
        <w:tc>
          <w:tcPr>
            <w:tcW w:w="1135" w:type="dxa"/>
            <w:vAlign w:val="center"/>
          </w:tcPr>
          <w:p w14:paraId="51B4E9C0" w14:textId="286853C8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.52</w:t>
            </w:r>
          </w:p>
        </w:tc>
      </w:tr>
      <w:tr w:rsidR="001F3772" w:rsidRPr="00A92400" w14:paraId="422300C8" w14:textId="77777777" w:rsidTr="00231A47">
        <w:tc>
          <w:tcPr>
            <w:tcW w:w="5626" w:type="dxa"/>
          </w:tcPr>
          <w:p w14:paraId="34F4C624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Listened carefully</w:t>
            </w:r>
          </w:p>
        </w:tc>
        <w:tc>
          <w:tcPr>
            <w:tcW w:w="1878" w:type="dxa"/>
            <w:vAlign w:val="center"/>
          </w:tcPr>
          <w:p w14:paraId="2D62201B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0.93 (0.69–1.26)</w:t>
            </w:r>
          </w:p>
        </w:tc>
        <w:tc>
          <w:tcPr>
            <w:tcW w:w="1080" w:type="dxa"/>
            <w:vAlign w:val="center"/>
          </w:tcPr>
          <w:p w14:paraId="28767B29" w14:textId="1308692A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.65</w:t>
            </w:r>
          </w:p>
        </w:tc>
        <w:tc>
          <w:tcPr>
            <w:tcW w:w="1878" w:type="dxa"/>
            <w:vAlign w:val="center"/>
          </w:tcPr>
          <w:p w14:paraId="645F9515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1.00 (0.76–1.31)</w:t>
            </w:r>
          </w:p>
        </w:tc>
        <w:tc>
          <w:tcPr>
            <w:tcW w:w="968" w:type="dxa"/>
            <w:vAlign w:val="center"/>
          </w:tcPr>
          <w:p w14:paraId="41E72184" w14:textId="713A9276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.97</w:t>
            </w:r>
          </w:p>
        </w:tc>
        <w:tc>
          <w:tcPr>
            <w:tcW w:w="1925" w:type="dxa"/>
            <w:vAlign w:val="center"/>
          </w:tcPr>
          <w:p w14:paraId="5AFDAB74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0.93 (0.79–1.09)</w:t>
            </w:r>
          </w:p>
        </w:tc>
        <w:tc>
          <w:tcPr>
            <w:tcW w:w="1135" w:type="dxa"/>
            <w:vAlign w:val="center"/>
          </w:tcPr>
          <w:p w14:paraId="50A76D90" w14:textId="2A6A2342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.34</w:t>
            </w:r>
          </w:p>
        </w:tc>
      </w:tr>
      <w:tr w:rsidR="001F3772" w:rsidRPr="00A92400" w14:paraId="32D1DF23" w14:textId="77777777" w:rsidTr="00231A47">
        <w:tc>
          <w:tcPr>
            <w:tcW w:w="5626" w:type="dxa"/>
          </w:tcPr>
          <w:p w14:paraId="53E1DFD5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Explained things in a way you could understand</w:t>
            </w:r>
          </w:p>
        </w:tc>
        <w:tc>
          <w:tcPr>
            <w:tcW w:w="1878" w:type="dxa"/>
            <w:vAlign w:val="center"/>
          </w:tcPr>
          <w:p w14:paraId="1B54CCCB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1.12 (0.84–1.51)</w:t>
            </w:r>
          </w:p>
        </w:tc>
        <w:tc>
          <w:tcPr>
            <w:tcW w:w="1080" w:type="dxa"/>
            <w:vAlign w:val="center"/>
          </w:tcPr>
          <w:p w14:paraId="1F413621" w14:textId="2507892B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.44</w:t>
            </w:r>
          </w:p>
        </w:tc>
        <w:tc>
          <w:tcPr>
            <w:tcW w:w="1878" w:type="dxa"/>
            <w:vAlign w:val="center"/>
          </w:tcPr>
          <w:p w14:paraId="23C6542D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0.98 (0.76–1.25)</w:t>
            </w:r>
          </w:p>
        </w:tc>
        <w:tc>
          <w:tcPr>
            <w:tcW w:w="968" w:type="dxa"/>
            <w:vAlign w:val="center"/>
          </w:tcPr>
          <w:p w14:paraId="0A980111" w14:textId="097701B5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.85</w:t>
            </w:r>
          </w:p>
        </w:tc>
        <w:tc>
          <w:tcPr>
            <w:tcW w:w="1925" w:type="dxa"/>
            <w:vAlign w:val="center"/>
          </w:tcPr>
          <w:p w14:paraId="046D9DEE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0.90 (0.78–1.04)</w:t>
            </w:r>
          </w:p>
        </w:tc>
        <w:tc>
          <w:tcPr>
            <w:tcW w:w="1135" w:type="dxa"/>
            <w:vAlign w:val="center"/>
          </w:tcPr>
          <w:p w14:paraId="7C506223" w14:textId="03FB7E09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.17</w:t>
            </w:r>
          </w:p>
        </w:tc>
      </w:tr>
      <w:tr w:rsidR="001F3772" w:rsidRPr="00A92400" w14:paraId="0C6C4FB8" w14:textId="77777777" w:rsidTr="00231A47">
        <w:tc>
          <w:tcPr>
            <w:tcW w:w="5626" w:type="dxa"/>
          </w:tcPr>
          <w:p w14:paraId="386A1676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Discharge Information</w:t>
            </w:r>
          </w:p>
        </w:tc>
        <w:tc>
          <w:tcPr>
            <w:tcW w:w="1878" w:type="dxa"/>
            <w:vAlign w:val="center"/>
          </w:tcPr>
          <w:p w14:paraId="58EC710D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1B9E4CE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538B6796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2611BA8A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112E10D5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F4886E8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</w:tr>
      <w:tr w:rsidR="001F3772" w:rsidRPr="00A92400" w14:paraId="6ADF326B" w14:textId="77777777" w:rsidTr="00231A47">
        <w:tc>
          <w:tcPr>
            <w:tcW w:w="5626" w:type="dxa"/>
          </w:tcPr>
          <w:p w14:paraId="323B0CBA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Staff discussed help needed after discharge</w:t>
            </w:r>
          </w:p>
        </w:tc>
        <w:tc>
          <w:tcPr>
            <w:tcW w:w="1878" w:type="dxa"/>
            <w:vAlign w:val="center"/>
          </w:tcPr>
          <w:p w14:paraId="1E640EF8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1.37 (0.90–2.09)</w:t>
            </w:r>
          </w:p>
        </w:tc>
        <w:tc>
          <w:tcPr>
            <w:tcW w:w="1080" w:type="dxa"/>
            <w:vAlign w:val="center"/>
          </w:tcPr>
          <w:p w14:paraId="7F9EF9EF" w14:textId="1F408C21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.14</w:t>
            </w:r>
          </w:p>
        </w:tc>
        <w:tc>
          <w:tcPr>
            <w:tcW w:w="1878" w:type="dxa"/>
            <w:vAlign w:val="center"/>
          </w:tcPr>
          <w:p w14:paraId="10E74EB9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0.88 (0.63–1.22)</w:t>
            </w:r>
          </w:p>
        </w:tc>
        <w:tc>
          <w:tcPr>
            <w:tcW w:w="968" w:type="dxa"/>
            <w:vAlign w:val="center"/>
          </w:tcPr>
          <w:p w14:paraId="14C3BD4A" w14:textId="346397EB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.44</w:t>
            </w:r>
          </w:p>
        </w:tc>
        <w:tc>
          <w:tcPr>
            <w:tcW w:w="1925" w:type="dxa"/>
            <w:vAlign w:val="center"/>
          </w:tcPr>
          <w:p w14:paraId="34418E8F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1.11 (0.89–1.40)</w:t>
            </w:r>
          </w:p>
        </w:tc>
        <w:tc>
          <w:tcPr>
            <w:tcW w:w="1135" w:type="dxa"/>
            <w:vAlign w:val="center"/>
          </w:tcPr>
          <w:p w14:paraId="5206D326" w14:textId="4ECD2AA1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.35</w:t>
            </w:r>
          </w:p>
        </w:tc>
      </w:tr>
      <w:tr w:rsidR="001F3772" w:rsidRPr="00A92400" w14:paraId="3F7FE4F5" w14:textId="77777777" w:rsidTr="00231A47">
        <w:tc>
          <w:tcPr>
            <w:tcW w:w="5626" w:type="dxa"/>
          </w:tcPr>
          <w:p w14:paraId="0F9E1601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Received information on symptoms or health problems</w:t>
            </w:r>
          </w:p>
        </w:tc>
        <w:tc>
          <w:tcPr>
            <w:tcW w:w="1878" w:type="dxa"/>
            <w:vAlign w:val="center"/>
          </w:tcPr>
          <w:p w14:paraId="3EBEE3D4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1.12 (0.70–1.81)</w:t>
            </w:r>
          </w:p>
        </w:tc>
        <w:tc>
          <w:tcPr>
            <w:tcW w:w="1080" w:type="dxa"/>
            <w:vAlign w:val="center"/>
          </w:tcPr>
          <w:p w14:paraId="3C371016" w14:textId="3CA8727E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.64</w:t>
            </w:r>
          </w:p>
        </w:tc>
        <w:tc>
          <w:tcPr>
            <w:tcW w:w="1878" w:type="dxa"/>
            <w:vAlign w:val="center"/>
          </w:tcPr>
          <w:p w14:paraId="2770EE31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1.20 (0.78–1.84)</w:t>
            </w:r>
          </w:p>
        </w:tc>
        <w:tc>
          <w:tcPr>
            <w:tcW w:w="968" w:type="dxa"/>
            <w:vAlign w:val="center"/>
          </w:tcPr>
          <w:p w14:paraId="326E8B3E" w14:textId="20F62B30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.42</w:t>
            </w:r>
          </w:p>
        </w:tc>
        <w:tc>
          <w:tcPr>
            <w:tcW w:w="1925" w:type="dxa"/>
            <w:vAlign w:val="center"/>
          </w:tcPr>
          <w:p w14:paraId="55E0A143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1.03 (0.81–1.31)</w:t>
            </w:r>
          </w:p>
        </w:tc>
        <w:tc>
          <w:tcPr>
            <w:tcW w:w="1135" w:type="dxa"/>
            <w:vAlign w:val="center"/>
          </w:tcPr>
          <w:p w14:paraId="25977C14" w14:textId="53201EDB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.79</w:t>
            </w:r>
          </w:p>
        </w:tc>
      </w:tr>
      <w:tr w:rsidR="001F3772" w:rsidRPr="00A92400" w14:paraId="0171D6D0" w14:textId="77777777" w:rsidTr="00231A47">
        <w:tc>
          <w:tcPr>
            <w:tcW w:w="5626" w:type="dxa"/>
          </w:tcPr>
          <w:p w14:paraId="287F4EBE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Care Transition</w:t>
            </w:r>
          </w:p>
        </w:tc>
        <w:tc>
          <w:tcPr>
            <w:tcW w:w="1878" w:type="dxa"/>
            <w:vAlign w:val="center"/>
          </w:tcPr>
          <w:p w14:paraId="36FC8A4B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1522CBA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188A8801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15905D31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5E53D792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181F3C6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</w:p>
        </w:tc>
      </w:tr>
      <w:tr w:rsidR="001F3772" w:rsidRPr="00A92400" w14:paraId="3E2ABACD" w14:textId="77777777" w:rsidTr="00231A47">
        <w:tc>
          <w:tcPr>
            <w:tcW w:w="5626" w:type="dxa"/>
          </w:tcPr>
          <w:p w14:paraId="074AA1EA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Staff considered needs after discharge</w:t>
            </w:r>
          </w:p>
        </w:tc>
        <w:tc>
          <w:tcPr>
            <w:tcW w:w="1878" w:type="dxa"/>
            <w:vAlign w:val="center"/>
          </w:tcPr>
          <w:p w14:paraId="553231E6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1.07 (0.86–1.34)</w:t>
            </w:r>
          </w:p>
        </w:tc>
        <w:tc>
          <w:tcPr>
            <w:tcW w:w="1080" w:type="dxa"/>
            <w:vAlign w:val="center"/>
          </w:tcPr>
          <w:p w14:paraId="01B12A20" w14:textId="245A54A5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1878" w:type="dxa"/>
            <w:vAlign w:val="center"/>
          </w:tcPr>
          <w:p w14:paraId="04A9B617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1.08 (0.88–1.34)</w:t>
            </w:r>
          </w:p>
        </w:tc>
        <w:tc>
          <w:tcPr>
            <w:tcW w:w="968" w:type="dxa"/>
            <w:vAlign w:val="center"/>
          </w:tcPr>
          <w:p w14:paraId="7DBB4721" w14:textId="654D2B75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.46</w:t>
            </w:r>
          </w:p>
        </w:tc>
        <w:tc>
          <w:tcPr>
            <w:tcW w:w="1925" w:type="dxa"/>
            <w:vAlign w:val="center"/>
          </w:tcPr>
          <w:p w14:paraId="14A4A55B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0.96 (0.84–1.10)</w:t>
            </w:r>
          </w:p>
        </w:tc>
        <w:tc>
          <w:tcPr>
            <w:tcW w:w="1135" w:type="dxa"/>
            <w:vAlign w:val="center"/>
          </w:tcPr>
          <w:p w14:paraId="0B685FAA" w14:textId="7DF7AF48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.53</w:t>
            </w:r>
          </w:p>
        </w:tc>
      </w:tr>
      <w:tr w:rsidR="001F3772" w:rsidRPr="00A92400" w14:paraId="6DE3358A" w14:textId="77777777" w:rsidTr="00231A47">
        <w:tc>
          <w:tcPr>
            <w:tcW w:w="5626" w:type="dxa"/>
          </w:tcPr>
          <w:p w14:paraId="084D0D3D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Understood how to manage health </w:t>
            </w:r>
          </w:p>
        </w:tc>
        <w:tc>
          <w:tcPr>
            <w:tcW w:w="1878" w:type="dxa"/>
            <w:vAlign w:val="center"/>
          </w:tcPr>
          <w:p w14:paraId="0F018A92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1.01 (0.81–1.26)</w:t>
            </w:r>
          </w:p>
        </w:tc>
        <w:tc>
          <w:tcPr>
            <w:tcW w:w="1080" w:type="dxa"/>
            <w:vAlign w:val="center"/>
          </w:tcPr>
          <w:p w14:paraId="492DB95D" w14:textId="7A2AF623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.94</w:t>
            </w:r>
          </w:p>
        </w:tc>
        <w:tc>
          <w:tcPr>
            <w:tcW w:w="1878" w:type="dxa"/>
            <w:vAlign w:val="center"/>
          </w:tcPr>
          <w:p w14:paraId="7A2CF2B5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0.91 (0.73–1.12)</w:t>
            </w:r>
          </w:p>
        </w:tc>
        <w:tc>
          <w:tcPr>
            <w:tcW w:w="968" w:type="dxa"/>
            <w:vAlign w:val="center"/>
          </w:tcPr>
          <w:p w14:paraId="2968065D" w14:textId="41ECA2E9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.36</w:t>
            </w:r>
          </w:p>
        </w:tc>
        <w:tc>
          <w:tcPr>
            <w:tcW w:w="1925" w:type="dxa"/>
            <w:vAlign w:val="center"/>
          </w:tcPr>
          <w:p w14:paraId="16C8D3F6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0.86 (0.75–0.98)</w:t>
            </w:r>
          </w:p>
        </w:tc>
        <w:tc>
          <w:tcPr>
            <w:tcW w:w="1135" w:type="dxa"/>
            <w:vAlign w:val="center"/>
          </w:tcPr>
          <w:p w14:paraId="3178445B" w14:textId="0581BB6A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.02</w:t>
            </w:r>
          </w:p>
        </w:tc>
      </w:tr>
      <w:tr w:rsidR="001F3772" w:rsidRPr="00A92400" w14:paraId="7BA43CAF" w14:textId="77777777" w:rsidTr="00231A47">
        <w:tc>
          <w:tcPr>
            <w:tcW w:w="5626" w:type="dxa"/>
          </w:tcPr>
          <w:p w14:paraId="4089F135" w14:textId="77777777" w:rsidR="001F3772" w:rsidRPr="00A92400" w:rsidRDefault="001F3772" w:rsidP="00231A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Clearly understood purpose of medicines</w:t>
            </w:r>
          </w:p>
        </w:tc>
        <w:tc>
          <w:tcPr>
            <w:tcW w:w="1878" w:type="dxa"/>
            <w:vAlign w:val="center"/>
          </w:tcPr>
          <w:p w14:paraId="06F764AF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0.87 (0.70–1.09)</w:t>
            </w:r>
          </w:p>
        </w:tc>
        <w:tc>
          <w:tcPr>
            <w:tcW w:w="1080" w:type="dxa"/>
            <w:vAlign w:val="center"/>
          </w:tcPr>
          <w:p w14:paraId="5BDE4CAA" w14:textId="312B81BF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.24</w:t>
            </w:r>
          </w:p>
        </w:tc>
        <w:tc>
          <w:tcPr>
            <w:tcW w:w="1878" w:type="dxa"/>
            <w:vAlign w:val="center"/>
          </w:tcPr>
          <w:p w14:paraId="7A2FED59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0.97 (0.78–1.20)</w:t>
            </w:r>
          </w:p>
        </w:tc>
        <w:tc>
          <w:tcPr>
            <w:tcW w:w="968" w:type="dxa"/>
            <w:vAlign w:val="center"/>
          </w:tcPr>
          <w:p w14:paraId="1BB15623" w14:textId="219568DF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.78</w:t>
            </w:r>
          </w:p>
        </w:tc>
        <w:tc>
          <w:tcPr>
            <w:tcW w:w="1925" w:type="dxa"/>
            <w:vAlign w:val="center"/>
          </w:tcPr>
          <w:p w14:paraId="7D423848" w14:textId="77777777" w:rsidR="001F3772" w:rsidRPr="00A92400" w:rsidRDefault="001F3772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0.98 (0.85–1.12)</w:t>
            </w:r>
          </w:p>
        </w:tc>
        <w:tc>
          <w:tcPr>
            <w:tcW w:w="1135" w:type="dxa"/>
            <w:vAlign w:val="center"/>
          </w:tcPr>
          <w:p w14:paraId="70760B81" w14:textId="3458ED39" w:rsidR="001F3772" w:rsidRPr="00A92400" w:rsidRDefault="000552DF" w:rsidP="00231A47">
            <w:pPr>
              <w:jc w:val="center"/>
              <w:rPr>
                <w:rFonts w:asciiTheme="majorBidi" w:eastAsia="Georgia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eastAsia="Georgia" w:hAnsiTheme="majorBidi" w:cstheme="majorBidi"/>
                <w:sz w:val="24"/>
                <w:szCs w:val="24"/>
              </w:rPr>
              <w:t>.73</w:t>
            </w:r>
          </w:p>
        </w:tc>
      </w:tr>
    </w:tbl>
    <w:p w14:paraId="66B90A45" w14:textId="77777777" w:rsidR="001F3772" w:rsidRPr="00A92400" w:rsidRDefault="001F3772" w:rsidP="007F3209">
      <w:pPr>
        <w:spacing w:after="0" w:line="240" w:lineRule="auto"/>
        <w:ind w:left="-540" w:right="-117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Odds ratio (95% confidence interval) from logistic regression analysis using model 2 (included age, sex, race, study site, and service line). Study sites were Mayo Clinic Arizona, Mayo Clinic Florida, MCHS, and Mayo Clinic Rochester. MCHS is a network that includes 17 hospitals in Minnesota and Wisconsin.</w:t>
      </w:r>
    </w:p>
    <w:p w14:paraId="63CBED47" w14:textId="77777777" w:rsidR="001F3772" w:rsidRPr="00A92400" w:rsidRDefault="001F3772" w:rsidP="007F3209">
      <w:pPr>
        <w:spacing w:after="0" w:line="240" w:lineRule="auto"/>
        <w:ind w:left="-540" w:right="-99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A92400">
        <w:rPr>
          <w:rFonts w:asciiTheme="majorBidi" w:hAnsiTheme="majorBidi" w:cstheme="majorBidi"/>
          <w:sz w:val="24"/>
          <w:szCs w:val="24"/>
        </w:rPr>
        <w:t>Patients living ≤60 miles of a Mayo Clinic hospital and the HCAHPS survey was received by the third-party vendor ≤60 days after hospital discharge. Admission was to any Mayo Clinic hospital ≤30 days after survey was received by the third-party vendor.</w:t>
      </w:r>
    </w:p>
    <w:p w14:paraId="215AB26F" w14:textId="77777777" w:rsidR="001F3772" w:rsidRPr="00A92400" w:rsidRDefault="001F3772" w:rsidP="007F3209">
      <w:pPr>
        <w:spacing w:after="0" w:line="240" w:lineRule="auto"/>
        <w:ind w:left="-54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Elixhauser comorbidity index tertiles: lower (0–3), middle (4–5), and upper (6–20). </w:t>
      </w:r>
    </w:p>
    <w:p w14:paraId="2F7C068B" w14:textId="0D363C2F" w:rsidR="001F3772" w:rsidRPr="00A92400" w:rsidRDefault="00232BB4" w:rsidP="007F3209">
      <w:pPr>
        <w:spacing w:after="0" w:line="240" w:lineRule="auto"/>
        <w:ind w:left="-54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Favorable</w:t>
      </w:r>
      <w:r w:rsidR="001F3772" w:rsidRPr="00A92400">
        <w:rPr>
          <w:rFonts w:asciiTheme="majorBidi" w:hAnsiTheme="majorBidi" w:cstheme="majorBidi"/>
          <w:sz w:val="24"/>
          <w:szCs w:val="24"/>
        </w:rPr>
        <w:t xml:space="preserve"> response indicates the most satisfactory response: always; score of 9 or 10; yes; </w:t>
      </w:r>
      <w:proofErr w:type="gramStart"/>
      <w:r w:rsidR="001F3772" w:rsidRPr="00A92400">
        <w:rPr>
          <w:rFonts w:asciiTheme="majorBidi" w:hAnsiTheme="majorBidi" w:cstheme="majorBidi"/>
          <w:sz w:val="24"/>
          <w:szCs w:val="24"/>
        </w:rPr>
        <w:t>definitely yes</w:t>
      </w:r>
      <w:proofErr w:type="gramEnd"/>
      <w:r w:rsidR="001F3772" w:rsidRPr="00A92400">
        <w:rPr>
          <w:rFonts w:asciiTheme="majorBidi" w:hAnsiTheme="majorBidi" w:cstheme="majorBidi"/>
          <w:sz w:val="24"/>
          <w:szCs w:val="24"/>
        </w:rPr>
        <w:t>; strongly agree.</w:t>
      </w:r>
    </w:p>
    <w:p w14:paraId="479A6E95" w14:textId="394BE3CC" w:rsidR="001F3772" w:rsidRPr="00DD328C" w:rsidRDefault="001F3772" w:rsidP="00DD328C">
      <w:pPr>
        <w:spacing w:after="0" w:line="240" w:lineRule="auto"/>
        <w:ind w:left="-54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Abbreviations: CI confidence interval; </w:t>
      </w:r>
      <w:r w:rsidRPr="00A924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HCAHPS Hospital Consumer Assessment of Healthcare Providers and Systems; </w:t>
      </w:r>
      <w:r w:rsidRPr="00A92400">
        <w:rPr>
          <w:rFonts w:asciiTheme="majorBidi" w:hAnsiTheme="majorBidi" w:cstheme="majorBidi"/>
          <w:sz w:val="24"/>
          <w:szCs w:val="24"/>
        </w:rPr>
        <w:t>MCHS Mayo Clinic Health System.</w:t>
      </w:r>
    </w:p>
    <w:p w14:paraId="4AD15DCF" w14:textId="71F4711C" w:rsidR="001F3772" w:rsidRPr="00A92400" w:rsidRDefault="007F3209" w:rsidP="007F3209">
      <w:pPr>
        <w:spacing w:line="240" w:lineRule="auto"/>
        <w:ind w:left="-360" w:right="-90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102697889"/>
      <w:r w:rsidRPr="00A9240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Supplemental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Table 4: </w:t>
      </w:r>
      <w:r w:rsidR="001F3772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Sensitivity 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Analysis of Patient Experience </w:t>
      </w:r>
      <w:r w:rsidR="00DD328C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nd 30-Day Hospital Admission Categorized </w:t>
      </w:r>
      <w:r w:rsidR="00DD328C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>y Service Line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r w:rsidR="00DD328C" w:rsidRPr="00A924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10704" w:type="dxa"/>
        <w:tblInd w:w="-359" w:type="dxa"/>
        <w:tblLook w:val="04A0" w:firstRow="1" w:lastRow="0" w:firstColumn="1" w:lastColumn="0" w:noHBand="0" w:noVBand="1"/>
      </w:tblPr>
      <w:tblGrid>
        <w:gridCol w:w="4134"/>
        <w:gridCol w:w="1963"/>
        <w:gridCol w:w="1046"/>
        <w:gridCol w:w="1941"/>
        <w:gridCol w:w="1620"/>
      </w:tblGrid>
      <w:tr w:rsidR="001F3772" w:rsidRPr="00A92400" w14:paraId="1A240AF9" w14:textId="77777777" w:rsidTr="00231A47">
        <w:tc>
          <w:tcPr>
            <w:tcW w:w="4134" w:type="dxa"/>
          </w:tcPr>
          <w:p w14:paraId="5D08A843" w14:textId="0868E83B" w:rsidR="001F3772" w:rsidRPr="00A92400" w:rsidRDefault="001F3772" w:rsidP="00231A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HCAHPS survey items</w:t>
            </w:r>
          </w:p>
          <w:p w14:paraId="302BF8EB" w14:textId="112B0F40" w:rsidR="001F3772" w:rsidRPr="00A92400" w:rsidRDefault="001F3772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gramStart"/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proofErr w:type="gramEnd"/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vs un</w:t>
            </w:r>
            <w:r w:rsidR="00232BB4"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favorable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response)</w:t>
            </w:r>
          </w:p>
        </w:tc>
        <w:tc>
          <w:tcPr>
            <w:tcW w:w="6570" w:type="dxa"/>
            <w:gridSpan w:val="4"/>
            <w:vAlign w:val="center"/>
          </w:tcPr>
          <w:p w14:paraId="21F91C66" w14:textId="77777777" w:rsidR="001F3772" w:rsidRPr="00A92400" w:rsidRDefault="001F3772" w:rsidP="00231A47">
            <w:pPr>
              <w:ind w:left="-104" w:right="-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30-day hospital admission </w:t>
            </w: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after receipt of HCAHPS survey </w:t>
            </w:r>
          </w:p>
          <w:p w14:paraId="6CC34467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by the third-party vendor</w:t>
            </w:r>
          </w:p>
        </w:tc>
      </w:tr>
      <w:tr w:rsidR="001F3772" w:rsidRPr="00A92400" w14:paraId="2F73F442" w14:textId="77777777" w:rsidTr="00231A47">
        <w:tc>
          <w:tcPr>
            <w:tcW w:w="4134" w:type="dxa"/>
          </w:tcPr>
          <w:p w14:paraId="73C5A721" w14:textId="77777777" w:rsidR="001F3772" w:rsidRPr="00A92400" w:rsidRDefault="001F3772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00A9916E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Medical service line</w:t>
            </w:r>
          </w:p>
        </w:tc>
        <w:tc>
          <w:tcPr>
            <w:tcW w:w="3561" w:type="dxa"/>
            <w:gridSpan w:val="2"/>
          </w:tcPr>
          <w:p w14:paraId="043CE6EE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Surgical service line</w:t>
            </w:r>
          </w:p>
        </w:tc>
      </w:tr>
      <w:tr w:rsidR="001F3772" w:rsidRPr="00A92400" w14:paraId="6A372A59" w14:textId="77777777" w:rsidTr="00231A47">
        <w:tc>
          <w:tcPr>
            <w:tcW w:w="4134" w:type="dxa"/>
          </w:tcPr>
          <w:p w14:paraId="0E6E4501" w14:textId="77777777" w:rsidR="001F3772" w:rsidRPr="00A92400" w:rsidRDefault="001F3772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sz w:val="24"/>
                <w:szCs w:val="24"/>
              </w:rPr>
              <w:t>Composite Measures</w:t>
            </w:r>
          </w:p>
        </w:tc>
        <w:tc>
          <w:tcPr>
            <w:tcW w:w="1963" w:type="dxa"/>
            <w:vAlign w:val="center"/>
          </w:tcPr>
          <w:p w14:paraId="3759F451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OR (95% CI)</w:t>
            </w:r>
          </w:p>
        </w:tc>
        <w:tc>
          <w:tcPr>
            <w:tcW w:w="1046" w:type="dxa"/>
            <w:vAlign w:val="center"/>
          </w:tcPr>
          <w:p w14:paraId="10FEAB6C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  <w:tc>
          <w:tcPr>
            <w:tcW w:w="1941" w:type="dxa"/>
            <w:vAlign w:val="center"/>
          </w:tcPr>
          <w:p w14:paraId="1502FDE4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OR (95% CI)</w:t>
            </w:r>
          </w:p>
        </w:tc>
        <w:tc>
          <w:tcPr>
            <w:tcW w:w="1620" w:type="dxa"/>
            <w:vAlign w:val="center"/>
          </w:tcPr>
          <w:p w14:paraId="2ED2DB63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value</w:t>
            </w:r>
          </w:p>
        </w:tc>
      </w:tr>
      <w:tr w:rsidR="001F3772" w:rsidRPr="00A92400" w14:paraId="762A5FEF" w14:textId="77777777" w:rsidTr="00231A47">
        <w:tc>
          <w:tcPr>
            <w:tcW w:w="4134" w:type="dxa"/>
          </w:tcPr>
          <w:p w14:paraId="616079D0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Communication with Nurses</w:t>
            </w:r>
          </w:p>
        </w:tc>
        <w:tc>
          <w:tcPr>
            <w:tcW w:w="1963" w:type="dxa"/>
            <w:vAlign w:val="center"/>
          </w:tcPr>
          <w:p w14:paraId="4D2E0677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0.96 (0.80–1.15)</w:t>
            </w:r>
          </w:p>
        </w:tc>
        <w:tc>
          <w:tcPr>
            <w:tcW w:w="1046" w:type="dxa"/>
            <w:vAlign w:val="center"/>
          </w:tcPr>
          <w:p w14:paraId="79BADE44" w14:textId="635711B6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.64</w:t>
            </w:r>
          </w:p>
        </w:tc>
        <w:tc>
          <w:tcPr>
            <w:tcW w:w="1941" w:type="dxa"/>
            <w:vAlign w:val="center"/>
          </w:tcPr>
          <w:p w14:paraId="10EDCB25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0.95 (0.74–1.22)</w:t>
            </w:r>
          </w:p>
        </w:tc>
        <w:tc>
          <w:tcPr>
            <w:tcW w:w="1620" w:type="dxa"/>
            <w:vAlign w:val="center"/>
          </w:tcPr>
          <w:p w14:paraId="0D970869" w14:textId="15B8E9CA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.68</w:t>
            </w:r>
          </w:p>
        </w:tc>
      </w:tr>
      <w:tr w:rsidR="001F3772" w:rsidRPr="00A92400" w14:paraId="3B61EF4A" w14:textId="77777777" w:rsidTr="00231A47">
        <w:tc>
          <w:tcPr>
            <w:tcW w:w="4134" w:type="dxa"/>
          </w:tcPr>
          <w:p w14:paraId="52AF5214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Communication with Doctors</w:t>
            </w:r>
          </w:p>
        </w:tc>
        <w:tc>
          <w:tcPr>
            <w:tcW w:w="1963" w:type="dxa"/>
            <w:vAlign w:val="center"/>
          </w:tcPr>
          <w:p w14:paraId="2AECA5A7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0.97 (0.81–1.16)</w:t>
            </w:r>
          </w:p>
        </w:tc>
        <w:tc>
          <w:tcPr>
            <w:tcW w:w="1046" w:type="dxa"/>
            <w:vAlign w:val="center"/>
          </w:tcPr>
          <w:p w14:paraId="539BD015" w14:textId="351A50FF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.67</w:t>
            </w:r>
          </w:p>
        </w:tc>
        <w:tc>
          <w:tcPr>
            <w:tcW w:w="1941" w:type="dxa"/>
            <w:vAlign w:val="center"/>
          </w:tcPr>
          <w:p w14:paraId="1B8A9C5C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0.84 (0.65–1.09)</w:t>
            </w:r>
          </w:p>
        </w:tc>
        <w:tc>
          <w:tcPr>
            <w:tcW w:w="1620" w:type="dxa"/>
            <w:vAlign w:val="center"/>
          </w:tcPr>
          <w:p w14:paraId="2F9D2A06" w14:textId="7886D794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.18</w:t>
            </w:r>
          </w:p>
        </w:tc>
      </w:tr>
      <w:tr w:rsidR="001F3772" w:rsidRPr="00A92400" w14:paraId="705EA41E" w14:textId="77777777" w:rsidTr="00231A47">
        <w:tc>
          <w:tcPr>
            <w:tcW w:w="4134" w:type="dxa"/>
          </w:tcPr>
          <w:p w14:paraId="3725ABD2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Discharge Information</w:t>
            </w:r>
          </w:p>
        </w:tc>
        <w:tc>
          <w:tcPr>
            <w:tcW w:w="1963" w:type="dxa"/>
            <w:vAlign w:val="center"/>
          </w:tcPr>
          <w:p w14:paraId="3B3D6B22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1.24 (0.98, 1.55)</w:t>
            </w:r>
          </w:p>
        </w:tc>
        <w:tc>
          <w:tcPr>
            <w:tcW w:w="1046" w:type="dxa"/>
            <w:vAlign w:val="center"/>
          </w:tcPr>
          <w:p w14:paraId="3E43DB02" w14:textId="265FAB91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.07</w:t>
            </w:r>
          </w:p>
        </w:tc>
        <w:tc>
          <w:tcPr>
            <w:tcW w:w="1941" w:type="dxa"/>
            <w:vAlign w:val="center"/>
          </w:tcPr>
          <w:p w14:paraId="4C35A588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1.03 (0.69, 1.54)</w:t>
            </w:r>
          </w:p>
        </w:tc>
        <w:tc>
          <w:tcPr>
            <w:tcW w:w="1620" w:type="dxa"/>
            <w:vAlign w:val="center"/>
          </w:tcPr>
          <w:p w14:paraId="411C2906" w14:textId="4413CAA0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.90</w:t>
            </w:r>
          </w:p>
        </w:tc>
      </w:tr>
      <w:tr w:rsidR="001F3772" w:rsidRPr="00A92400" w14:paraId="7C999CB5" w14:textId="77777777" w:rsidTr="00231A47">
        <w:tc>
          <w:tcPr>
            <w:tcW w:w="4134" w:type="dxa"/>
          </w:tcPr>
          <w:p w14:paraId="79CB0409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Care Transition</w:t>
            </w:r>
          </w:p>
        </w:tc>
        <w:tc>
          <w:tcPr>
            <w:tcW w:w="1963" w:type="dxa"/>
            <w:vAlign w:val="center"/>
          </w:tcPr>
          <w:p w14:paraId="7C66D842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1.12 (0.93–1.33)</w:t>
            </w:r>
          </w:p>
        </w:tc>
        <w:tc>
          <w:tcPr>
            <w:tcW w:w="1046" w:type="dxa"/>
            <w:vAlign w:val="center"/>
          </w:tcPr>
          <w:p w14:paraId="10835A16" w14:textId="5F06CDFD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1941" w:type="dxa"/>
            <w:vAlign w:val="center"/>
          </w:tcPr>
          <w:p w14:paraId="1A23A615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0.80 (0.64–1.01)</w:t>
            </w:r>
          </w:p>
        </w:tc>
        <w:tc>
          <w:tcPr>
            <w:tcW w:w="1620" w:type="dxa"/>
            <w:vAlign w:val="center"/>
          </w:tcPr>
          <w:p w14:paraId="64A72DEC" w14:textId="088AE747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.06</w:t>
            </w:r>
          </w:p>
        </w:tc>
      </w:tr>
      <w:tr w:rsidR="001F3772" w:rsidRPr="00A92400" w14:paraId="3FCA2FA0" w14:textId="77777777" w:rsidTr="00231A47">
        <w:tc>
          <w:tcPr>
            <w:tcW w:w="4134" w:type="dxa"/>
          </w:tcPr>
          <w:p w14:paraId="2C1DD420" w14:textId="77777777" w:rsidR="001F3772" w:rsidRPr="00A92400" w:rsidRDefault="001F3772" w:rsidP="00231A4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sz w:val="24"/>
                <w:szCs w:val="24"/>
              </w:rPr>
              <w:t>Individual Items</w:t>
            </w:r>
          </w:p>
        </w:tc>
        <w:tc>
          <w:tcPr>
            <w:tcW w:w="1963" w:type="dxa"/>
            <w:vAlign w:val="center"/>
          </w:tcPr>
          <w:p w14:paraId="0F5F9995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193A751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886C57C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5317F0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3772" w:rsidRPr="00A92400" w14:paraId="31DE0C7F" w14:textId="77777777" w:rsidTr="00231A47">
        <w:tc>
          <w:tcPr>
            <w:tcW w:w="4134" w:type="dxa"/>
          </w:tcPr>
          <w:p w14:paraId="4A91D402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Cleanliness of room and bathroom</w:t>
            </w:r>
          </w:p>
        </w:tc>
        <w:tc>
          <w:tcPr>
            <w:tcW w:w="1963" w:type="dxa"/>
            <w:vAlign w:val="center"/>
          </w:tcPr>
          <w:p w14:paraId="577F241F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0.89 (0.73–1.09)</w:t>
            </w:r>
          </w:p>
        </w:tc>
        <w:tc>
          <w:tcPr>
            <w:tcW w:w="1046" w:type="dxa"/>
            <w:vAlign w:val="center"/>
          </w:tcPr>
          <w:p w14:paraId="43999978" w14:textId="75E6F4EE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.26</w:t>
            </w:r>
          </w:p>
        </w:tc>
        <w:tc>
          <w:tcPr>
            <w:tcW w:w="1941" w:type="dxa"/>
            <w:vAlign w:val="center"/>
          </w:tcPr>
          <w:p w14:paraId="76A1731F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0.93 (0.71–1.23)</w:t>
            </w:r>
          </w:p>
        </w:tc>
        <w:tc>
          <w:tcPr>
            <w:tcW w:w="1620" w:type="dxa"/>
            <w:vAlign w:val="center"/>
          </w:tcPr>
          <w:p w14:paraId="2ACA66FF" w14:textId="07314030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.61</w:t>
            </w:r>
          </w:p>
        </w:tc>
      </w:tr>
      <w:tr w:rsidR="001F3772" w:rsidRPr="00A92400" w14:paraId="2D34FD3E" w14:textId="77777777" w:rsidTr="00231A47">
        <w:tc>
          <w:tcPr>
            <w:tcW w:w="4134" w:type="dxa"/>
          </w:tcPr>
          <w:p w14:paraId="2E921F08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 xml:space="preserve">  Quietness around room at night </w:t>
            </w:r>
          </w:p>
        </w:tc>
        <w:tc>
          <w:tcPr>
            <w:tcW w:w="1963" w:type="dxa"/>
            <w:vAlign w:val="center"/>
          </w:tcPr>
          <w:p w14:paraId="36BD46E8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1.01 (0.85–1.21)</w:t>
            </w:r>
          </w:p>
        </w:tc>
        <w:tc>
          <w:tcPr>
            <w:tcW w:w="1046" w:type="dxa"/>
            <w:vAlign w:val="center"/>
          </w:tcPr>
          <w:p w14:paraId="1655F352" w14:textId="1C428A9F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1941" w:type="dxa"/>
            <w:vAlign w:val="center"/>
          </w:tcPr>
          <w:p w14:paraId="7A645DBD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0.98 (0.78–1.24)</w:t>
            </w:r>
          </w:p>
        </w:tc>
        <w:tc>
          <w:tcPr>
            <w:tcW w:w="1620" w:type="dxa"/>
            <w:vAlign w:val="center"/>
          </w:tcPr>
          <w:p w14:paraId="776D0A67" w14:textId="10F026A3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.89</w:t>
            </w:r>
          </w:p>
        </w:tc>
      </w:tr>
      <w:tr w:rsidR="001F3772" w:rsidRPr="00A92400" w14:paraId="124809AC" w14:textId="77777777" w:rsidTr="00231A47">
        <w:tc>
          <w:tcPr>
            <w:tcW w:w="4134" w:type="dxa"/>
          </w:tcPr>
          <w:p w14:paraId="64E3F5AF" w14:textId="77777777" w:rsidR="001F3772" w:rsidRPr="00A92400" w:rsidRDefault="001F3772" w:rsidP="00231A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Global Items</w:t>
            </w:r>
          </w:p>
        </w:tc>
        <w:tc>
          <w:tcPr>
            <w:tcW w:w="1963" w:type="dxa"/>
            <w:vAlign w:val="center"/>
          </w:tcPr>
          <w:p w14:paraId="18552354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538FE72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46862658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79CA06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3772" w:rsidRPr="00A92400" w14:paraId="6609E26D" w14:textId="77777777" w:rsidTr="00231A47">
        <w:tc>
          <w:tcPr>
            <w:tcW w:w="4134" w:type="dxa"/>
          </w:tcPr>
          <w:p w14:paraId="70A7B584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Hospital rating</w:t>
            </w:r>
          </w:p>
        </w:tc>
        <w:tc>
          <w:tcPr>
            <w:tcW w:w="1963" w:type="dxa"/>
            <w:vAlign w:val="center"/>
          </w:tcPr>
          <w:p w14:paraId="6CEB8555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0.78 (0.64–0.95)</w:t>
            </w:r>
          </w:p>
        </w:tc>
        <w:tc>
          <w:tcPr>
            <w:tcW w:w="1046" w:type="dxa"/>
            <w:vAlign w:val="center"/>
          </w:tcPr>
          <w:p w14:paraId="2266FBCD" w14:textId="4C78168D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1941" w:type="dxa"/>
            <w:vAlign w:val="center"/>
          </w:tcPr>
          <w:p w14:paraId="63D6ACEE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1.04 (0.75–1.44)</w:t>
            </w:r>
          </w:p>
        </w:tc>
        <w:tc>
          <w:tcPr>
            <w:tcW w:w="1620" w:type="dxa"/>
            <w:vAlign w:val="center"/>
          </w:tcPr>
          <w:p w14:paraId="3DB50EE9" w14:textId="68AA8D1B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.82</w:t>
            </w:r>
          </w:p>
        </w:tc>
      </w:tr>
      <w:tr w:rsidR="001F3772" w:rsidRPr="00A92400" w14:paraId="6D51AEBA" w14:textId="77777777" w:rsidTr="00231A47">
        <w:tc>
          <w:tcPr>
            <w:tcW w:w="4134" w:type="dxa"/>
          </w:tcPr>
          <w:p w14:paraId="24404B03" w14:textId="77777777" w:rsidR="001F3772" w:rsidRPr="00A92400" w:rsidRDefault="001F3772" w:rsidP="00231A4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Recommend hospital</w:t>
            </w:r>
          </w:p>
        </w:tc>
        <w:tc>
          <w:tcPr>
            <w:tcW w:w="1963" w:type="dxa"/>
            <w:vAlign w:val="center"/>
          </w:tcPr>
          <w:p w14:paraId="518A7CA5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0.81 (0.66–1.00)</w:t>
            </w:r>
          </w:p>
        </w:tc>
        <w:tc>
          <w:tcPr>
            <w:tcW w:w="1046" w:type="dxa"/>
            <w:vAlign w:val="center"/>
          </w:tcPr>
          <w:p w14:paraId="48DC9584" w14:textId="64824772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941" w:type="dxa"/>
            <w:vAlign w:val="center"/>
          </w:tcPr>
          <w:p w14:paraId="5160BF0C" w14:textId="77777777" w:rsidR="001F3772" w:rsidRPr="00A92400" w:rsidRDefault="001F3772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1.03 (0.72–1.47)</w:t>
            </w:r>
          </w:p>
        </w:tc>
        <w:tc>
          <w:tcPr>
            <w:tcW w:w="1620" w:type="dxa"/>
            <w:vAlign w:val="center"/>
          </w:tcPr>
          <w:p w14:paraId="078DFDE3" w14:textId="5D05B633" w:rsidR="001F3772" w:rsidRPr="00A92400" w:rsidRDefault="000552DF" w:rsidP="00231A4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40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F3772" w:rsidRPr="00A92400">
              <w:rPr>
                <w:rFonts w:asciiTheme="majorBidi" w:hAnsiTheme="majorBidi" w:cstheme="majorBidi"/>
                <w:sz w:val="24"/>
                <w:szCs w:val="24"/>
              </w:rPr>
              <w:t>.87</w:t>
            </w:r>
          </w:p>
        </w:tc>
      </w:tr>
    </w:tbl>
    <w:p w14:paraId="71A8F76D" w14:textId="77777777" w:rsidR="001F3772" w:rsidRPr="00A92400" w:rsidRDefault="001F3772" w:rsidP="007F3209">
      <w:pPr>
        <w:spacing w:after="0" w:line="240" w:lineRule="auto"/>
        <w:ind w:left="-360" w:right="2520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>Odds ratio (95% confidence interval) from logistic regression analysis using model 2 (included age, sex, race, study site, and Elixhauser comorbidity index). Study sites were Mayo Clinic Arizona, Mayo Clinic Florida, MCHS, and Mayo Clinic Rochester. MCHS is a network that includes 17 hospitals in Minnesota and Wisconsin.</w:t>
      </w:r>
    </w:p>
    <w:p w14:paraId="7A28F320" w14:textId="77777777" w:rsidR="001F3772" w:rsidRPr="00A92400" w:rsidRDefault="001F3772" w:rsidP="007F3209">
      <w:pPr>
        <w:spacing w:after="0" w:line="240" w:lineRule="auto"/>
        <w:ind w:left="-360" w:right="252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A92400">
        <w:rPr>
          <w:rFonts w:asciiTheme="majorBidi" w:hAnsiTheme="majorBidi" w:cstheme="majorBidi"/>
          <w:sz w:val="24"/>
          <w:szCs w:val="24"/>
        </w:rPr>
        <w:t xml:space="preserve">Sensitivity analysis of </w:t>
      </w:r>
      <w:proofErr w:type="gramStart"/>
      <w:r w:rsidRPr="00A92400">
        <w:rPr>
          <w:rFonts w:asciiTheme="majorBidi" w:hAnsiTheme="majorBidi" w:cstheme="majorBidi"/>
          <w:sz w:val="24"/>
          <w:szCs w:val="24"/>
        </w:rPr>
        <w:t>Patients</w:t>
      </w:r>
      <w:proofErr w:type="gramEnd"/>
      <w:r w:rsidRPr="00A92400">
        <w:rPr>
          <w:rFonts w:asciiTheme="majorBidi" w:hAnsiTheme="majorBidi" w:cstheme="majorBidi"/>
          <w:sz w:val="24"/>
          <w:szCs w:val="24"/>
        </w:rPr>
        <w:t xml:space="preserve"> (n = 19,461) living ≤30 miles of a Mayo Clinic hospital and the HCAHPS survey was received by the third-party vendor ≤30 days after hospital discharge. Admission was to any Mayo Clinic hospital ≤30 days after survey was received by the third-party vendor.</w:t>
      </w:r>
    </w:p>
    <w:p w14:paraId="10040D70" w14:textId="450C4EDF" w:rsidR="001F3772" w:rsidRPr="00A92400" w:rsidRDefault="001F3772" w:rsidP="007F3209">
      <w:pPr>
        <w:spacing w:after="0" w:line="240" w:lineRule="auto"/>
        <w:ind w:left="-360" w:right="252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For composite measures, </w:t>
      </w:r>
      <w:r w:rsidR="00232BB4" w:rsidRPr="00A92400">
        <w:rPr>
          <w:rFonts w:asciiTheme="majorBidi" w:hAnsiTheme="majorBidi" w:cstheme="majorBidi"/>
          <w:sz w:val="24"/>
          <w:szCs w:val="24"/>
        </w:rPr>
        <w:t>favorable</w:t>
      </w:r>
      <w:r w:rsidRPr="00A92400">
        <w:rPr>
          <w:rFonts w:asciiTheme="majorBidi" w:hAnsiTheme="majorBidi" w:cstheme="majorBidi"/>
          <w:sz w:val="24"/>
          <w:szCs w:val="24"/>
        </w:rPr>
        <w:t xml:space="preserve"> indicates the most satisfactory response on all items in the composite measure. For individual overall hospital rating items, </w:t>
      </w:r>
      <w:r w:rsidR="00232BB4" w:rsidRPr="00A92400">
        <w:rPr>
          <w:rFonts w:asciiTheme="majorBidi" w:hAnsiTheme="majorBidi" w:cstheme="majorBidi"/>
          <w:sz w:val="24"/>
          <w:szCs w:val="24"/>
        </w:rPr>
        <w:t>favorable</w:t>
      </w:r>
      <w:r w:rsidRPr="00A92400">
        <w:rPr>
          <w:rFonts w:asciiTheme="majorBidi" w:hAnsiTheme="majorBidi" w:cstheme="majorBidi"/>
          <w:sz w:val="24"/>
          <w:szCs w:val="24"/>
        </w:rPr>
        <w:t xml:space="preserve"> indicates the most satisfactory response to the item (score of 9 or 10, </w:t>
      </w:r>
      <w:proofErr w:type="gramStart"/>
      <w:r w:rsidRPr="00A92400">
        <w:rPr>
          <w:rFonts w:asciiTheme="majorBidi" w:hAnsiTheme="majorBidi" w:cstheme="majorBidi"/>
          <w:sz w:val="24"/>
          <w:szCs w:val="24"/>
        </w:rPr>
        <w:t>definitely yes</w:t>
      </w:r>
      <w:proofErr w:type="gramEnd"/>
      <w:r w:rsidRPr="00A92400">
        <w:rPr>
          <w:rFonts w:asciiTheme="majorBidi" w:hAnsiTheme="majorBidi" w:cstheme="majorBidi"/>
          <w:sz w:val="24"/>
          <w:szCs w:val="24"/>
        </w:rPr>
        <w:t>)</w:t>
      </w:r>
    </w:p>
    <w:p w14:paraId="5E482D29" w14:textId="6CB235B1" w:rsidR="001F3772" w:rsidRPr="00A92400" w:rsidRDefault="001F3772" w:rsidP="007F3209">
      <w:pPr>
        <w:spacing w:after="0" w:line="240" w:lineRule="auto"/>
        <w:ind w:left="-360" w:right="2520" w:firstLine="7"/>
        <w:rPr>
          <w:rFonts w:asciiTheme="majorBidi" w:hAnsiTheme="majorBidi" w:cstheme="majorBidi"/>
          <w:sz w:val="24"/>
          <w:szCs w:val="24"/>
        </w:rPr>
      </w:pPr>
      <w:r w:rsidRPr="00A92400">
        <w:rPr>
          <w:rFonts w:asciiTheme="majorBidi" w:hAnsiTheme="majorBidi" w:cstheme="majorBidi"/>
          <w:sz w:val="24"/>
          <w:szCs w:val="24"/>
        </w:rPr>
        <w:t xml:space="preserve">Abbreviations: CI confidence interval; </w:t>
      </w:r>
      <w:r w:rsidRPr="00A924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HCAHPS Hospital Consumer Assessment of Healthcare Providers and Systems; </w:t>
      </w:r>
      <w:r w:rsidRPr="00A92400">
        <w:rPr>
          <w:rFonts w:asciiTheme="majorBidi" w:hAnsiTheme="majorBidi" w:cstheme="majorBidi"/>
          <w:sz w:val="24"/>
          <w:szCs w:val="24"/>
        </w:rPr>
        <w:t>MCHS Mayo Clinic Health System.</w:t>
      </w:r>
      <w:bookmarkEnd w:id="1"/>
    </w:p>
    <w:sectPr w:rsidR="001F3772" w:rsidRPr="00A92400" w:rsidSect="007F320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A4DC" w14:textId="77777777" w:rsidR="007A7CF9" w:rsidRDefault="007A7CF9" w:rsidP="006D5BC2">
      <w:pPr>
        <w:spacing w:after="0" w:line="240" w:lineRule="auto"/>
      </w:pPr>
      <w:r>
        <w:separator/>
      </w:r>
    </w:p>
  </w:endnote>
  <w:endnote w:type="continuationSeparator" w:id="0">
    <w:p w14:paraId="1E58B795" w14:textId="77777777" w:rsidR="007A7CF9" w:rsidRDefault="007A7CF9" w:rsidP="006D5BC2">
      <w:pPr>
        <w:spacing w:after="0" w:line="240" w:lineRule="auto"/>
      </w:pPr>
      <w:r>
        <w:continuationSeparator/>
      </w:r>
    </w:p>
  </w:endnote>
  <w:endnote w:type="continuationNotice" w:id="1">
    <w:p w14:paraId="07DACCC4" w14:textId="77777777" w:rsidR="007A7CF9" w:rsidRDefault="007A7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396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878BA" w14:textId="6C1516CE" w:rsidR="006D5BC2" w:rsidRDefault="006D5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E5EE0" w14:textId="77777777" w:rsidR="006D5BC2" w:rsidRDefault="006D5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E873" w14:textId="77777777" w:rsidR="007A7CF9" w:rsidRDefault="007A7CF9" w:rsidP="006D5BC2">
      <w:pPr>
        <w:spacing w:after="0" w:line="240" w:lineRule="auto"/>
      </w:pPr>
      <w:r>
        <w:separator/>
      </w:r>
    </w:p>
  </w:footnote>
  <w:footnote w:type="continuationSeparator" w:id="0">
    <w:p w14:paraId="46524812" w14:textId="77777777" w:rsidR="007A7CF9" w:rsidRDefault="007A7CF9" w:rsidP="006D5BC2">
      <w:pPr>
        <w:spacing w:after="0" w:line="240" w:lineRule="auto"/>
      </w:pPr>
      <w:r>
        <w:continuationSeparator/>
      </w:r>
    </w:p>
  </w:footnote>
  <w:footnote w:type="continuationNotice" w:id="1">
    <w:p w14:paraId="6C3A96B0" w14:textId="77777777" w:rsidR="007A7CF9" w:rsidRDefault="007A7C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A8B"/>
    <w:multiLevelType w:val="hybridMultilevel"/>
    <w:tmpl w:val="EC52C1FC"/>
    <w:lvl w:ilvl="0" w:tplc="0F7ECE9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3224"/>
    <w:multiLevelType w:val="hybridMultilevel"/>
    <w:tmpl w:val="99A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07628">
    <w:abstractNumId w:val="1"/>
  </w:num>
  <w:num w:numId="2" w16cid:durableId="178018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sd2tsf2w9ardedp0cv029k5faw22sxr5re&quot;&gt;IHM Library&lt;record-ids&gt;&lt;item&gt;3&lt;/item&gt;&lt;item&gt;6&lt;/item&gt;&lt;item&gt;7&lt;/item&gt;&lt;item&gt;8&lt;/item&gt;&lt;item&gt;12&lt;/item&gt;&lt;item&gt;30&lt;/item&gt;&lt;item&gt;31&lt;/item&gt;&lt;item&gt;36&lt;/item&gt;&lt;item&gt;143&lt;/item&gt;&lt;/record-ids&gt;&lt;/item&gt;&lt;/Libraries&gt;"/>
  </w:docVars>
  <w:rsids>
    <w:rsidRoot w:val="008E05AA"/>
    <w:rsid w:val="00027140"/>
    <w:rsid w:val="00027A7B"/>
    <w:rsid w:val="00030FBF"/>
    <w:rsid w:val="000329C8"/>
    <w:rsid w:val="00033B20"/>
    <w:rsid w:val="00035C7A"/>
    <w:rsid w:val="00037A3C"/>
    <w:rsid w:val="0004614F"/>
    <w:rsid w:val="000552DF"/>
    <w:rsid w:val="00063EC0"/>
    <w:rsid w:val="000776AA"/>
    <w:rsid w:val="00084F06"/>
    <w:rsid w:val="000911C9"/>
    <w:rsid w:val="000929D4"/>
    <w:rsid w:val="0009431A"/>
    <w:rsid w:val="00096505"/>
    <w:rsid w:val="000976DF"/>
    <w:rsid w:val="000B6203"/>
    <w:rsid w:val="000D2157"/>
    <w:rsid w:val="000E5C65"/>
    <w:rsid w:val="000F3C23"/>
    <w:rsid w:val="000F684B"/>
    <w:rsid w:val="000F7E64"/>
    <w:rsid w:val="00100024"/>
    <w:rsid w:val="001003D1"/>
    <w:rsid w:val="001004B4"/>
    <w:rsid w:val="00105185"/>
    <w:rsid w:val="00106284"/>
    <w:rsid w:val="00114301"/>
    <w:rsid w:val="00123086"/>
    <w:rsid w:val="0012419A"/>
    <w:rsid w:val="00124C10"/>
    <w:rsid w:val="00124CD7"/>
    <w:rsid w:val="001259CE"/>
    <w:rsid w:val="00140E19"/>
    <w:rsid w:val="00147BBC"/>
    <w:rsid w:val="0016158C"/>
    <w:rsid w:val="00162B3F"/>
    <w:rsid w:val="00175C0F"/>
    <w:rsid w:val="001929BF"/>
    <w:rsid w:val="00194D04"/>
    <w:rsid w:val="001958B9"/>
    <w:rsid w:val="00195F9A"/>
    <w:rsid w:val="001A029D"/>
    <w:rsid w:val="001A77A6"/>
    <w:rsid w:val="001B7CC8"/>
    <w:rsid w:val="001D3BD9"/>
    <w:rsid w:val="001D4B17"/>
    <w:rsid w:val="001E341E"/>
    <w:rsid w:val="001E6322"/>
    <w:rsid w:val="001F0120"/>
    <w:rsid w:val="001F358E"/>
    <w:rsid w:val="001F3772"/>
    <w:rsid w:val="001F60EE"/>
    <w:rsid w:val="0020308E"/>
    <w:rsid w:val="002266F8"/>
    <w:rsid w:val="00231A91"/>
    <w:rsid w:val="00232BB4"/>
    <w:rsid w:val="002333AB"/>
    <w:rsid w:val="00240818"/>
    <w:rsid w:val="0025456A"/>
    <w:rsid w:val="00257777"/>
    <w:rsid w:val="00263B9B"/>
    <w:rsid w:val="00263F19"/>
    <w:rsid w:val="00264915"/>
    <w:rsid w:val="00265099"/>
    <w:rsid w:val="00281F85"/>
    <w:rsid w:val="002934D8"/>
    <w:rsid w:val="0029684B"/>
    <w:rsid w:val="00296C97"/>
    <w:rsid w:val="00297054"/>
    <w:rsid w:val="002A50B0"/>
    <w:rsid w:val="002A529D"/>
    <w:rsid w:val="002A6FD9"/>
    <w:rsid w:val="002B18C9"/>
    <w:rsid w:val="002C4D42"/>
    <w:rsid w:val="002C54A0"/>
    <w:rsid w:val="002D3B68"/>
    <w:rsid w:val="002E0928"/>
    <w:rsid w:val="002E66E7"/>
    <w:rsid w:val="002F3580"/>
    <w:rsid w:val="002F49B0"/>
    <w:rsid w:val="002F49B2"/>
    <w:rsid w:val="002F5906"/>
    <w:rsid w:val="0030634B"/>
    <w:rsid w:val="003079E6"/>
    <w:rsid w:val="0031694C"/>
    <w:rsid w:val="0032257D"/>
    <w:rsid w:val="00323BFB"/>
    <w:rsid w:val="00334E31"/>
    <w:rsid w:val="003616AC"/>
    <w:rsid w:val="0036745A"/>
    <w:rsid w:val="00381FAF"/>
    <w:rsid w:val="00385BB3"/>
    <w:rsid w:val="0039116D"/>
    <w:rsid w:val="003940AD"/>
    <w:rsid w:val="003A526D"/>
    <w:rsid w:val="003B1D4A"/>
    <w:rsid w:val="003B3C71"/>
    <w:rsid w:val="003C0A5C"/>
    <w:rsid w:val="003C1791"/>
    <w:rsid w:val="003C3A64"/>
    <w:rsid w:val="003C6158"/>
    <w:rsid w:val="003C64C0"/>
    <w:rsid w:val="003D5BE3"/>
    <w:rsid w:val="003D5FA1"/>
    <w:rsid w:val="003E224E"/>
    <w:rsid w:val="003E4737"/>
    <w:rsid w:val="003E6FBD"/>
    <w:rsid w:val="003F5562"/>
    <w:rsid w:val="0040615F"/>
    <w:rsid w:val="00420C19"/>
    <w:rsid w:val="00433A10"/>
    <w:rsid w:val="00442655"/>
    <w:rsid w:val="00443234"/>
    <w:rsid w:val="004477B7"/>
    <w:rsid w:val="00447F00"/>
    <w:rsid w:val="0045187B"/>
    <w:rsid w:val="00452864"/>
    <w:rsid w:val="0046035D"/>
    <w:rsid w:val="00470CB9"/>
    <w:rsid w:val="00471E7D"/>
    <w:rsid w:val="004904BA"/>
    <w:rsid w:val="004A0005"/>
    <w:rsid w:val="004A3C43"/>
    <w:rsid w:val="004A6322"/>
    <w:rsid w:val="004B3A9C"/>
    <w:rsid w:val="004C1ADC"/>
    <w:rsid w:val="004C3BEB"/>
    <w:rsid w:val="004C55FF"/>
    <w:rsid w:val="004C59C2"/>
    <w:rsid w:val="004C76B2"/>
    <w:rsid w:val="004D3119"/>
    <w:rsid w:val="004D32EC"/>
    <w:rsid w:val="004F255F"/>
    <w:rsid w:val="004F2D14"/>
    <w:rsid w:val="004F4604"/>
    <w:rsid w:val="005030B7"/>
    <w:rsid w:val="005155C4"/>
    <w:rsid w:val="0052413F"/>
    <w:rsid w:val="00531D00"/>
    <w:rsid w:val="00541A1D"/>
    <w:rsid w:val="00543007"/>
    <w:rsid w:val="00556001"/>
    <w:rsid w:val="00567435"/>
    <w:rsid w:val="0057450D"/>
    <w:rsid w:val="00576469"/>
    <w:rsid w:val="0057660C"/>
    <w:rsid w:val="00576A03"/>
    <w:rsid w:val="00585D11"/>
    <w:rsid w:val="005879A7"/>
    <w:rsid w:val="005A0CB1"/>
    <w:rsid w:val="005A5B1C"/>
    <w:rsid w:val="005B0C11"/>
    <w:rsid w:val="005B2C0C"/>
    <w:rsid w:val="005B3325"/>
    <w:rsid w:val="005D0A1B"/>
    <w:rsid w:val="005D479F"/>
    <w:rsid w:val="005E2CFA"/>
    <w:rsid w:val="005E7BAE"/>
    <w:rsid w:val="005F0A6F"/>
    <w:rsid w:val="005F389E"/>
    <w:rsid w:val="00605419"/>
    <w:rsid w:val="00617C72"/>
    <w:rsid w:val="00635032"/>
    <w:rsid w:val="00637EC2"/>
    <w:rsid w:val="00640AF8"/>
    <w:rsid w:val="006506D7"/>
    <w:rsid w:val="00653E7E"/>
    <w:rsid w:val="006540B9"/>
    <w:rsid w:val="00657CFB"/>
    <w:rsid w:val="00661A37"/>
    <w:rsid w:val="00674D1A"/>
    <w:rsid w:val="00681FA6"/>
    <w:rsid w:val="00682088"/>
    <w:rsid w:val="00685971"/>
    <w:rsid w:val="006B286D"/>
    <w:rsid w:val="006D0855"/>
    <w:rsid w:val="006D5BC2"/>
    <w:rsid w:val="006E0CCE"/>
    <w:rsid w:val="006F4447"/>
    <w:rsid w:val="006F5627"/>
    <w:rsid w:val="006F77F0"/>
    <w:rsid w:val="00714CDB"/>
    <w:rsid w:val="00726B9A"/>
    <w:rsid w:val="00732110"/>
    <w:rsid w:val="00734786"/>
    <w:rsid w:val="00741AB3"/>
    <w:rsid w:val="00745614"/>
    <w:rsid w:val="00751D85"/>
    <w:rsid w:val="00753A4A"/>
    <w:rsid w:val="00757C04"/>
    <w:rsid w:val="00760E43"/>
    <w:rsid w:val="00764A68"/>
    <w:rsid w:val="00766AA0"/>
    <w:rsid w:val="007839FF"/>
    <w:rsid w:val="00787B90"/>
    <w:rsid w:val="007A3E7E"/>
    <w:rsid w:val="007A7CF9"/>
    <w:rsid w:val="007B4572"/>
    <w:rsid w:val="007B724F"/>
    <w:rsid w:val="007B7E23"/>
    <w:rsid w:val="007C0324"/>
    <w:rsid w:val="007C2071"/>
    <w:rsid w:val="007C5221"/>
    <w:rsid w:val="007C52C6"/>
    <w:rsid w:val="007D1656"/>
    <w:rsid w:val="007D4822"/>
    <w:rsid w:val="007E277A"/>
    <w:rsid w:val="007E34EB"/>
    <w:rsid w:val="007E41F9"/>
    <w:rsid w:val="007F3209"/>
    <w:rsid w:val="00813AD4"/>
    <w:rsid w:val="00816FA3"/>
    <w:rsid w:val="00820453"/>
    <w:rsid w:val="0082636D"/>
    <w:rsid w:val="00832EA6"/>
    <w:rsid w:val="00840CB1"/>
    <w:rsid w:val="00857E39"/>
    <w:rsid w:val="00864424"/>
    <w:rsid w:val="00864CA3"/>
    <w:rsid w:val="008715FC"/>
    <w:rsid w:val="00875F5D"/>
    <w:rsid w:val="00894880"/>
    <w:rsid w:val="008A5B9C"/>
    <w:rsid w:val="008A5C75"/>
    <w:rsid w:val="008B0263"/>
    <w:rsid w:val="008B089D"/>
    <w:rsid w:val="008B429B"/>
    <w:rsid w:val="008B5BBD"/>
    <w:rsid w:val="008B5FE4"/>
    <w:rsid w:val="008C5ECD"/>
    <w:rsid w:val="008D2DB8"/>
    <w:rsid w:val="008D4FAC"/>
    <w:rsid w:val="008D7D48"/>
    <w:rsid w:val="008E05AA"/>
    <w:rsid w:val="008E2639"/>
    <w:rsid w:val="008E5E3F"/>
    <w:rsid w:val="008F6011"/>
    <w:rsid w:val="008F732A"/>
    <w:rsid w:val="00913AA3"/>
    <w:rsid w:val="00931FB9"/>
    <w:rsid w:val="00932FA9"/>
    <w:rsid w:val="00940AF8"/>
    <w:rsid w:val="009419D7"/>
    <w:rsid w:val="009425DB"/>
    <w:rsid w:val="00956554"/>
    <w:rsid w:val="009579CA"/>
    <w:rsid w:val="009779A6"/>
    <w:rsid w:val="00993A9E"/>
    <w:rsid w:val="00995BA1"/>
    <w:rsid w:val="0099641F"/>
    <w:rsid w:val="009A1DB3"/>
    <w:rsid w:val="009A45A0"/>
    <w:rsid w:val="009A7B6C"/>
    <w:rsid w:val="009D537E"/>
    <w:rsid w:val="009D7D47"/>
    <w:rsid w:val="009D7DC3"/>
    <w:rsid w:val="009E435A"/>
    <w:rsid w:val="009F780F"/>
    <w:rsid w:val="00A02AC1"/>
    <w:rsid w:val="00A03E2D"/>
    <w:rsid w:val="00A060F6"/>
    <w:rsid w:val="00A12F81"/>
    <w:rsid w:val="00A1798F"/>
    <w:rsid w:val="00A25942"/>
    <w:rsid w:val="00A32FD5"/>
    <w:rsid w:val="00A333EA"/>
    <w:rsid w:val="00A361BD"/>
    <w:rsid w:val="00A47657"/>
    <w:rsid w:val="00A57C37"/>
    <w:rsid w:val="00A65865"/>
    <w:rsid w:val="00A67861"/>
    <w:rsid w:val="00A73217"/>
    <w:rsid w:val="00A73B43"/>
    <w:rsid w:val="00A7672E"/>
    <w:rsid w:val="00A84C24"/>
    <w:rsid w:val="00A872AA"/>
    <w:rsid w:val="00A92400"/>
    <w:rsid w:val="00A97215"/>
    <w:rsid w:val="00AA56CB"/>
    <w:rsid w:val="00AB320C"/>
    <w:rsid w:val="00AD2447"/>
    <w:rsid w:val="00AD5A89"/>
    <w:rsid w:val="00AE39FD"/>
    <w:rsid w:val="00B00F76"/>
    <w:rsid w:val="00B05677"/>
    <w:rsid w:val="00B15EDB"/>
    <w:rsid w:val="00B27901"/>
    <w:rsid w:val="00B52983"/>
    <w:rsid w:val="00B5350B"/>
    <w:rsid w:val="00B55610"/>
    <w:rsid w:val="00B6034C"/>
    <w:rsid w:val="00B715C2"/>
    <w:rsid w:val="00B74C19"/>
    <w:rsid w:val="00B83092"/>
    <w:rsid w:val="00B87680"/>
    <w:rsid w:val="00B92F98"/>
    <w:rsid w:val="00B9335F"/>
    <w:rsid w:val="00BA06DA"/>
    <w:rsid w:val="00BA074B"/>
    <w:rsid w:val="00BA5EC5"/>
    <w:rsid w:val="00BB12E3"/>
    <w:rsid w:val="00BB5010"/>
    <w:rsid w:val="00BB56E2"/>
    <w:rsid w:val="00BB5EFF"/>
    <w:rsid w:val="00BB7B5D"/>
    <w:rsid w:val="00BD136D"/>
    <w:rsid w:val="00BD6405"/>
    <w:rsid w:val="00BD6A8B"/>
    <w:rsid w:val="00BF544A"/>
    <w:rsid w:val="00BF59E5"/>
    <w:rsid w:val="00C01D89"/>
    <w:rsid w:val="00C031A7"/>
    <w:rsid w:val="00C07ED9"/>
    <w:rsid w:val="00C134E5"/>
    <w:rsid w:val="00C15D88"/>
    <w:rsid w:val="00C15F73"/>
    <w:rsid w:val="00C32583"/>
    <w:rsid w:val="00C4361C"/>
    <w:rsid w:val="00C670A2"/>
    <w:rsid w:val="00C672CC"/>
    <w:rsid w:val="00C73225"/>
    <w:rsid w:val="00C76BCB"/>
    <w:rsid w:val="00C86898"/>
    <w:rsid w:val="00CA1660"/>
    <w:rsid w:val="00CB1AD7"/>
    <w:rsid w:val="00CB369C"/>
    <w:rsid w:val="00CB5114"/>
    <w:rsid w:val="00CD37DD"/>
    <w:rsid w:val="00CD74E7"/>
    <w:rsid w:val="00CD7559"/>
    <w:rsid w:val="00CE02F5"/>
    <w:rsid w:val="00CE360C"/>
    <w:rsid w:val="00CE5EB8"/>
    <w:rsid w:val="00CE6888"/>
    <w:rsid w:val="00D0330B"/>
    <w:rsid w:val="00D03627"/>
    <w:rsid w:val="00D066D5"/>
    <w:rsid w:val="00D06EC1"/>
    <w:rsid w:val="00D101D8"/>
    <w:rsid w:val="00D114C5"/>
    <w:rsid w:val="00D327F6"/>
    <w:rsid w:val="00D376A9"/>
    <w:rsid w:val="00D529F3"/>
    <w:rsid w:val="00D5629C"/>
    <w:rsid w:val="00D6056E"/>
    <w:rsid w:val="00D62D6B"/>
    <w:rsid w:val="00D65862"/>
    <w:rsid w:val="00DA5CBA"/>
    <w:rsid w:val="00DB4571"/>
    <w:rsid w:val="00DB6107"/>
    <w:rsid w:val="00DB733E"/>
    <w:rsid w:val="00DC18CD"/>
    <w:rsid w:val="00DC7E70"/>
    <w:rsid w:val="00DD328C"/>
    <w:rsid w:val="00DE3740"/>
    <w:rsid w:val="00DE5FF5"/>
    <w:rsid w:val="00DF39D2"/>
    <w:rsid w:val="00DF55E0"/>
    <w:rsid w:val="00DF6496"/>
    <w:rsid w:val="00E13443"/>
    <w:rsid w:val="00E30A00"/>
    <w:rsid w:val="00E32F5A"/>
    <w:rsid w:val="00E41258"/>
    <w:rsid w:val="00E437FF"/>
    <w:rsid w:val="00E446C5"/>
    <w:rsid w:val="00E533C4"/>
    <w:rsid w:val="00E57469"/>
    <w:rsid w:val="00E62A5F"/>
    <w:rsid w:val="00E717CB"/>
    <w:rsid w:val="00E94E9E"/>
    <w:rsid w:val="00E962C6"/>
    <w:rsid w:val="00EA328B"/>
    <w:rsid w:val="00EB2383"/>
    <w:rsid w:val="00EB53DA"/>
    <w:rsid w:val="00EB6A76"/>
    <w:rsid w:val="00EB7A0E"/>
    <w:rsid w:val="00EB7A49"/>
    <w:rsid w:val="00ED51A9"/>
    <w:rsid w:val="00EE3825"/>
    <w:rsid w:val="00EE74F9"/>
    <w:rsid w:val="00EF11CE"/>
    <w:rsid w:val="00EF2DB8"/>
    <w:rsid w:val="00EF4B2F"/>
    <w:rsid w:val="00F042A0"/>
    <w:rsid w:val="00F0633B"/>
    <w:rsid w:val="00F1061F"/>
    <w:rsid w:val="00F17541"/>
    <w:rsid w:val="00F24420"/>
    <w:rsid w:val="00F24ACE"/>
    <w:rsid w:val="00F36053"/>
    <w:rsid w:val="00F4129D"/>
    <w:rsid w:val="00F4481A"/>
    <w:rsid w:val="00F57789"/>
    <w:rsid w:val="00F65EA6"/>
    <w:rsid w:val="00F74232"/>
    <w:rsid w:val="00F77BA5"/>
    <w:rsid w:val="00F856F7"/>
    <w:rsid w:val="00F86AB8"/>
    <w:rsid w:val="00F8788B"/>
    <w:rsid w:val="00F9207A"/>
    <w:rsid w:val="00F937A7"/>
    <w:rsid w:val="00FA743D"/>
    <w:rsid w:val="00FB01E4"/>
    <w:rsid w:val="00FB0497"/>
    <w:rsid w:val="00FB643A"/>
    <w:rsid w:val="00FD59A0"/>
    <w:rsid w:val="00FD67B5"/>
    <w:rsid w:val="00FE0695"/>
    <w:rsid w:val="00FE16A0"/>
    <w:rsid w:val="00FE51F4"/>
    <w:rsid w:val="00FF2280"/>
    <w:rsid w:val="00FF3198"/>
    <w:rsid w:val="3AEA82F6"/>
    <w:rsid w:val="48ACD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8D58"/>
  <w15:chartTrackingRefBased/>
  <w15:docId w15:val="{AAA9738D-09D8-48C8-BEAA-44E2B5BF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5B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4a-after-h6">
    <w:name w:val="i4a-after-h6"/>
    <w:basedOn w:val="Normal"/>
    <w:link w:val="i4a-after-h6Char"/>
    <w:rsid w:val="0042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C19"/>
    <w:rPr>
      <w:sz w:val="20"/>
      <w:szCs w:val="20"/>
    </w:rPr>
  </w:style>
  <w:style w:type="character" w:customStyle="1" w:styleId="i4a-after-h6Char">
    <w:name w:val="i4a-after-h6 Char"/>
    <w:basedOn w:val="DefaultParagraphFont"/>
    <w:link w:val="i4a-after-h6"/>
    <w:rsid w:val="00420C1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15F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004B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i4a-after-h6Char"/>
    <w:link w:val="EndNoteBibliographyTitle"/>
    <w:rsid w:val="001004B4"/>
    <w:rPr>
      <w:rFonts w:ascii="Calibri" w:eastAsia="Times New Roman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004B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i4a-after-h6Char"/>
    <w:link w:val="EndNoteBibliography"/>
    <w:rsid w:val="001004B4"/>
    <w:rPr>
      <w:rFonts w:ascii="Calibri" w:eastAsia="Times New Roman" w:hAnsi="Calibri" w:cs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0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C2"/>
  </w:style>
  <w:style w:type="paragraph" w:styleId="Footer">
    <w:name w:val="footer"/>
    <w:basedOn w:val="Normal"/>
    <w:link w:val="FooterChar"/>
    <w:uiPriority w:val="99"/>
    <w:unhideWhenUsed/>
    <w:rsid w:val="006D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C2"/>
  </w:style>
  <w:style w:type="table" w:styleId="TableGrid">
    <w:name w:val="Table Grid"/>
    <w:basedOn w:val="TableNormal"/>
    <w:uiPriority w:val="59"/>
    <w:rsid w:val="006D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D5B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6D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4BA"/>
    <w:rPr>
      <w:i/>
      <w:iCs/>
    </w:rPr>
  </w:style>
  <w:style w:type="paragraph" w:customStyle="1" w:styleId="Default">
    <w:name w:val="Default"/>
    <w:rsid w:val="003C17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LineNumber">
    <w:name w:val="line number"/>
    <w:basedOn w:val="DefaultParagraphFont"/>
    <w:uiPriority w:val="99"/>
    <w:semiHidden/>
    <w:unhideWhenUsed/>
    <w:rsid w:val="00C6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DC88-D16D-47EB-A1AC-A673A4B4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Links>
    <vt:vector size="6" baseType="variant">
      <vt:variant>
        <vt:i4>8060965</vt:i4>
      </vt:variant>
      <vt:variant>
        <vt:i4>89</vt:i4>
      </vt:variant>
      <vt:variant>
        <vt:i4>0</vt:i4>
      </vt:variant>
      <vt:variant>
        <vt:i4>5</vt:i4>
      </vt:variant>
      <vt:variant>
        <vt:lpwstr>C:\Users\jozef\Dropbox\PC\Documents\Manuscript\Drafts\August 2021\jhv\Auhtors out\Final phase\Sagar edits on Aug 30_augst 30\www.covidence.org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Hydoub</dc:creator>
  <cp:keywords/>
  <dc:description/>
  <cp:lastModifiedBy>Yousif Mohamed Mohamed</cp:lastModifiedBy>
  <cp:revision>2</cp:revision>
  <cp:lastPrinted>2021-09-10T17:47:00Z</cp:lastPrinted>
  <dcterms:created xsi:type="dcterms:W3CDTF">2022-07-11T20:12:00Z</dcterms:created>
  <dcterms:modified xsi:type="dcterms:W3CDTF">2022-07-11T20:12:00Z</dcterms:modified>
</cp:coreProperties>
</file>