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8C" w:rsidRPr="00C90B11" w:rsidRDefault="00C90B11">
      <w:pPr>
        <w:rPr>
          <w:b/>
          <w:bCs/>
          <w:u w:val="single"/>
        </w:rPr>
      </w:pPr>
      <w:r w:rsidRPr="00C90B11">
        <w:rPr>
          <w:b/>
          <w:bCs/>
          <w:u w:val="single"/>
        </w:rPr>
        <w:t>SUPPLEMENTARY TABLES</w:t>
      </w:r>
    </w:p>
    <w:p w:rsidR="00C90B11" w:rsidRDefault="00C90B11"/>
    <w:p w:rsidR="00C90B11" w:rsidRDefault="00C90B11"/>
    <w:tbl>
      <w:tblPr>
        <w:tblStyle w:val="TableGrid"/>
        <w:tblW w:w="0" w:type="auto"/>
        <w:tblLook w:val="04A0" w:firstRow="1" w:lastRow="0" w:firstColumn="1" w:lastColumn="0" w:noHBand="0" w:noVBand="1"/>
      </w:tblPr>
      <w:tblGrid>
        <w:gridCol w:w="2415"/>
        <w:gridCol w:w="6827"/>
      </w:tblGrid>
      <w:tr w:rsidR="00C90B11" w:rsidRPr="00E57CB7" w:rsidTr="004E1E5E">
        <w:tc>
          <w:tcPr>
            <w:tcW w:w="9350" w:type="dxa"/>
            <w:gridSpan w:val="2"/>
            <w:tcBorders>
              <w:top w:val="nil"/>
              <w:left w:val="nil"/>
              <w:bottom w:val="single" w:sz="4" w:space="0" w:color="auto"/>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Supplementary Table 1. CNS Vital Signs Neurocognitive Domains Interpretations</w:t>
            </w:r>
          </w:p>
        </w:tc>
      </w:tr>
      <w:tr w:rsidR="00C90B11" w:rsidRPr="00E57CB7" w:rsidTr="004E1E5E">
        <w:tc>
          <w:tcPr>
            <w:tcW w:w="2430" w:type="dxa"/>
            <w:tcBorders>
              <w:top w:val="single" w:sz="4" w:space="0" w:color="auto"/>
              <w:left w:val="nil"/>
              <w:bottom w:val="single" w:sz="4" w:space="0" w:color="auto"/>
              <w:right w:val="nil"/>
            </w:tcBorders>
          </w:tcPr>
          <w:p w:rsidR="00C90B11" w:rsidRPr="00E57CB7" w:rsidRDefault="00C90B11" w:rsidP="004E1E5E">
            <w:pPr>
              <w:contextualSpacing/>
              <w:rPr>
                <w:rFonts w:ascii="Arial" w:hAnsi="Arial" w:cs="Arial"/>
                <w:b/>
                <w:color w:val="000000" w:themeColor="text1"/>
                <w:sz w:val="20"/>
                <w:szCs w:val="20"/>
              </w:rPr>
            </w:pPr>
            <w:r w:rsidRPr="00E57CB7">
              <w:rPr>
                <w:rFonts w:ascii="Arial" w:hAnsi="Arial" w:cs="Arial"/>
                <w:b/>
                <w:color w:val="000000" w:themeColor="text1"/>
                <w:sz w:val="20"/>
                <w:szCs w:val="20"/>
              </w:rPr>
              <w:t>Domain</w:t>
            </w:r>
          </w:p>
        </w:tc>
        <w:tc>
          <w:tcPr>
            <w:tcW w:w="6920" w:type="dxa"/>
            <w:tcBorders>
              <w:top w:val="single" w:sz="4" w:space="0" w:color="auto"/>
              <w:left w:val="nil"/>
              <w:bottom w:val="single" w:sz="4" w:space="0" w:color="auto"/>
              <w:right w:val="nil"/>
            </w:tcBorders>
          </w:tcPr>
          <w:p w:rsidR="00C90B11" w:rsidRPr="00E57CB7" w:rsidRDefault="00C90B11" w:rsidP="004E1E5E">
            <w:pPr>
              <w:contextualSpacing/>
              <w:rPr>
                <w:rFonts w:ascii="Arial" w:hAnsi="Arial" w:cs="Arial"/>
                <w:b/>
                <w:color w:val="000000" w:themeColor="text1"/>
                <w:sz w:val="20"/>
                <w:szCs w:val="20"/>
              </w:rPr>
            </w:pPr>
            <w:r w:rsidRPr="00E57CB7">
              <w:rPr>
                <w:rFonts w:ascii="Arial" w:hAnsi="Arial" w:cs="Arial"/>
                <w:b/>
                <w:color w:val="000000" w:themeColor="text1"/>
                <w:sz w:val="20"/>
                <w:szCs w:val="20"/>
              </w:rPr>
              <w:t>Interpretation</w:t>
            </w:r>
          </w:p>
        </w:tc>
      </w:tr>
      <w:tr w:rsidR="00C90B11" w:rsidRPr="00E57CB7" w:rsidTr="004E1E5E">
        <w:tc>
          <w:tcPr>
            <w:tcW w:w="2430" w:type="dxa"/>
            <w:tcBorders>
              <w:top w:val="single" w:sz="4" w:space="0" w:color="auto"/>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Cognitive Flexibility</w:t>
            </w:r>
          </w:p>
        </w:tc>
        <w:tc>
          <w:tcPr>
            <w:tcW w:w="6920" w:type="dxa"/>
            <w:tcBorders>
              <w:top w:val="single" w:sz="4" w:space="0" w:color="auto"/>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How well subject is able to adapt to rapidly changing and increasingly complex set of directions and/or to manipulate the information</w:t>
            </w:r>
          </w:p>
        </w:tc>
      </w:tr>
      <w:tr w:rsidR="00C90B11" w:rsidRPr="00E57CB7" w:rsidTr="004E1E5E">
        <w:tc>
          <w:tcPr>
            <w:tcW w:w="243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Simple Attention</w:t>
            </w:r>
          </w:p>
        </w:tc>
        <w:tc>
          <w:tcPr>
            <w:tcW w:w="692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Ability to track and respond to a single defined stimulus over length periods of time while performance vigilance and response inhibition quickly and accurately</w:t>
            </w:r>
          </w:p>
        </w:tc>
      </w:tr>
      <w:tr w:rsidR="00C90B11" w:rsidRPr="00E57CB7" w:rsidTr="004E1E5E">
        <w:tc>
          <w:tcPr>
            <w:tcW w:w="243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 xml:space="preserve">Complex </w:t>
            </w:r>
            <w:proofErr w:type="spellStart"/>
            <w:r w:rsidRPr="00E57CB7">
              <w:rPr>
                <w:rFonts w:ascii="Arial" w:hAnsi="Arial" w:cs="Arial"/>
                <w:color w:val="000000" w:themeColor="text1"/>
                <w:sz w:val="20"/>
                <w:szCs w:val="20"/>
              </w:rPr>
              <w:t>Attention</w:t>
            </w:r>
            <w:r w:rsidRPr="00E57CB7">
              <w:rPr>
                <w:rFonts w:ascii="Arial" w:hAnsi="Arial" w:cs="Arial"/>
                <w:color w:val="000000" w:themeColor="text1"/>
                <w:sz w:val="20"/>
                <w:szCs w:val="20"/>
                <w:vertAlign w:val="superscript"/>
              </w:rPr>
              <w:t>a</w:t>
            </w:r>
            <w:proofErr w:type="spellEnd"/>
          </w:p>
        </w:tc>
        <w:tc>
          <w:tcPr>
            <w:tcW w:w="692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Ability to track and respond to a variety of stimuli over lengthy periods of time and/or perform mental tasks requiring vigilance quickly and accurately.</w:t>
            </w:r>
          </w:p>
        </w:tc>
      </w:tr>
      <w:tr w:rsidR="00C90B11" w:rsidRPr="00E57CB7" w:rsidTr="004E1E5E">
        <w:tc>
          <w:tcPr>
            <w:tcW w:w="243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Executive Function</w:t>
            </w:r>
          </w:p>
        </w:tc>
        <w:tc>
          <w:tcPr>
            <w:tcW w:w="692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How well a subject recognizes rules, categories, and manages or navigates rapid decision making</w:t>
            </w:r>
          </w:p>
        </w:tc>
      </w:tr>
      <w:tr w:rsidR="00C90B11" w:rsidRPr="00E57CB7" w:rsidTr="004E1E5E">
        <w:tc>
          <w:tcPr>
            <w:tcW w:w="243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Motor Speed</w:t>
            </w:r>
          </w:p>
        </w:tc>
        <w:tc>
          <w:tcPr>
            <w:tcW w:w="692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 xml:space="preserve">Ability to perform movements to produce and satisfy an intention towards a manual action </w:t>
            </w:r>
            <w:proofErr w:type="spellStart"/>
            <w:r w:rsidRPr="00E57CB7">
              <w:rPr>
                <w:rFonts w:ascii="Arial" w:hAnsi="Arial" w:cs="Arial"/>
                <w:color w:val="000000" w:themeColor="text1"/>
                <w:sz w:val="20"/>
                <w:szCs w:val="20"/>
              </w:rPr>
              <w:t>ang</w:t>
            </w:r>
            <w:proofErr w:type="spellEnd"/>
            <w:r w:rsidRPr="00E57CB7">
              <w:rPr>
                <w:rFonts w:ascii="Arial" w:hAnsi="Arial" w:cs="Arial"/>
                <w:color w:val="000000" w:themeColor="text1"/>
                <w:sz w:val="20"/>
                <w:szCs w:val="20"/>
              </w:rPr>
              <w:t xml:space="preserve"> goal</w:t>
            </w:r>
          </w:p>
        </w:tc>
      </w:tr>
      <w:tr w:rsidR="00C90B11" w:rsidRPr="00E57CB7" w:rsidTr="004E1E5E">
        <w:tc>
          <w:tcPr>
            <w:tcW w:w="243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Psychomotor Speed</w:t>
            </w:r>
          </w:p>
        </w:tc>
        <w:tc>
          <w:tcPr>
            <w:tcW w:w="692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How well a subject perceives, attends, responds to visual perceptual information, and performs motor speed and fine motor coordination</w:t>
            </w:r>
          </w:p>
        </w:tc>
      </w:tr>
      <w:tr w:rsidR="00C90B11" w:rsidRPr="00E57CB7" w:rsidTr="004E1E5E">
        <w:tc>
          <w:tcPr>
            <w:tcW w:w="243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Processing Speed</w:t>
            </w:r>
          </w:p>
        </w:tc>
        <w:tc>
          <w:tcPr>
            <w:tcW w:w="692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How well a subject recognizes and processes information (i.e., perceiving, attending/responding to incoming information, motor speed, fine motor coordination, and visual-perceptual ability.</w:t>
            </w:r>
          </w:p>
        </w:tc>
      </w:tr>
      <w:tr w:rsidR="00C90B11" w:rsidRPr="00E57CB7" w:rsidTr="004E1E5E">
        <w:tc>
          <w:tcPr>
            <w:tcW w:w="243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 xml:space="preserve">Reaction </w:t>
            </w:r>
            <w:proofErr w:type="spellStart"/>
            <w:r w:rsidRPr="00E57CB7">
              <w:rPr>
                <w:rFonts w:ascii="Arial" w:hAnsi="Arial" w:cs="Arial"/>
                <w:color w:val="000000" w:themeColor="text1"/>
                <w:sz w:val="20"/>
                <w:szCs w:val="20"/>
              </w:rPr>
              <w:t>Time</w:t>
            </w:r>
            <w:r w:rsidRPr="00E57CB7">
              <w:rPr>
                <w:rFonts w:ascii="Arial" w:hAnsi="Arial" w:cs="Arial"/>
                <w:color w:val="000000" w:themeColor="text1"/>
                <w:sz w:val="20"/>
                <w:szCs w:val="20"/>
                <w:vertAlign w:val="superscript"/>
              </w:rPr>
              <w:t>a</w:t>
            </w:r>
            <w:proofErr w:type="spellEnd"/>
          </w:p>
        </w:tc>
        <w:tc>
          <w:tcPr>
            <w:tcW w:w="692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 xml:space="preserve">How quickly the </w:t>
            </w:r>
            <w:proofErr w:type="gramStart"/>
            <w:r w:rsidRPr="00E57CB7">
              <w:rPr>
                <w:rFonts w:ascii="Arial" w:hAnsi="Arial" w:cs="Arial"/>
                <w:color w:val="000000" w:themeColor="text1"/>
                <w:sz w:val="20"/>
                <w:szCs w:val="20"/>
              </w:rPr>
              <w:t>subject can</w:t>
            </w:r>
            <w:proofErr w:type="gramEnd"/>
            <w:r w:rsidRPr="00E57CB7">
              <w:rPr>
                <w:rFonts w:ascii="Arial" w:hAnsi="Arial" w:cs="Arial"/>
                <w:color w:val="000000" w:themeColor="text1"/>
                <w:sz w:val="20"/>
                <w:szCs w:val="20"/>
              </w:rPr>
              <w:t xml:space="preserve"> reaction, in milliseconds, to a simple and increasingly complex direction set.</w:t>
            </w:r>
          </w:p>
        </w:tc>
      </w:tr>
      <w:tr w:rsidR="00C90B11" w:rsidRPr="00E57CB7" w:rsidTr="004E1E5E">
        <w:tc>
          <w:tcPr>
            <w:tcW w:w="243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Verbal Memory</w:t>
            </w:r>
          </w:p>
        </w:tc>
        <w:tc>
          <w:tcPr>
            <w:tcW w:w="692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How well subject can recognize, remember, and retrieve words.</w:t>
            </w:r>
          </w:p>
        </w:tc>
      </w:tr>
      <w:tr w:rsidR="00C90B11" w:rsidRPr="00E57CB7" w:rsidTr="004E1E5E">
        <w:trPr>
          <w:trHeight w:val="135"/>
        </w:trPr>
        <w:tc>
          <w:tcPr>
            <w:tcW w:w="243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Visual Memory</w:t>
            </w:r>
          </w:p>
        </w:tc>
        <w:tc>
          <w:tcPr>
            <w:tcW w:w="6920" w:type="dxa"/>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How well subject can recognize, remember and retrieve geometric figures.</w:t>
            </w:r>
          </w:p>
        </w:tc>
      </w:tr>
      <w:tr w:rsidR="00C90B11" w:rsidRPr="00E57CB7" w:rsidTr="004E1E5E">
        <w:trPr>
          <w:trHeight w:val="152"/>
        </w:trPr>
        <w:tc>
          <w:tcPr>
            <w:tcW w:w="9350" w:type="dxa"/>
            <w:gridSpan w:val="2"/>
            <w:tcBorders>
              <w:top w:val="single" w:sz="4" w:space="0" w:color="auto"/>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rPr>
              <w:t xml:space="preserve">Interpretation is </w:t>
            </w:r>
            <w:r w:rsidRPr="00E57CB7">
              <w:rPr>
                <w:rFonts w:ascii="Arial" w:hAnsi="Arial" w:cs="Arial"/>
                <w:i/>
                <w:iCs/>
                <w:color w:val="000000" w:themeColor="text1"/>
                <w:sz w:val="20"/>
                <w:szCs w:val="20"/>
              </w:rPr>
              <w:t>verbatim</w:t>
            </w:r>
            <w:r w:rsidRPr="00E57CB7">
              <w:rPr>
                <w:rFonts w:ascii="Arial" w:hAnsi="Arial" w:cs="Arial"/>
                <w:color w:val="000000" w:themeColor="text1"/>
                <w:sz w:val="20"/>
                <w:szCs w:val="20"/>
              </w:rPr>
              <w:t xml:space="preserve"> from page 13 of the CNS Vital Signs interpretation guide (https://www.cnsvs.com/WhitePapers/CNSVS-BriefInterpretationGuide.pdf)</w:t>
            </w:r>
          </w:p>
        </w:tc>
      </w:tr>
      <w:tr w:rsidR="00C90B11" w:rsidRPr="00E57CB7" w:rsidTr="004E1E5E">
        <w:trPr>
          <w:trHeight w:val="152"/>
        </w:trPr>
        <w:tc>
          <w:tcPr>
            <w:tcW w:w="9350" w:type="dxa"/>
            <w:gridSpan w:val="2"/>
            <w:tcBorders>
              <w:top w:val="nil"/>
              <w:left w:val="nil"/>
              <w:bottom w:val="nil"/>
              <w:right w:val="nil"/>
            </w:tcBorders>
          </w:tcPr>
          <w:p w:rsidR="00C90B11" w:rsidRPr="00E57CB7" w:rsidRDefault="00C90B11" w:rsidP="004E1E5E">
            <w:pPr>
              <w:contextualSpacing/>
              <w:rPr>
                <w:rFonts w:ascii="Arial" w:hAnsi="Arial" w:cs="Arial"/>
                <w:color w:val="000000" w:themeColor="text1"/>
                <w:sz w:val="20"/>
                <w:szCs w:val="20"/>
              </w:rPr>
            </w:pPr>
            <w:r w:rsidRPr="00E57CB7">
              <w:rPr>
                <w:rFonts w:ascii="Arial" w:hAnsi="Arial" w:cs="Arial"/>
                <w:color w:val="000000" w:themeColor="text1"/>
                <w:sz w:val="20"/>
                <w:szCs w:val="20"/>
                <w:vertAlign w:val="superscript"/>
              </w:rPr>
              <w:t>a</w:t>
            </w:r>
            <w:r w:rsidRPr="00E57CB7">
              <w:rPr>
                <w:rFonts w:ascii="Arial" w:hAnsi="Arial" w:cs="Arial"/>
                <w:color w:val="000000" w:themeColor="text1"/>
                <w:sz w:val="20"/>
                <w:szCs w:val="20"/>
              </w:rPr>
              <w:t xml:space="preserve"> lower scores are better</w:t>
            </w:r>
          </w:p>
        </w:tc>
      </w:tr>
    </w:tbl>
    <w:p w:rsidR="00C90B11" w:rsidRDefault="00C90B11"/>
    <w:p w:rsidR="00C90B11" w:rsidRDefault="00C90B11"/>
    <w:tbl>
      <w:tblPr>
        <w:tblStyle w:val="TableGrid"/>
        <w:tblW w:w="9422" w:type="dxa"/>
        <w:tblLook w:val="04A0" w:firstRow="1" w:lastRow="0" w:firstColumn="1" w:lastColumn="0" w:noHBand="0" w:noVBand="1"/>
      </w:tblPr>
      <w:tblGrid>
        <w:gridCol w:w="2591"/>
        <w:gridCol w:w="1282"/>
        <w:gridCol w:w="1342"/>
        <w:gridCol w:w="1350"/>
        <w:gridCol w:w="1490"/>
        <w:gridCol w:w="1367"/>
      </w:tblGrid>
      <w:tr w:rsidR="00C90B11" w:rsidRPr="00E57CB7" w:rsidTr="004E1E5E">
        <w:trPr>
          <w:trHeight w:val="107"/>
        </w:trPr>
        <w:tc>
          <w:tcPr>
            <w:tcW w:w="9422" w:type="dxa"/>
            <w:gridSpan w:val="6"/>
            <w:tcBorders>
              <w:top w:val="nil"/>
              <w:left w:val="nil"/>
              <w:bottom w:val="single" w:sz="4" w:space="0" w:color="auto"/>
              <w:right w:val="nil"/>
            </w:tcBorders>
            <w:vAlign w:val="bottom"/>
          </w:tcPr>
          <w:p w:rsidR="00C90B11" w:rsidRPr="00E57CB7" w:rsidRDefault="00C90B11" w:rsidP="004E1E5E">
            <w:pPr>
              <w:contextualSpacing/>
              <w:rPr>
                <w:rFonts w:ascii="Arial" w:eastAsia="Times New Roman" w:hAnsi="Arial" w:cs="Arial"/>
                <w:bCs/>
                <w:sz w:val="20"/>
                <w:szCs w:val="20"/>
              </w:rPr>
            </w:pPr>
            <w:r w:rsidRPr="00E57CB7">
              <w:rPr>
                <w:rFonts w:ascii="Arial" w:eastAsia="Times New Roman" w:hAnsi="Arial" w:cs="Arial"/>
                <w:bCs/>
                <w:sz w:val="20"/>
                <w:szCs w:val="20"/>
              </w:rPr>
              <w:t>Supplementary Table 2. Effect Size Calculation for Power Analysis</w:t>
            </w:r>
          </w:p>
        </w:tc>
      </w:tr>
      <w:tr w:rsidR="00C90B11" w:rsidRPr="00E57CB7" w:rsidTr="004E1E5E">
        <w:trPr>
          <w:trHeight w:val="845"/>
        </w:trPr>
        <w:tc>
          <w:tcPr>
            <w:tcW w:w="2591" w:type="dxa"/>
            <w:tcBorders>
              <w:top w:val="single" w:sz="4" w:space="0" w:color="auto"/>
              <w:left w:val="nil"/>
              <w:bottom w:val="single" w:sz="4" w:space="0" w:color="auto"/>
              <w:right w:val="nil"/>
            </w:tcBorders>
          </w:tcPr>
          <w:p w:rsidR="00C90B11" w:rsidRPr="00E57CB7" w:rsidRDefault="00C90B11" w:rsidP="004E1E5E">
            <w:pPr>
              <w:contextualSpacing/>
              <w:rPr>
                <w:rFonts w:ascii="Arial" w:eastAsia="Times New Roman" w:hAnsi="Arial" w:cs="Arial"/>
                <w:b/>
                <w:bCs/>
                <w:sz w:val="20"/>
                <w:szCs w:val="20"/>
              </w:rPr>
            </w:pPr>
          </w:p>
        </w:tc>
        <w:tc>
          <w:tcPr>
            <w:tcW w:w="1282" w:type="dxa"/>
            <w:tcBorders>
              <w:top w:val="single" w:sz="4" w:space="0" w:color="auto"/>
              <w:left w:val="nil"/>
              <w:bottom w:val="single" w:sz="4" w:space="0" w:color="auto"/>
              <w:right w:val="nil"/>
            </w:tcBorders>
            <w:vAlign w:val="center"/>
          </w:tcPr>
          <w:p w:rsidR="00C90B11" w:rsidRPr="00E57CB7" w:rsidRDefault="00C90B11" w:rsidP="004E1E5E">
            <w:pPr>
              <w:contextualSpacing/>
              <w:jc w:val="center"/>
              <w:rPr>
                <w:rFonts w:ascii="Arial" w:eastAsia="Times New Roman" w:hAnsi="Arial" w:cs="Arial"/>
                <w:b/>
                <w:bCs/>
                <w:sz w:val="20"/>
                <w:szCs w:val="20"/>
              </w:rPr>
            </w:pPr>
            <w:r w:rsidRPr="00E57CB7">
              <w:rPr>
                <w:rFonts w:ascii="Arial" w:eastAsia="Times New Roman" w:hAnsi="Arial" w:cs="Arial"/>
                <w:b/>
                <w:bCs/>
                <w:sz w:val="20"/>
                <w:szCs w:val="20"/>
              </w:rPr>
              <w:t>Football</w:t>
            </w:r>
          </w:p>
          <w:p w:rsidR="00C90B11" w:rsidRPr="00E57CB7" w:rsidRDefault="00C90B11" w:rsidP="004E1E5E">
            <w:pPr>
              <w:contextualSpacing/>
              <w:jc w:val="center"/>
              <w:rPr>
                <w:rFonts w:ascii="Arial" w:eastAsia="Times New Roman" w:hAnsi="Arial" w:cs="Arial"/>
                <w:b/>
                <w:bCs/>
                <w:sz w:val="20"/>
                <w:szCs w:val="20"/>
              </w:rPr>
            </w:pPr>
            <w:r w:rsidRPr="00E57CB7">
              <w:rPr>
                <w:rFonts w:ascii="Arial" w:eastAsia="Times New Roman" w:hAnsi="Arial" w:cs="Arial"/>
                <w:b/>
                <w:bCs/>
                <w:sz w:val="20"/>
                <w:szCs w:val="20"/>
              </w:rPr>
              <w:t>(n=31)</w:t>
            </w:r>
          </w:p>
        </w:tc>
        <w:tc>
          <w:tcPr>
            <w:tcW w:w="1342" w:type="dxa"/>
            <w:tcBorders>
              <w:top w:val="single" w:sz="4" w:space="0" w:color="auto"/>
              <w:left w:val="nil"/>
              <w:bottom w:val="single" w:sz="4" w:space="0" w:color="auto"/>
              <w:right w:val="nil"/>
            </w:tcBorders>
            <w:vAlign w:val="center"/>
          </w:tcPr>
          <w:p w:rsidR="00C90B11" w:rsidRPr="00E57CB7" w:rsidRDefault="00C90B11" w:rsidP="004E1E5E">
            <w:pPr>
              <w:contextualSpacing/>
              <w:jc w:val="center"/>
              <w:rPr>
                <w:rFonts w:ascii="Arial" w:eastAsia="Times New Roman" w:hAnsi="Arial" w:cs="Arial"/>
                <w:b/>
                <w:bCs/>
                <w:sz w:val="20"/>
                <w:szCs w:val="20"/>
              </w:rPr>
            </w:pPr>
            <w:r w:rsidRPr="00E57CB7">
              <w:rPr>
                <w:rFonts w:ascii="Arial" w:eastAsia="Times New Roman" w:hAnsi="Arial" w:cs="Arial"/>
                <w:b/>
                <w:bCs/>
                <w:sz w:val="20"/>
                <w:szCs w:val="20"/>
              </w:rPr>
              <w:t>Soccer</w:t>
            </w:r>
          </w:p>
          <w:p w:rsidR="00C90B11" w:rsidRPr="00E57CB7" w:rsidRDefault="00C90B11" w:rsidP="004E1E5E">
            <w:pPr>
              <w:contextualSpacing/>
              <w:jc w:val="center"/>
              <w:rPr>
                <w:rFonts w:ascii="Arial" w:eastAsia="Times New Roman" w:hAnsi="Arial" w:cs="Arial"/>
                <w:b/>
                <w:bCs/>
                <w:sz w:val="20"/>
                <w:szCs w:val="20"/>
              </w:rPr>
            </w:pPr>
            <w:r w:rsidRPr="00E57CB7">
              <w:rPr>
                <w:rFonts w:ascii="Arial" w:eastAsia="Times New Roman" w:hAnsi="Arial" w:cs="Arial"/>
                <w:b/>
                <w:bCs/>
                <w:sz w:val="20"/>
                <w:szCs w:val="20"/>
              </w:rPr>
              <w:t>(n=9)</w:t>
            </w:r>
          </w:p>
        </w:tc>
        <w:tc>
          <w:tcPr>
            <w:tcW w:w="1350" w:type="dxa"/>
            <w:tcBorders>
              <w:top w:val="single" w:sz="4" w:space="0" w:color="auto"/>
              <w:left w:val="nil"/>
              <w:bottom w:val="single" w:sz="4" w:space="0" w:color="auto"/>
              <w:right w:val="nil"/>
            </w:tcBorders>
            <w:vAlign w:val="center"/>
          </w:tcPr>
          <w:p w:rsidR="00C90B11" w:rsidRPr="00E57CB7" w:rsidRDefault="00C90B11" w:rsidP="004E1E5E">
            <w:pPr>
              <w:contextualSpacing/>
              <w:jc w:val="center"/>
              <w:rPr>
                <w:rFonts w:ascii="Arial" w:eastAsia="Times New Roman" w:hAnsi="Arial" w:cs="Arial"/>
                <w:b/>
                <w:bCs/>
                <w:sz w:val="20"/>
                <w:szCs w:val="20"/>
              </w:rPr>
            </w:pPr>
            <w:r w:rsidRPr="00E57CB7">
              <w:rPr>
                <w:rFonts w:ascii="Arial" w:eastAsia="Times New Roman" w:hAnsi="Arial" w:cs="Arial"/>
                <w:b/>
                <w:bCs/>
                <w:sz w:val="20"/>
                <w:szCs w:val="20"/>
              </w:rPr>
              <w:t>MVA</w:t>
            </w:r>
          </w:p>
          <w:p w:rsidR="00C90B11" w:rsidRPr="00E57CB7" w:rsidRDefault="00C90B11" w:rsidP="004E1E5E">
            <w:pPr>
              <w:contextualSpacing/>
              <w:jc w:val="center"/>
              <w:rPr>
                <w:rFonts w:ascii="Arial" w:eastAsia="Times New Roman" w:hAnsi="Arial" w:cs="Arial"/>
                <w:b/>
                <w:bCs/>
                <w:sz w:val="20"/>
                <w:szCs w:val="20"/>
              </w:rPr>
            </w:pPr>
            <w:r w:rsidRPr="00E57CB7">
              <w:rPr>
                <w:rFonts w:ascii="Arial" w:eastAsia="Times New Roman" w:hAnsi="Arial" w:cs="Arial"/>
                <w:b/>
                <w:bCs/>
                <w:sz w:val="20"/>
                <w:szCs w:val="20"/>
              </w:rPr>
              <w:t>(n=20)</w:t>
            </w:r>
          </w:p>
        </w:tc>
        <w:tc>
          <w:tcPr>
            <w:tcW w:w="1490" w:type="dxa"/>
            <w:tcBorders>
              <w:top w:val="single" w:sz="4" w:space="0" w:color="auto"/>
              <w:left w:val="nil"/>
              <w:bottom w:val="single" w:sz="4" w:space="0" w:color="auto"/>
              <w:right w:val="nil"/>
            </w:tcBorders>
            <w:vAlign w:val="center"/>
          </w:tcPr>
          <w:p w:rsidR="00C90B11" w:rsidRPr="00E57CB7" w:rsidRDefault="00C90B11" w:rsidP="004E1E5E">
            <w:pPr>
              <w:contextualSpacing/>
              <w:jc w:val="center"/>
              <w:rPr>
                <w:rFonts w:ascii="Arial" w:eastAsia="Times New Roman" w:hAnsi="Arial" w:cs="Arial"/>
                <w:b/>
                <w:bCs/>
                <w:sz w:val="20"/>
                <w:szCs w:val="20"/>
              </w:rPr>
            </w:pPr>
            <w:r w:rsidRPr="00E57CB7">
              <w:rPr>
                <w:rFonts w:ascii="Arial" w:eastAsia="Times New Roman" w:hAnsi="Arial" w:cs="Arial"/>
                <w:b/>
                <w:bCs/>
                <w:sz w:val="20"/>
                <w:szCs w:val="20"/>
              </w:rPr>
              <w:t>MVA-Football (Cohen’s d)</w:t>
            </w:r>
          </w:p>
        </w:tc>
        <w:tc>
          <w:tcPr>
            <w:tcW w:w="1367" w:type="dxa"/>
            <w:tcBorders>
              <w:top w:val="single" w:sz="4" w:space="0" w:color="auto"/>
              <w:left w:val="nil"/>
              <w:bottom w:val="single" w:sz="4" w:space="0" w:color="auto"/>
              <w:right w:val="nil"/>
            </w:tcBorders>
            <w:vAlign w:val="center"/>
          </w:tcPr>
          <w:p w:rsidR="00C90B11" w:rsidRPr="00E57CB7" w:rsidRDefault="00C90B11" w:rsidP="004E1E5E">
            <w:pPr>
              <w:contextualSpacing/>
              <w:jc w:val="center"/>
              <w:rPr>
                <w:rFonts w:ascii="Arial" w:eastAsia="Times New Roman" w:hAnsi="Arial" w:cs="Arial"/>
                <w:b/>
                <w:bCs/>
                <w:sz w:val="20"/>
                <w:szCs w:val="20"/>
              </w:rPr>
            </w:pPr>
            <w:r w:rsidRPr="00E57CB7">
              <w:rPr>
                <w:rFonts w:ascii="Arial" w:eastAsia="Times New Roman" w:hAnsi="Arial" w:cs="Arial"/>
                <w:b/>
                <w:bCs/>
                <w:sz w:val="20"/>
                <w:szCs w:val="20"/>
              </w:rPr>
              <w:t>MVA-Soccer (Cohen’s d)</w:t>
            </w:r>
          </w:p>
        </w:tc>
      </w:tr>
      <w:tr w:rsidR="00C90B11" w:rsidRPr="00E57CB7" w:rsidTr="004E1E5E">
        <w:trPr>
          <w:trHeight w:val="538"/>
        </w:trPr>
        <w:tc>
          <w:tcPr>
            <w:tcW w:w="2591" w:type="dxa"/>
            <w:tcBorders>
              <w:top w:val="single" w:sz="4" w:space="0" w:color="auto"/>
              <w:left w:val="nil"/>
              <w:bottom w:val="nil"/>
              <w:right w:val="nil"/>
            </w:tcBorders>
          </w:tcPr>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Verbal Memory</w:t>
            </w:r>
          </w:p>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 xml:space="preserve">     Percentile</w:t>
            </w:r>
          </w:p>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 xml:space="preserve">     T Score</w:t>
            </w:r>
          </w:p>
        </w:tc>
        <w:tc>
          <w:tcPr>
            <w:tcW w:w="1282" w:type="dxa"/>
            <w:tcBorders>
              <w:top w:val="single" w:sz="4" w:space="0" w:color="auto"/>
              <w:left w:val="nil"/>
              <w:bottom w:val="nil"/>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41</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47.7</w:t>
            </w:r>
          </w:p>
        </w:tc>
        <w:tc>
          <w:tcPr>
            <w:tcW w:w="1342" w:type="dxa"/>
            <w:tcBorders>
              <w:top w:val="single" w:sz="4" w:space="0" w:color="auto"/>
              <w:left w:val="nil"/>
              <w:bottom w:val="nil"/>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44</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48.5</w:t>
            </w:r>
          </w:p>
        </w:tc>
        <w:tc>
          <w:tcPr>
            <w:tcW w:w="1350" w:type="dxa"/>
            <w:tcBorders>
              <w:top w:val="single" w:sz="4" w:space="0" w:color="auto"/>
              <w:left w:val="nil"/>
              <w:bottom w:val="nil"/>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35</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46.1</w:t>
            </w:r>
          </w:p>
        </w:tc>
        <w:tc>
          <w:tcPr>
            <w:tcW w:w="1490" w:type="dxa"/>
            <w:tcBorders>
              <w:top w:val="single" w:sz="4" w:space="0" w:color="auto"/>
              <w:left w:val="nil"/>
              <w:bottom w:val="nil"/>
              <w:right w:val="nil"/>
            </w:tcBorders>
            <w:vAlign w:val="center"/>
          </w:tcPr>
          <w:p w:rsidR="00C90B11"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0.16</w:t>
            </w:r>
          </w:p>
        </w:tc>
        <w:tc>
          <w:tcPr>
            <w:tcW w:w="1367" w:type="dxa"/>
            <w:tcBorders>
              <w:top w:val="single" w:sz="4" w:space="0" w:color="auto"/>
              <w:left w:val="nil"/>
              <w:bottom w:val="nil"/>
              <w:right w:val="nil"/>
            </w:tcBorders>
            <w:vAlign w:val="center"/>
          </w:tcPr>
          <w:p w:rsidR="00C90B11"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0.24</w:t>
            </w:r>
          </w:p>
        </w:tc>
      </w:tr>
      <w:tr w:rsidR="00C90B11" w:rsidRPr="00E57CB7" w:rsidTr="004E1E5E">
        <w:trPr>
          <w:trHeight w:val="553"/>
        </w:trPr>
        <w:tc>
          <w:tcPr>
            <w:tcW w:w="2591" w:type="dxa"/>
            <w:tcBorders>
              <w:top w:val="nil"/>
              <w:left w:val="nil"/>
              <w:bottom w:val="nil"/>
              <w:right w:val="nil"/>
            </w:tcBorders>
          </w:tcPr>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Visual Memory</w:t>
            </w:r>
          </w:p>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 xml:space="preserve">     Percentile</w:t>
            </w:r>
          </w:p>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 xml:space="preserve">     T Score</w:t>
            </w:r>
          </w:p>
        </w:tc>
        <w:tc>
          <w:tcPr>
            <w:tcW w:w="1282" w:type="dxa"/>
            <w:tcBorders>
              <w:top w:val="nil"/>
              <w:left w:val="nil"/>
              <w:bottom w:val="nil"/>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41</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47.7</w:t>
            </w:r>
          </w:p>
        </w:tc>
        <w:tc>
          <w:tcPr>
            <w:tcW w:w="1342" w:type="dxa"/>
            <w:tcBorders>
              <w:top w:val="nil"/>
              <w:left w:val="nil"/>
              <w:bottom w:val="nil"/>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45</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48.7</w:t>
            </w:r>
          </w:p>
        </w:tc>
        <w:tc>
          <w:tcPr>
            <w:tcW w:w="1350" w:type="dxa"/>
            <w:tcBorders>
              <w:top w:val="nil"/>
              <w:left w:val="nil"/>
              <w:bottom w:val="nil"/>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24</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42.9</w:t>
            </w:r>
          </w:p>
        </w:tc>
        <w:tc>
          <w:tcPr>
            <w:tcW w:w="1490" w:type="dxa"/>
            <w:tcBorders>
              <w:top w:val="nil"/>
              <w:left w:val="nil"/>
              <w:bottom w:val="nil"/>
              <w:right w:val="nil"/>
            </w:tcBorders>
            <w:vAlign w:val="center"/>
          </w:tcPr>
          <w:p w:rsidR="00C90B11"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0.48</w:t>
            </w:r>
          </w:p>
        </w:tc>
        <w:tc>
          <w:tcPr>
            <w:tcW w:w="1367" w:type="dxa"/>
            <w:tcBorders>
              <w:top w:val="nil"/>
              <w:left w:val="nil"/>
              <w:bottom w:val="nil"/>
              <w:right w:val="nil"/>
            </w:tcBorders>
            <w:vAlign w:val="center"/>
          </w:tcPr>
          <w:p w:rsidR="00C90B11"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0.58</w:t>
            </w:r>
          </w:p>
        </w:tc>
      </w:tr>
      <w:tr w:rsidR="00C90B11" w:rsidRPr="00E57CB7" w:rsidTr="004E1E5E">
        <w:trPr>
          <w:trHeight w:val="538"/>
        </w:trPr>
        <w:tc>
          <w:tcPr>
            <w:tcW w:w="2591" w:type="dxa"/>
            <w:tcBorders>
              <w:top w:val="nil"/>
              <w:left w:val="nil"/>
              <w:bottom w:val="nil"/>
              <w:right w:val="nil"/>
            </w:tcBorders>
          </w:tcPr>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Visual Motor Speed</w:t>
            </w:r>
          </w:p>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 xml:space="preserve">     Percentile</w:t>
            </w:r>
          </w:p>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 xml:space="preserve">     T Score</w:t>
            </w:r>
          </w:p>
        </w:tc>
        <w:tc>
          <w:tcPr>
            <w:tcW w:w="1282" w:type="dxa"/>
            <w:tcBorders>
              <w:top w:val="nil"/>
              <w:left w:val="nil"/>
              <w:bottom w:val="nil"/>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44</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48.5</w:t>
            </w:r>
          </w:p>
        </w:tc>
        <w:tc>
          <w:tcPr>
            <w:tcW w:w="1342" w:type="dxa"/>
            <w:tcBorders>
              <w:top w:val="nil"/>
              <w:left w:val="nil"/>
              <w:bottom w:val="nil"/>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82</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59.2</w:t>
            </w:r>
          </w:p>
        </w:tc>
        <w:tc>
          <w:tcPr>
            <w:tcW w:w="1350" w:type="dxa"/>
            <w:tcBorders>
              <w:top w:val="nil"/>
              <w:left w:val="nil"/>
              <w:bottom w:val="nil"/>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47</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49.2</w:t>
            </w:r>
          </w:p>
        </w:tc>
        <w:tc>
          <w:tcPr>
            <w:tcW w:w="1490" w:type="dxa"/>
            <w:tcBorders>
              <w:top w:val="nil"/>
              <w:left w:val="nil"/>
              <w:bottom w:val="nil"/>
              <w:right w:val="nil"/>
            </w:tcBorders>
            <w:vAlign w:val="center"/>
          </w:tcPr>
          <w:p w:rsidR="00C90B11"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0.07</w:t>
            </w:r>
          </w:p>
        </w:tc>
        <w:tc>
          <w:tcPr>
            <w:tcW w:w="1367" w:type="dxa"/>
            <w:tcBorders>
              <w:top w:val="nil"/>
              <w:left w:val="nil"/>
              <w:bottom w:val="nil"/>
              <w:right w:val="nil"/>
            </w:tcBorders>
            <w:vAlign w:val="center"/>
          </w:tcPr>
          <w:p w:rsidR="00C90B11"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1.00</w:t>
            </w:r>
          </w:p>
        </w:tc>
      </w:tr>
      <w:tr w:rsidR="00C90B11" w:rsidRPr="00E57CB7" w:rsidTr="004E1E5E">
        <w:trPr>
          <w:trHeight w:val="553"/>
        </w:trPr>
        <w:tc>
          <w:tcPr>
            <w:tcW w:w="2591" w:type="dxa"/>
            <w:tcBorders>
              <w:top w:val="nil"/>
              <w:left w:val="nil"/>
              <w:bottom w:val="single" w:sz="4" w:space="0" w:color="auto"/>
              <w:right w:val="nil"/>
            </w:tcBorders>
          </w:tcPr>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Reaction Time</w:t>
            </w:r>
          </w:p>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 xml:space="preserve">     Percentile</w:t>
            </w:r>
          </w:p>
          <w:p w:rsidR="00C90B11" w:rsidRPr="00546620" w:rsidRDefault="00C90B11" w:rsidP="004E1E5E">
            <w:pPr>
              <w:contextualSpacing/>
              <w:rPr>
                <w:rFonts w:ascii="Arial" w:eastAsia="Times New Roman" w:hAnsi="Arial" w:cs="Arial"/>
                <w:sz w:val="20"/>
                <w:szCs w:val="20"/>
              </w:rPr>
            </w:pPr>
            <w:r w:rsidRPr="00546620">
              <w:rPr>
                <w:rFonts w:ascii="Arial" w:eastAsia="Times New Roman" w:hAnsi="Arial" w:cs="Arial"/>
                <w:sz w:val="20"/>
                <w:szCs w:val="20"/>
              </w:rPr>
              <w:t xml:space="preserve">     T Score</w:t>
            </w:r>
          </w:p>
        </w:tc>
        <w:tc>
          <w:tcPr>
            <w:tcW w:w="1282" w:type="dxa"/>
            <w:tcBorders>
              <w:top w:val="nil"/>
              <w:left w:val="nil"/>
              <w:bottom w:val="single" w:sz="4" w:space="0" w:color="auto"/>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41</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47.7</w:t>
            </w:r>
          </w:p>
        </w:tc>
        <w:tc>
          <w:tcPr>
            <w:tcW w:w="1342" w:type="dxa"/>
            <w:tcBorders>
              <w:top w:val="nil"/>
              <w:left w:val="nil"/>
              <w:bottom w:val="single" w:sz="4" w:space="0" w:color="auto"/>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50</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50.0</w:t>
            </w:r>
          </w:p>
        </w:tc>
        <w:tc>
          <w:tcPr>
            <w:tcW w:w="1350" w:type="dxa"/>
            <w:tcBorders>
              <w:top w:val="nil"/>
              <w:left w:val="nil"/>
              <w:bottom w:val="single" w:sz="4" w:space="0" w:color="auto"/>
              <w:right w:val="nil"/>
            </w:tcBorders>
            <w:vAlign w:val="center"/>
          </w:tcPr>
          <w:p w:rsidR="00C90B11" w:rsidRPr="00E57CB7"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30</w:t>
            </w: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44.8</w:t>
            </w:r>
          </w:p>
        </w:tc>
        <w:tc>
          <w:tcPr>
            <w:tcW w:w="1490" w:type="dxa"/>
            <w:tcBorders>
              <w:top w:val="nil"/>
              <w:left w:val="nil"/>
              <w:bottom w:val="single" w:sz="4" w:space="0" w:color="auto"/>
              <w:right w:val="nil"/>
            </w:tcBorders>
            <w:vAlign w:val="center"/>
          </w:tcPr>
          <w:p w:rsidR="00C90B11"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0.29</w:t>
            </w:r>
          </w:p>
        </w:tc>
        <w:tc>
          <w:tcPr>
            <w:tcW w:w="1367" w:type="dxa"/>
            <w:tcBorders>
              <w:top w:val="nil"/>
              <w:left w:val="nil"/>
              <w:bottom w:val="single" w:sz="4" w:space="0" w:color="auto"/>
              <w:right w:val="nil"/>
            </w:tcBorders>
            <w:vAlign w:val="center"/>
          </w:tcPr>
          <w:p w:rsidR="00C90B11" w:rsidRDefault="00C90B11" w:rsidP="004E1E5E">
            <w:pPr>
              <w:contextualSpacing/>
              <w:jc w:val="center"/>
              <w:rPr>
                <w:rFonts w:ascii="Arial" w:eastAsia="Times New Roman" w:hAnsi="Arial" w:cs="Arial"/>
                <w:bCs/>
                <w:sz w:val="20"/>
                <w:szCs w:val="20"/>
              </w:rPr>
            </w:pPr>
          </w:p>
          <w:p w:rsidR="00C90B11" w:rsidRPr="00E57CB7" w:rsidRDefault="00C90B11" w:rsidP="004E1E5E">
            <w:pPr>
              <w:contextualSpacing/>
              <w:jc w:val="center"/>
              <w:rPr>
                <w:rFonts w:ascii="Arial" w:eastAsia="Times New Roman" w:hAnsi="Arial" w:cs="Arial"/>
                <w:bCs/>
                <w:sz w:val="20"/>
                <w:szCs w:val="20"/>
              </w:rPr>
            </w:pPr>
            <w:r w:rsidRPr="00E57CB7">
              <w:rPr>
                <w:rFonts w:ascii="Arial" w:eastAsia="Times New Roman" w:hAnsi="Arial" w:cs="Arial"/>
                <w:bCs/>
                <w:sz w:val="20"/>
                <w:szCs w:val="20"/>
              </w:rPr>
              <w:t>0.52</w:t>
            </w:r>
          </w:p>
        </w:tc>
      </w:tr>
      <w:tr w:rsidR="00C90B11" w:rsidTr="004E1E5E">
        <w:trPr>
          <w:trHeight w:val="553"/>
        </w:trPr>
        <w:tc>
          <w:tcPr>
            <w:tcW w:w="9422" w:type="dxa"/>
            <w:gridSpan w:val="6"/>
            <w:tcBorders>
              <w:top w:val="single" w:sz="4" w:space="0" w:color="auto"/>
              <w:left w:val="nil"/>
              <w:bottom w:val="nil"/>
              <w:right w:val="nil"/>
            </w:tcBorders>
          </w:tcPr>
          <w:p w:rsidR="00C90B11" w:rsidRDefault="00C90B11" w:rsidP="004E1E5E">
            <w:pPr>
              <w:contextualSpacing/>
              <w:rPr>
                <w:rFonts w:ascii="Arial" w:eastAsia="Times New Roman" w:hAnsi="Arial" w:cs="Arial"/>
                <w:bCs/>
                <w:sz w:val="20"/>
                <w:szCs w:val="20"/>
              </w:rPr>
            </w:pPr>
            <w:r>
              <w:rPr>
                <w:rFonts w:ascii="Arial" w:eastAsia="Times New Roman" w:hAnsi="Arial" w:cs="Arial"/>
                <w:bCs/>
                <w:sz w:val="20"/>
                <w:szCs w:val="20"/>
              </w:rPr>
              <w:t xml:space="preserve">Percentiles and sample size are taken directly from </w:t>
            </w:r>
            <w:proofErr w:type="spellStart"/>
            <w:r>
              <w:rPr>
                <w:rFonts w:ascii="Arial" w:eastAsia="Times New Roman" w:hAnsi="Arial" w:cs="Arial"/>
                <w:bCs/>
                <w:sz w:val="20"/>
                <w:szCs w:val="20"/>
              </w:rPr>
              <w:t>Seiger</w:t>
            </w:r>
            <w:proofErr w:type="spellEnd"/>
            <w:r>
              <w:rPr>
                <w:rFonts w:ascii="Arial" w:eastAsia="Times New Roman" w:hAnsi="Arial" w:cs="Arial"/>
                <w:bCs/>
                <w:sz w:val="20"/>
                <w:szCs w:val="20"/>
              </w:rPr>
              <w:t xml:space="preserve"> et al. (2015).</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ZOTERO_ITEM CSL_CITATION {"citationID":"a252jef97vh","properties":{"formattedCitation":"\\super 9\\nosupersub{}","plainCitation":"9","noteIndex":0},"citationItems":[{"id":1653,"uris":["http://zotero.org/users/9474304/items/LFU8N5NM"],"itemData":{"id":1653,"type":"article-journal","abstract":"BACKGROUND: High school football and soccer are 2 of the leading causes of concussion injuries. However, concussions also occur from mechanisms of injury such as motor vehicle accidents (MVAs), assault, and work-related accidents.\nPURPOSE: Determine if recovery from concussion could be related to the mechanism of injury.\nSETTING: Berkshire Medical Center Concussion Clinic.\nPARTICIPANTS: Patients aged 13 to 21 years suffering concussion from football (n = 31), soccer (n = 9), or MVAs (n = 20).\nOUTCOME MEASUREMENTS: ImPACT (Immediate Post Concussion Assessment Tool) test scores including symptom inventory; number of days sick; length of time to recovery.\nRESULTS: Most commonly reported symptom at the time of injury was headache. Patients were seen in clinic an average of 16 (football), 14 (soccer), and 21 (MVA) days postinjury. Groups differed significantly on ImPACT Visual Memory and Visual Motor Speed scores (P &lt; .05). MVA patients had a longer median number of days sick (97 days) than football players (32 days; P &lt; .05).\nCONCLUSION: This study suggests that concussion from an MVA may be a more serious injury than a typical concussion sustained during sports. Data suggest that MVA patients take longer to present to clinic, have lower Visual Memory and Visual Motor Speed scores on ImPACT, and take longer to recover. Further studies are needed to better understand how the mechanism of injury of concussion may relate to prognosis.","container-title":"The Journal of Head Trauma Rehabilitation","DOI":"10.1097/HTR.0000000000000051","ISSN":"1550-509X","issue":"3","journalAbbreviation":"J Head Trauma Rehabil","language":"eng","note":"PMID: 24901324","page":"E52-56","source":"PubMed","title":"Does mechanism of injury play a role in recovery from concussion?","volume":"30","author":[{"family":"Seiger","given":"Ashley"},{"family":"Goldwater","given":"Eva"},{"family":"Deibert","given":"Ellen"}],"issued":{"date-parts":[["2015",6]]}}}],"schema":"https://github.com/citation-style-language/schema/raw/master/csl-citation.json"} </w:instrText>
            </w:r>
            <w:r>
              <w:rPr>
                <w:rFonts w:ascii="Arial" w:eastAsia="Times New Roman" w:hAnsi="Arial" w:cs="Arial"/>
                <w:bCs/>
                <w:sz w:val="20"/>
                <w:szCs w:val="20"/>
              </w:rPr>
              <w:fldChar w:fldCharType="separate"/>
            </w:r>
            <w:r w:rsidRPr="004B5966">
              <w:rPr>
                <w:rFonts w:ascii="Arial" w:hAnsi="Arial" w:cs="Arial"/>
                <w:sz w:val="20"/>
                <w:vertAlign w:val="superscript"/>
              </w:rPr>
              <w:t>9</w:t>
            </w:r>
            <w:r>
              <w:rPr>
                <w:rFonts w:ascii="Arial" w:eastAsia="Times New Roman" w:hAnsi="Arial" w:cs="Arial"/>
                <w:bCs/>
                <w:sz w:val="20"/>
                <w:szCs w:val="20"/>
              </w:rPr>
              <w:fldChar w:fldCharType="end"/>
            </w:r>
            <w:r>
              <w:rPr>
                <w:rFonts w:ascii="Arial" w:eastAsia="Times New Roman" w:hAnsi="Arial" w:cs="Arial"/>
                <w:bCs/>
                <w:sz w:val="20"/>
                <w:szCs w:val="20"/>
              </w:rPr>
              <w:t xml:space="preserve"> T Scores and effect sizes calculated as described in the methods.</w:t>
            </w:r>
          </w:p>
          <w:p w:rsidR="00C90B11" w:rsidRDefault="00C90B11" w:rsidP="004E1E5E">
            <w:pPr>
              <w:contextualSpacing/>
              <w:rPr>
                <w:rFonts w:ascii="Arial" w:eastAsia="Times New Roman" w:hAnsi="Arial" w:cs="Arial"/>
                <w:bCs/>
                <w:sz w:val="20"/>
                <w:szCs w:val="20"/>
              </w:rPr>
            </w:pPr>
            <w:r>
              <w:rPr>
                <w:rFonts w:ascii="Arial" w:eastAsia="Times New Roman" w:hAnsi="Arial" w:cs="Arial"/>
                <w:bCs/>
                <w:sz w:val="20"/>
                <w:szCs w:val="20"/>
              </w:rPr>
              <w:t>Abbreviate – MVA: Motor vehicle accident</w:t>
            </w:r>
            <w:r>
              <w:rPr>
                <w:rFonts w:ascii="Arial" w:eastAsia="Times New Roman" w:hAnsi="Arial" w:cs="Arial"/>
                <w:bCs/>
                <w:sz w:val="20"/>
                <w:szCs w:val="20"/>
              </w:rPr>
              <w:fldChar w:fldCharType="begin"/>
            </w:r>
            <w:r>
              <w:rPr>
                <w:rFonts w:ascii="Arial" w:eastAsia="Times New Roman" w:hAnsi="Arial" w:cs="Arial"/>
                <w:bCs/>
                <w:sz w:val="20"/>
                <w:szCs w:val="20"/>
              </w:rPr>
              <w:instrText xml:space="preserve"> ADDIN ZOTERO_ITEM CSL_CITATION {"citationID":"6w7pO8tX","properties":{"formattedCitation":"\\super 9\\nosupersub{}","plainCitation":"9","noteIndex":0},"citationItems":[{"id":1653,"uris":["http://zotero.org/users/9474304/items/LFU8N5NM"],"itemData":{"id":1653,"type":"article-journal","abstract":"BACKGROUND: High school football and soccer are 2 of the leading causes of concussion injuries. However, concussions also occur from mechanisms of injury such as motor vehicle accidents (MVAs), assault, and work-related accidents.\nPURPOSE: Determine if recovery from concussion could be related to the mechanism of injury.\nSETTING: Berkshire Medical Center Concussion Clinic.\nPARTICIPANTS: Patients aged 13 to 21 years suffering concussion from football (n = 31), soccer (n = 9), or MVAs (n = 20).\nOUTCOME MEASUREMENTS: ImPACT (Immediate Post Concussion Assessment Tool) test scores including symptom inventory; number of days sick; length of time to recovery.\nRESULTS: Most commonly reported symptom at the time of injury was headache. Patients were seen in clinic an average of 16 (football), 14 (soccer), and 21 (MVA) days postinjury. Groups differed significantly on ImPACT Visual Memory and Visual Motor Speed scores (P &lt; .05). MVA patients had a longer median number of days sick (97 days) than football players (32 days; P &lt; .05).\nCONCLUSION: This study suggests that concussion from an MVA may be a more serious injury than a typical concussion sustained during sports. Data suggest that MVA patients take longer to present to clinic, have lower Visual Memory and Visual Motor Speed scores on ImPACT, and take longer to recover. Further studies are needed to better understand how the mechanism of injury of concussion may relate to prognosis.","container-title":"The Journal of Head Trauma Rehabilitation","DOI":"10.1097/HTR.0000000000000051","ISSN":"1550-509X","issue":"3","journalAbbreviation":"J Head Trauma Rehabil","language":"eng","note":"PMID: 24901324","page":"E52-56","source":"PubMed","title":"Does mechanism of injury play a role in recovery from concussion?","volume":"30","author":[{"family":"Seiger","given":"Ashley"},{"family":"Goldwater","given":"Eva"},{"family":"Deibert","given":"Ellen"}],"issued":{"date-parts":[["2015",6]]}}}],"schema":"https://github.com/citation-style-language/schema/raw/master/csl-citation.json"} </w:instrText>
            </w:r>
            <w:r>
              <w:rPr>
                <w:rFonts w:ascii="Arial" w:eastAsia="Times New Roman" w:hAnsi="Arial" w:cs="Arial"/>
                <w:bCs/>
                <w:sz w:val="20"/>
                <w:szCs w:val="20"/>
              </w:rPr>
              <w:fldChar w:fldCharType="separate"/>
            </w:r>
            <w:r w:rsidRPr="004B5966">
              <w:rPr>
                <w:rFonts w:ascii="Arial" w:hAnsi="Arial" w:cs="Arial"/>
                <w:sz w:val="20"/>
                <w:vertAlign w:val="superscript"/>
              </w:rPr>
              <w:t>9</w:t>
            </w:r>
            <w:r>
              <w:rPr>
                <w:rFonts w:ascii="Arial" w:eastAsia="Times New Roman" w:hAnsi="Arial" w:cs="Arial"/>
                <w:bCs/>
                <w:sz w:val="20"/>
                <w:szCs w:val="20"/>
              </w:rPr>
              <w:fldChar w:fldCharType="end"/>
            </w:r>
          </w:p>
        </w:tc>
      </w:tr>
    </w:tbl>
    <w:p w:rsidR="00C90B11" w:rsidRDefault="00C90B11">
      <w:bookmarkStart w:id="0" w:name="_GoBack"/>
      <w:bookmarkEnd w:id="0"/>
    </w:p>
    <w:sectPr w:rsidR="00C90B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Kartika">
    <w:altName w:val="Bell MT"/>
    <w:panose1 w:val="0202050303040406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B11"/>
    <w:rsid w:val="0051408C"/>
    <w:rsid w:val="00C90B11"/>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11"/>
    <w:pPr>
      <w:spacing w:after="8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B1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B11"/>
    <w:pPr>
      <w:spacing w:after="8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0B11"/>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Rili</dc:creator>
  <cp:lastModifiedBy>Rili</cp:lastModifiedBy>
  <cp:revision>1</cp:revision>
  <dcterms:created xsi:type="dcterms:W3CDTF">2023-03-14T22:39:00Z</dcterms:created>
  <dcterms:modified xsi:type="dcterms:W3CDTF">2023-03-14T22:40:00Z</dcterms:modified>
</cp:coreProperties>
</file>