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E963" w14:textId="77777777" w:rsidR="000069B7" w:rsidRPr="003A50C7" w:rsidRDefault="000069B7" w:rsidP="000069B7">
      <w:pPr>
        <w:spacing w:line="480" w:lineRule="auto"/>
        <w:rPr>
          <w:b/>
          <w:bCs/>
          <w:sz w:val="28"/>
          <w:szCs w:val="28"/>
        </w:rPr>
      </w:pPr>
      <w:bookmarkStart w:id="0" w:name="_Toc123653714"/>
      <w:r w:rsidRPr="003A50C7">
        <w:rPr>
          <w:b/>
          <w:bCs/>
          <w:sz w:val="28"/>
          <w:szCs w:val="28"/>
        </w:rPr>
        <w:t>Supplementary materials</w:t>
      </w:r>
      <w:bookmarkEnd w:id="0"/>
      <w:r>
        <w:rPr>
          <w:b/>
          <w:bCs/>
          <w:sz w:val="28"/>
          <w:szCs w:val="28"/>
        </w:rPr>
        <w:t xml:space="preserve"> for:</w:t>
      </w:r>
    </w:p>
    <w:p w14:paraId="235E6BA9" w14:textId="77777777" w:rsidR="000069B7" w:rsidRPr="003A50C7" w:rsidRDefault="000069B7" w:rsidP="000069B7">
      <w:pPr>
        <w:spacing w:line="480" w:lineRule="auto"/>
        <w:rPr>
          <w:rFonts w:eastAsia="Times New Roman"/>
          <w:b/>
          <w:bCs/>
          <w:sz w:val="28"/>
          <w:szCs w:val="28"/>
          <w:lang w:val="en-US" w:eastAsia="en-GB"/>
        </w:rPr>
      </w:pPr>
      <w:r w:rsidRPr="003A50C7">
        <w:rPr>
          <w:b/>
          <w:bCs/>
          <w:sz w:val="28"/>
          <w:szCs w:val="28"/>
          <w:lang w:val="en-US"/>
        </w:rPr>
        <w:t>Pharmacokinetics and safety of candidate tocilizumab biosimilar CT-P47 versus</w:t>
      </w:r>
      <w:r w:rsidRPr="003A50C7">
        <w:rPr>
          <w:rFonts w:eastAsia="Times New Roman"/>
          <w:b/>
          <w:bCs/>
          <w:sz w:val="28"/>
          <w:szCs w:val="28"/>
          <w:lang w:val="en-US" w:eastAsia="en-GB"/>
        </w:rPr>
        <w:t xml:space="preserve"> reference tocilizumab: a randomized, double-blind, single-dose phase I study</w:t>
      </w:r>
    </w:p>
    <w:p w14:paraId="7854ED0F" w14:textId="77777777" w:rsidR="000069B7" w:rsidRDefault="000069B7" w:rsidP="000069B7"/>
    <w:p w14:paraId="6D176144" w14:textId="77777777" w:rsidR="000069B7" w:rsidRDefault="000069B7" w:rsidP="000069B7">
      <w:pPr>
        <w:spacing w:before="0" w:after="160" w:line="259" w:lineRule="auto"/>
        <w:rPr>
          <w:lang w:val="en-US"/>
        </w:rPr>
      </w:pPr>
      <w:r>
        <w:rPr>
          <w:lang w:val="en-US"/>
        </w:rPr>
        <w:br w:type="page"/>
      </w:r>
    </w:p>
    <w:sdt>
      <w:sdtPr>
        <w:rPr>
          <w:rFonts w:ascii="Arial" w:eastAsia="Batang" w:hAnsi="Arial" w:cs="Courier New"/>
          <w:color w:val="auto"/>
          <w:sz w:val="24"/>
          <w:szCs w:val="22"/>
          <w:lang w:val="en-GB"/>
        </w:rPr>
        <w:id w:val="-1169950878"/>
        <w:docPartObj>
          <w:docPartGallery w:val="Table of Contents"/>
          <w:docPartUnique/>
        </w:docPartObj>
      </w:sdtPr>
      <w:sdtEndPr>
        <w:rPr>
          <w:b/>
          <w:bCs/>
          <w:noProof/>
        </w:rPr>
      </w:sdtEndPr>
      <w:sdtContent>
        <w:p w14:paraId="34FB619E" w14:textId="77777777" w:rsidR="000069B7" w:rsidRPr="001627A5" w:rsidRDefault="000069B7" w:rsidP="000069B7">
          <w:pPr>
            <w:pStyle w:val="TOCHeading"/>
            <w:rPr>
              <w:rFonts w:ascii="Arial" w:hAnsi="Arial" w:cs="Arial"/>
              <w:color w:val="auto"/>
              <w:sz w:val="28"/>
              <w:szCs w:val="28"/>
            </w:rPr>
          </w:pPr>
          <w:r w:rsidRPr="001627A5">
            <w:rPr>
              <w:rFonts w:ascii="Arial" w:hAnsi="Arial" w:cs="Arial"/>
              <w:color w:val="auto"/>
              <w:sz w:val="28"/>
              <w:szCs w:val="28"/>
            </w:rPr>
            <w:t>Contents</w:t>
          </w:r>
        </w:p>
        <w:p w14:paraId="2ADCC43D" w14:textId="77777777" w:rsidR="000069B7" w:rsidRDefault="000069B7" w:rsidP="000069B7">
          <w:pPr>
            <w:pStyle w:val="TOC1"/>
            <w:rPr>
              <w:rFonts w:asciiTheme="minorHAnsi" w:eastAsiaTheme="minorEastAsia" w:hAnsiTheme="minorHAnsi" w:cstheme="minorBidi"/>
              <w:noProof/>
              <w:sz w:val="22"/>
              <w:lang w:eastAsia="ko-KR"/>
            </w:rPr>
          </w:pPr>
          <w:r>
            <w:fldChar w:fldCharType="begin"/>
          </w:r>
          <w:r>
            <w:instrText xml:space="preserve"> TOC \o "1-3" \h \z \u </w:instrText>
          </w:r>
          <w:r>
            <w:fldChar w:fldCharType="separate"/>
          </w:r>
          <w:hyperlink w:anchor="_Toc130216885" w:history="1">
            <w:r w:rsidRPr="00A45BF3">
              <w:rPr>
                <w:rStyle w:val="Hyperlink"/>
                <w:noProof/>
              </w:rPr>
              <w:t>Supplementary methods</w:t>
            </w:r>
            <w:r>
              <w:rPr>
                <w:noProof/>
                <w:webHidden/>
              </w:rPr>
              <w:tab/>
            </w:r>
            <w:r>
              <w:rPr>
                <w:noProof/>
                <w:webHidden/>
              </w:rPr>
              <w:fldChar w:fldCharType="begin"/>
            </w:r>
            <w:r>
              <w:rPr>
                <w:noProof/>
                <w:webHidden/>
              </w:rPr>
              <w:instrText xml:space="preserve"> PAGEREF _Toc130216885 \h </w:instrText>
            </w:r>
            <w:r>
              <w:rPr>
                <w:noProof/>
                <w:webHidden/>
              </w:rPr>
            </w:r>
            <w:r>
              <w:rPr>
                <w:noProof/>
                <w:webHidden/>
              </w:rPr>
              <w:fldChar w:fldCharType="separate"/>
            </w:r>
            <w:r>
              <w:rPr>
                <w:noProof/>
                <w:webHidden/>
              </w:rPr>
              <w:t>3</w:t>
            </w:r>
            <w:r>
              <w:rPr>
                <w:noProof/>
                <w:webHidden/>
              </w:rPr>
              <w:fldChar w:fldCharType="end"/>
            </w:r>
          </w:hyperlink>
        </w:p>
        <w:p w14:paraId="726129D4" w14:textId="77777777" w:rsidR="000069B7" w:rsidRDefault="000069B7" w:rsidP="000069B7">
          <w:pPr>
            <w:pStyle w:val="TOC2"/>
            <w:tabs>
              <w:tab w:val="right" w:leader="dot" w:pos="9020"/>
            </w:tabs>
            <w:rPr>
              <w:rFonts w:asciiTheme="minorHAnsi" w:eastAsiaTheme="minorEastAsia" w:hAnsiTheme="minorHAnsi" w:cstheme="minorBidi"/>
              <w:noProof/>
              <w:sz w:val="22"/>
              <w:lang w:eastAsia="ko-KR"/>
            </w:rPr>
          </w:pPr>
          <w:hyperlink w:anchor="_Toc130216886" w:history="1">
            <w:r w:rsidRPr="00A45BF3">
              <w:rPr>
                <w:rStyle w:val="Hyperlink"/>
                <w:rFonts w:cs="Arial"/>
                <w:noProof/>
              </w:rPr>
              <w:t>Supplementary Table 1. Study centers and Institutional Review Boards (Part 2).</w:t>
            </w:r>
            <w:r>
              <w:rPr>
                <w:noProof/>
                <w:webHidden/>
              </w:rPr>
              <w:tab/>
            </w:r>
            <w:r>
              <w:rPr>
                <w:noProof/>
                <w:webHidden/>
              </w:rPr>
              <w:fldChar w:fldCharType="begin"/>
            </w:r>
            <w:r>
              <w:rPr>
                <w:noProof/>
                <w:webHidden/>
              </w:rPr>
              <w:instrText xml:space="preserve"> PAGEREF _Toc130216886 \h </w:instrText>
            </w:r>
            <w:r>
              <w:rPr>
                <w:noProof/>
                <w:webHidden/>
              </w:rPr>
            </w:r>
            <w:r>
              <w:rPr>
                <w:noProof/>
                <w:webHidden/>
              </w:rPr>
              <w:fldChar w:fldCharType="separate"/>
            </w:r>
            <w:r>
              <w:rPr>
                <w:noProof/>
                <w:webHidden/>
              </w:rPr>
              <w:t>3</w:t>
            </w:r>
            <w:r>
              <w:rPr>
                <w:noProof/>
                <w:webHidden/>
              </w:rPr>
              <w:fldChar w:fldCharType="end"/>
            </w:r>
          </w:hyperlink>
        </w:p>
        <w:p w14:paraId="148EA9C5" w14:textId="77777777" w:rsidR="000069B7" w:rsidRDefault="000069B7" w:rsidP="000069B7">
          <w:pPr>
            <w:pStyle w:val="TOC3"/>
            <w:rPr>
              <w:rFonts w:asciiTheme="minorHAnsi" w:eastAsiaTheme="minorEastAsia" w:hAnsiTheme="minorHAnsi" w:cstheme="minorBidi"/>
              <w:noProof/>
              <w:sz w:val="22"/>
              <w:lang w:eastAsia="ko-KR"/>
            </w:rPr>
          </w:pPr>
          <w:hyperlink w:anchor="_Toc130216887" w:history="1">
            <w:r w:rsidRPr="00A45BF3">
              <w:rPr>
                <w:rStyle w:val="Hyperlink"/>
                <w:iCs/>
                <w:noProof/>
              </w:rPr>
              <w:t>Full inclusion and exclusion criteria</w:t>
            </w:r>
            <w:r>
              <w:rPr>
                <w:noProof/>
                <w:webHidden/>
              </w:rPr>
              <w:tab/>
            </w:r>
            <w:r>
              <w:rPr>
                <w:noProof/>
                <w:webHidden/>
              </w:rPr>
              <w:fldChar w:fldCharType="begin"/>
            </w:r>
            <w:r>
              <w:rPr>
                <w:noProof/>
                <w:webHidden/>
              </w:rPr>
              <w:instrText xml:space="preserve"> PAGEREF _Toc130216887 \h </w:instrText>
            </w:r>
            <w:r>
              <w:rPr>
                <w:noProof/>
                <w:webHidden/>
              </w:rPr>
            </w:r>
            <w:r>
              <w:rPr>
                <w:noProof/>
                <w:webHidden/>
              </w:rPr>
              <w:fldChar w:fldCharType="separate"/>
            </w:r>
            <w:r>
              <w:rPr>
                <w:noProof/>
                <w:webHidden/>
              </w:rPr>
              <w:t>4</w:t>
            </w:r>
            <w:r>
              <w:rPr>
                <w:noProof/>
                <w:webHidden/>
              </w:rPr>
              <w:fldChar w:fldCharType="end"/>
            </w:r>
          </w:hyperlink>
        </w:p>
        <w:p w14:paraId="4013B8DE" w14:textId="77777777" w:rsidR="000069B7" w:rsidRDefault="000069B7" w:rsidP="000069B7">
          <w:pPr>
            <w:pStyle w:val="TOC3"/>
            <w:rPr>
              <w:rFonts w:asciiTheme="minorHAnsi" w:eastAsiaTheme="minorEastAsia" w:hAnsiTheme="minorHAnsi" w:cstheme="minorBidi"/>
              <w:noProof/>
              <w:sz w:val="22"/>
              <w:lang w:eastAsia="ko-KR"/>
            </w:rPr>
          </w:pPr>
          <w:hyperlink w:anchor="_Toc130216888" w:history="1">
            <w:r w:rsidRPr="00A45BF3">
              <w:rPr>
                <w:rStyle w:val="Hyperlink"/>
                <w:noProof/>
              </w:rPr>
              <w:t>Capture logic for treatment-emergent adverse events of special interest (TEAESIs)</w:t>
            </w:r>
            <w:r>
              <w:rPr>
                <w:noProof/>
                <w:webHidden/>
              </w:rPr>
              <w:tab/>
            </w:r>
            <w:r>
              <w:rPr>
                <w:noProof/>
                <w:webHidden/>
              </w:rPr>
              <w:fldChar w:fldCharType="begin"/>
            </w:r>
            <w:r>
              <w:rPr>
                <w:noProof/>
                <w:webHidden/>
              </w:rPr>
              <w:instrText xml:space="preserve"> PAGEREF _Toc130216888 \h </w:instrText>
            </w:r>
            <w:r>
              <w:rPr>
                <w:noProof/>
                <w:webHidden/>
              </w:rPr>
            </w:r>
            <w:r>
              <w:rPr>
                <w:noProof/>
                <w:webHidden/>
              </w:rPr>
              <w:fldChar w:fldCharType="separate"/>
            </w:r>
            <w:r>
              <w:rPr>
                <w:noProof/>
                <w:webHidden/>
              </w:rPr>
              <w:t>9</w:t>
            </w:r>
            <w:r>
              <w:rPr>
                <w:noProof/>
                <w:webHidden/>
              </w:rPr>
              <w:fldChar w:fldCharType="end"/>
            </w:r>
          </w:hyperlink>
        </w:p>
        <w:p w14:paraId="4FA7EF5E" w14:textId="77777777" w:rsidR="000069B7" w:rsidRDefault="000069B7" w:rsidP="000069B7">
          <w:pPr>
            <w:pStyle w:val="TOC3"/>
            <w:rPr>
              <w:rFonts w:asciiTheme="minorHAnsi" w:eastAsiaTheme="minorEastAsia" w:hAnsiTheme="minorHAnsi" w:cstheme="minorBidi"/>
              <w:noProof/>
              <w:sz w:val="22"/>
              <w:lang w:eastAsia="ko-KR"/>
            </w:rPr>
          </w:pPr>
          <w:hyperlink w:anchor="_Toc130216889" w:history="1">
            <w:r w:rsidRPr="00A45BF3">
              <w:rPr>
                <w:rStyle w:val="Hyperlink"/>
                <w:noProof/>
              </w:rPr>
              <w:t>Analysis sets</w:t>
            </w:r>
            <w:r>
              <w:rPr>
                <w:noProof/>
                <w:webHidden/>
              </w:rPr>
              <w:tab/>
            </w:r>
            <w:r>
              <w:rPr>
                <w:noProof/>
                <w:webHidden/>
              </w:rPr>
              <w:fldChar w:fldCharType="begin"/>
            </w:r>
            <w:r>
              <w:rPr>
                <w:noProof/>
                <w:webHidden/>
              </w:rPr>
              <w:instrText xml:space="preserve"> PAGEREF _Toc130216889 \h </w:instrText>
            </w:r>
            <w:r>
              <w:rPr>
                <w:noProof/>
                <w:webHidden/>
              </w:rPr>
            </w:r>
            <w:r>
              <w:rPr>
                <w:noProof/>
                <w:webHidden/>
              </w:rPr>
              <w:fldChar w:fldCharType="separate"/>
            </w:r>
            <w:r>
              <w:rPr>
                <w:noProof/>
                <w:webHidden/>
              </w:rPr>
              <w:t>10</w:t>
            </w:r>
            <w:r>
              <w:rPr>
                <w:noProof/>
                <w:webHidden/>
              </w:rPr>
              <w:fldChar w:fldCharType="end"/>
            </w:r>
          </w:hyperlink>
        </w:p>
        <w:p w14:paraId="7896D75D" w14:textId="77777777" w:rsidR="000069B7" w:rsidRDefault="000069B7" w:rsidP="000069B7">
          <w:pPr>
            <w:pStyle w:val="TOC1"/>
            <w:rPr>
              <w:rFonts w:asciiTheme="minorHAnsi" w:eastAsiaTheme="minorEastAsia" w:hAnsiTheme="minorHAnsi" w:cstheme="minorBidi"/>
              <w:noProof/>
              <w:sz w:val="22"/>
              <w:lang w:eastAsia="ko-KR"/>
            </w:rPr>
          </w:pPr>
          <w:hyperlink w:anchor="_Toc130216890" w:history="1">
            <w:r w:rsidRPr="00A45BF3">
              <w:rPr>
                <w:rStyle w:val="Hyperlink"/>
                <w:noProof/>
              </w:rPr>
              <w:t>Supplementary results</w:t>
            </w:r>
            <w:r>
              <w:rPr>
                <w:noProof/>
                <w:webHidden/>
              </w:rPr>
              <w:tab/>
            </w:r>
            <w:r>
              <w:rPr>
                <w:noProof/>
                <w:webHidden/>
              </w:rPr>
              <w:fldChar w:fldCharType="begin"/>
            </w:r>
            <w:r>
              <w:rPr>
                <w:noProof/>
                <w:webHidden/>
              </w:rPr>
              <w:instrText xml:space="preserve"> PAGEREF _Toc130216890 \h </w:instrText>
            </w:r>
            <w:r>
              <w:rPr>
                <w:noProof/>
                <w:webHidden/>
              </w:rPr>
            </w:r>
            <w:r>
              <w:rPr>
                <w:noProof/>
                <w:webHidden/>
              </w:rPr>
              <w:fldChar w:fldCharType="separate"/>
            </w:r>
            <w:r>
              <w:rPr>
                <w:noProof/>
                <w:webHidden/>
              </w:rPr>
              <w:t>11</w:t>
            </w:r>
            <w:r>
              <w:rPr>
                <w:noProof/>
                <w:webHidden/>
              </w:rPr>
              <w:fldChar w:fldCharType="end"/>
            </w:r>
          </w:hyperlink>
        </w:p>
        <w:p w14:paraId="4DD11268" w14:textId="77777777" w:rsidR="000069B7" w:rsidRDefault="000069B7" w:rsidP="000069B7">
          <w:pPr>
            <w:pStyle w:val="TOC2"/>
            <w:tabs>
              <w:tab w:val="right" w:leader="dot" w:pos="9020"/>
            </w:tabs>
            <w:rPr>
              <w:rFonts w:asciiTheme="minorHAnsi" w:eastAsiaTheme="minorEastAsia" w:hAnsiTheme="minorHAnsi" w:cstheme="minorBidi"/>
              <w:noProof/>
              <w:sz w:val="22"/>
              <w:lang w:eastAsia="ko-KR"/>
            </w:rPr>
          </w:pPr>
          <w:hyperlink w:anchor="_Toc130216891" w:history="1">
            <w:r w:rsidRPr="00A45BF3">
              <w:rPr>
                <w:rStyle w:val="Hyperlink"/>
                <w:rFonts w:cs="Arial"/>
                <w:noProof/>
              </w:rPr>
              <w:t>Supplementary Table 2. Baseline demographics and characteristics (intent-to-treat set; Part 1).</w:t>
            </w:r>
            <w:r>
              <w:rPr>
                <w:noProof/>
                <w:webHidden/>
              </w:rPr>
              <w:tab/>
            </w:r>
            <w:r>
              <w:rPr>
                <w:noProof/>
                <w:webHidden/>
              </w:rPr>
              <w:fldChar w:fldCharType="begin"/>
            </w:r>
            <w:r>
              <w:rPr>
                <w:noProof/>
                <w:webHidden/>
              </w:rPr>
              <w:instrText xml:space="preserve"> PAGEREF _Toc130216891 \h </w:instrText>
            </w:r>
            <w:r>
              <w:rPr>
                <w:noProof/>
                <w:webHidden/>
              </w:rPr>
            </w:r>
            <w:r>
              <w:rPr>
                <w:noProof/>
                <w:webHidden/>
              </w:rPr>
              <w:fldChar w:fldCharType="separate"/>
            </w:r>
            <w:r>
              <w:rPr>
                <w:noProof/>
                <w:webHidden/>
              </w:rPr>
              <w:t>11</w:t>
            </w:r>
            <w:r>
              <w:rPr>
                <w:noProof/>
                <w:webHidden/>
              </w:rPr>
              <w:fldChar w:fldCharType="end"/>
            </w:r>
          </w:hyperlink>
        </w:p>
        <w:p w14:paraId="68BBF0ED" w14:textId="77777777" w:rsidR="000069B7" w:rsidRDefault="000069B7" w:rsidP="000069B7">
          <w:pPr>
            <w:pStyle w:val="TOC2"/>
            <w:tabs>
              <w:tab w:val="right" w:leader="dot" w:pos="9020"/>
            </w:tabs>
            <w:rPr>
              <w:rFonts w:asciiTheme="minorHAnsi" w:eastAsiaTheme="minorEastAsia" w:hAnsiTheme="minorHAnsi" w:cstheme="minorBidi"/>
              <w:noProof/>
              <w:sz w:val="22"/>
              <w:lang w:eastAsia="ko-KR"/>
            </w:rPr>
          </w:pPr>
          <w:hyperlink w:anchor="_Toc130216892" w:history="1">
            <w:r w:rsidRPr="00A45BF3">
              <w:rPr>
                <w:rStyle w:val="Hyperlink"/>
                <w:noProof/>
              </w:rPr>
              <w:t>Supplementary Table 3. Summary of TEAEs (safety set; Part 1).</w:t>
            </w:r>
            <w:r>
              <w:rPr>
                <w:noProof/>
                <w:webHidden/>
              </w:rPr>
              <w:tab/>
            </w:r>
            <w:r>
              <w:rPr>
                <w:noProof/>
                <w:webHidden/>
              </w:rPr>
              <w:fldChar w:fldCharType="begin"/>
            </w:r>
            <w:r>
              <w:rPr>
                <w:noProof/>
                <w:webHidden/>
              </w:rPr>
              <w:instrText xml:space="preserve"> PAGEREF _Toc130216892 \h </w:instrText>
            </w:r>
            <w:r>
              <w:rPr>
                <w:noProof/>
                <w:webHidden/>
              </w:rPr>
            </w:r>
            <w:r>
              <w:rPr>
                <w:noProof/>
                <w:webHidden/>
              </w:rPr>
              <w:fldChar w:fldCharType="separate"/>
            </w:r>
            <w:r>
              <w:rPr>
                <w:noProof/>
                <w:webHidden/>
              </w:rPr>
              <w:t>13</w:t>
            </w:r>
            <w:r>
              <w:rPr>
                <w:noProof/>
                <w:webHidden/>
              </w:rPr>
              <w:fldChar w:fldCharType="end"/>
            </w:r>
          </w:hyperlink>
        </w:p>
        <w:p w14:paraId="0D16A970" w14:textId="77777777" w:rsidR="000069B7" w:rsidRDefault="000069B7" w:rsidP="000069B7">
          <w:pPr>
            <w:pStyle w:val="TOC2"/>
            <w:tabs>
              <w:tab w:val="right" w:leader="dot" w:pos="9020"/>
            </w:tabs>
            <w:rPr>
              <w:rFonts w:asciiTheme="minorHAnsi" w:eastAsiaTheme="minorEastAsia" w:hAnsiTheme="minorHAnsi" w:cstheme="minorBidi"/>
              <w:noProof/>
              <w:sz w:val="22"/>
              <w:lang w:eastAsia="ko-KR"/>
            </w:rPr>
          </w:pPr>
          <w:hyperlink w:anchor="_Toc130216893" w:history="1">
            <w:r w:rsidRPr="00A45BF3">
              <w:rPr>
                <w:rStyle w:val="Hyperlink"/>
                <w:noProof/>
              </w:rPr>
              <w:t>Supplementary Table 4. Summary of immunogenicity results (safety set).</w:t>
            </w:r>
            <w:r>
              <w:rPr>
                <w:noProof/>
                <w:webHidden/>
              </w:rPr>
              <w:tab/>
            </w:r>
            <w:r>
              <w:rPr>
                <w:noProof/>
                <w:webHidden/>
              </w:rPr>
              <w:fldChar w:fldCharType="begin"/>
            </w:r>
            <w:r>
              <w:rPr>
                <w:noProof/>
                <w:webHidden/>
              </w:rPr>
              <w:instrText xml:space="preserve"> PAGEREF _Toc130216893 \h </w:instrText>
            </w:r>
            <w:r>
              <w:rPr>
                <w:noProof/>
                <w:webHidden/>
              </w:rPr>
            </w:r>
            <w:r>
              <w:rPr>
                <w:noProof/>
                <w:webHidden/>
              </w:rPr>
              <w:fldChar w:fldCharType="separate"/>
            </w:r>
            <w:r>
              <w:rPr>
                <w:noProof/>
                <w:webHidden/>
              </w:rPr>
              <w:t>15</w:t>
            </w:r>
            <w:r>
              <w:rPr>
                <w:noProof/>
                <w:webHidden/>
              </w:rPr>
              <w:fldChar w:fldCharType="end"/>
            </w:r>
          </w:hyperlink>
        </w:p>
        <w:p w14:paraId="396EF266" w14:textId="77777777" w:rsidR="000069B7" w:rsidRDefault="000069B7" w:rsidP="000069B7">
          <w:pPr>
            <w:pStyle w:val="TOC2"/>
            <w:tabs>
              <w:tab w:val="right" w:leader="dot" w:pos="9020"/>
            </w:tabs>
            <w:rPr>
              <w:rFonts w:asciiTheme="minorHAnsi" w:eastAsiaTheme="minorEastAsia" w:hAnsiTheme="minorHAnsi" w:cstheme="minorBidi"/>
              <w:noProof/>
              <w:sz w:val="22"/>
              <w:lang w:eastAsia="ko-KR"/>
            </w:rPr>
          </w:pPr>
          <w:hyperlink w:anchor="_Toc130216894" w:history="1">
            <w:r w:rsidRPr="00A45BF3">
              <w:rPr>
                <w:rStyle w:val="Hyperlink"/>
                <w:noProof/>
              </w:rPr>
              <w:t>Supplementary Figure 1. Mean (SD) serum concentrations by ADA status (PK set).</w:t>
            </w:r>
            <w:r>
              <w:rPr>
                <w:noProof/>
                <w:webHidden/>
              </w:rPr>
              <w:tab/>
            </w:r>
            <w:r>
              <w:rPr>
                <w:noProof/>
                <w:webHidden/>
              </w:rPr>
              <w:fldChar w:fldCharType="begin"/>
            </w:r>
            <w:r>
              <w:rPr>
                <w:noProof/>
                <w:webHidden/>
              </w:rPr>
              <w:instrText xml:space="preserve"> PAGEREF _Toc130216894 \h </w:instrText>
            </w:r>
            <w:r>
              <w:rPr>
                <w:noProof/>
                <w:webHidden/>
              </w:rPr>
            </w:r>
            <w:r>
              <w:rPr>
                <w:noProof/>
                <w:webHidden/>
              </w:rPr>
              <w:fldChar w:fldCharType="separate"/>
            </w:r>
            <w:r>
              <w:rPr>
                <w:noProof/>
                <w:webHidden/>
              </w:rPr>
              <w:t>16</w:t>
            </w:r>
            <w:r>
              <w:rPr>
                <w:noProof/>
                <w:webHidden/>
              </w:rPr>
              <w:fldChar w:fldCharType="end"/>
            </w:r>
          </w:hyperlink>
        </w:p>
        <w:p w14:paraId="7055FC2F" w14:textId="77777777" w:rsidR="000069B7" w:rsidRDefault="000069B7" w:rsidP="000069B7">
          <w:pPr>
            <w:pStyle w:val="TOC2"/>
            <w:tabs>
              <w:tab w:val="right" w:leader="dot" w:pos="9020"/>
            </w:tabs>
            <w:rPr>
              <w:rFonts w:asciiTheme="minorHAnsi" w:eastAsiaTheme="minorEastAsia" w:hAnsiTheme="minorHAnsi" w:cstheme="minorBidi"/>
              <w:noProof/>
              <w:sz w:val="22"/>
              <w:lang w:eastAsia="ko-KR"/>
            </w:rPr>
          </w:pPr>
          <w:hyperlink w:anchor="_Toc130216895" w:history="1">
            <w:r w:rsidRPr="00A45BF3">
              <w:rPr>
                <w:rStyle w:val="Hyperlink"/>
                <w:noProof/>
              </w:rPr>
              <w:t>Supplementary Table 5. Summary of PK variables by ADA status (PK set).</w:t>
            </w:r>
            <w:r>
              <w:rPr>
                <w:noProof/>
                <w:webHidden/>
              </w:rPr>
              <w:tab/>
            </w:r>
            <w:r>
              <w:rPr>
                <w:noProof/>
                <w:webHidden/>
              </w:rPr>
              <w:fldChar w:fldCharType="begin"/>
            </w:r>
            <w:r>
              <w:rPr>
                <w:noProof/>
                <w:webHidden/>
              </w:rPr>
              <w:instrText xml:space="preserve"> PAGEREF _Toc130216895 \h </w:instrText>
            </w:r>
            <w:r>
              <w:rPr>
                <w:noProof/>
                <w:webHidden/>
              </w:rPr>
            </w:r>
            <w:r>
              <w:rPr>
                <w:noProof/>
                <w:webHidden/>
              </w:rPr>
              <w:fldChar w:fldCharType="separate"/>
            </w:r>
            <w:r>
              <w:rPr>
                <w:noProof/>
                <w:webHidden/>
              </w:rPr>
              <w:t>17</w:t>
            </w:r>
            <w:r>
              <w:rPr>
                <w:noProof/>
                <w:webHidden/>
              </w:rPr>
              <w:fldChar w:fldCharType="end"/>
            </w:r>
          </w:hyperlink>
        </w:p>
        <w:p w14:paraId="2DB87BB4" w14:textId="77777777" w:rsidR="000069B7" w:rsidRDefault="000069B7" w:rsidP="000069B7">
          <w:pPr>
            <w:pStyle w:val="TOC2"/>
            <w:tabs>
              <w:tab w:val="right" w:leader="dot" w:pos="9020"/>
            </w:tabs>
            <w:rPr>
              <w:rFonts w:asciiTheme="minorHAnsi" w:eastAsiaTheme="minorEastAsia" w:hAnsiTheme="minorHAnsi" w:cstheme="minorBidi"/>
              <w:noProof/>
              <w:sz w:val="22"/>
              <w:lang w:eastAsia="ko-KR"/>
            </w:rPr>
          </w:pPr>
          <w:hyperlink w:anchor="_Toc130216896" w:history="1">
            <w:r w:rsidRPr="00A45BF3">
              <w:rPr>
                <w:rStyle w:val="Hyperlink"/>
                <w:noProof/>
              </w:rPr>
              <w:t>Supplementary Table 6. TEAEs by system organ class (safety set; Part 2).</w:t>
            </w:r>
            <w:r>
              <w:rPr>
                <w:noProof/>
                <w:webHidden/>
              </w:rPr>
              <w:tab/>
            </w:r>
            <w:r>
              <w:rPr>
                <w:noProof/>
                <w:webHidden/>
              </w:rPr>
              <w:fldChar w:fldCharType="begin"/>
            </w:r>
            <w:r>
              <w:rPr>
                <w:noProof/>
                <w:webHidden/>
              </w:rPr>
              <w:instrText xml:space="preserve"> PAGEREF _Toc130216896 \h </w:instrText>
            </w:r>
            <w:r>
              <w:rPr>
                <w:noProof/>
                <w:webHidden/>
              </w:rPr>
            </w:r>
            <w:r>
              <w:rPr>
                <w:noProof/>
                <w:webHidden/>
              </w:rPr>
              <w:fldChar w:fldCharType="separate"/>
            </w:r>
            <w:r>
              <w:rPr>
                <w:noProof/>
                <w:webHidden/>
              </w:rPr>
              <w:t>20</w:t>
            </w:r>
            <w:r>
              <w:rPr>
                <w:noProof/>
                <w:webHidden/>
              </w:rPr>
              <w:fldChar w:fldCharType="end"/>
            </w:r>
          </w:hyperlink>
        </w:p>
        <w:p w14:paraId="196E8022" w14:textId="77777777" w:rsidR="000069B7" w:rsidRDefault="000069B7" w:rsidP="000069B7">
          <w:pPr>
            <w:pStyle w:val="TOC2"/>
            <w:tabs>
              <w:tab w:val="right" w:leader="dot" w:pos="9020"/>
            </w:tabs>
            <w:rPr>
              <w:rFonts w:asciiTheme="minorHAnsi" w:eastAsiaTheme="minorEastAsia" w:hAnsiTheme="minorHAnsi" w:cstheme="minorBidi"/>
              <w:noProof/>
              <w:sz w:val="22"/>
              <w:lang w:eastAsia="ko-KR"/>
            </w:rPr>
          </w:pPr>
          <w:hyperlink w:anchor="_Toc130216897" w:history="1">
            <w:r w:rsidRPr="00A45BF3">
              <w:rPr>
                <w:rStyle w:val="Hyperlink"/>
                <w:noProof/>
              </w:rPr>
              <w:t xml:space="preserve">Supplementary Table 7. </w:t>
            </w:r>
            <w:r w:rsidRPr="00A45BF3">
              <w:rPr>
                <w:rStyle w:val="Hyperlink"/>
                <w:rFonts w:hint="eastAsia"/>
                <w:noProof/>
              </w:rPr>
              <w:t xml:space="preserve">TEAEs reported by </w:t>
            </w:r>
            <w:r w:rsidRPr="00A45BF3">
              <w:rPr>
                <w:rStyle w:val="Hyperlink"/>
                <w:rFonts w:hint="eastAsia"/>
                <w:noProof/>
              </w:rPr>
              <w:t>≥</w:t>
            </w:r>
            <w:r w:rsidRPr="00A45BF3">
              <w:rPr>
                <w:rStyle w:val="Hyperlink"/>
                <w:rFonts w:hint="eastAsia"/>
                <w:noProof/>
              </w:rPr>
              <w:t>2% participants in either treatment group (safety set</w:t>
            </w:r>
            <w:r w:rsidRPr="00A45BF3">
              <w:rPr>
                <w:rStyle w:val="Hyperlink"/>
                <w:noProof/>
              </w:rPr>
              <w:t>; Part 2).</w:t>
            </w:r>
            <w:r>
              <w:rPr>
                <w:noProof/>
                <w:webHidden/>
              </w:rPr>
              <w:tab/>
            </w:r>
            <w:r>
              <w:rPr>
                <w:noProof/>
                <w:webHidden/>
              </w:rPr>
              <w:fldChar w:fldCharType="begin"/>
            </w:r>
            <w:r>
              <w:rPr>
                <w:noProof/>
                <w:webHidden/>
              </w:rPr>
              <w:instrText xml:space="preserve"> PAGEREF _Toc130216897 \h </w:instrText>
            </w:r>
            <w:r>
              <w:rPr>
                <w:noProof/>
                <w:webHidden/>
              </w:rPr>
            </w:r>
            <w:r>
              <w:rPr>
                <w:noProof/>
                <w:webHidden/>
              </w:rPr>
              <w:fldChar w:fldCharType="separate"/>
            </w:r>
            <w:r>
              <w:rPr>
                <w:noProof/>
                <w:webHidden/>
              </w:rPr>
              <w:t>21</w:t>
            </w:r>
            <w:r>
              <w:rPr>
                <w:noProof/>
                <w:webHidden/>
              </w:rPr>
              <w:fldChar w:fldCharType="end"/>
            </w:r>
          </w:hyperlink>
        </w:p>
        <w:p w14:paraId="3F3666BA" w14:textId="77777777" w:rsidR="000069B7" w:rsidRDefault="000069B7" w:rsidP="000069B7">
          <w:pPr>
            <w:pStyle w:val="TOC2"/>
            <w:tabs>
              <w:tab w:val="right" w:leader="dot" w:pos="9020"/>
            </w:tabs>
            <w:rPr>
              <w:rFonts w:asciiTheme="minorHAnsi" w:eastAsiaTheme="minorEastAsia" w:hAnsiTheme="minorHAnsi" w:cstheme="minorBidi"/>
              <w:noProof/>
              <w:sz w:val="22"/>
              <w:lang w:eastAsia="ko-KR"/>
            </w:rPr>
          </w:pPr>
          <w:hyperlink w:anchor="_Toc130216898" w:history="1">
            <w:r w:rsidRPr="00A45BF3">
              <w:rPr>
                <w:rStyle w:val="Hyperlink"/>
                <w:noProof/>
              </w:rPr>
              <w:t xml:space="preserve">Supplementary Table 8. </w:t>
            </w:r>
            <w:r w:rsidRPr="00A45BF3">
              <w:rPr>
                <w:rStyle w:val="Hyperlink"/>
                <w:rFonts w:hint="eastAsia"/>
                <w:noProof/>
              </w:rPr>
              <w:t xml:space="preserve">TEAEs of grade </w:t>
            </w:r>
            <w:r w:rsidRPr="00A45BF3">
              <w:rPr>
                <w:rStyle w:val="Hyperlink"/>
                <w:rFonts w:hint="eastAsia"/>
                <w:noProof/>
              </w:rPr>
              <w:t>≥</w:t>
            </w:r>
            <w:r w:rsidRPr="00A45BF3">
              <w:rPr>
                <w:rStyle w:val="Hyperlink"/>
                <w:rFonts w:hint="eastAsia"/>
                <w:noProof/>
              </w:rPr>
              <w:t>3 in intensity, by relationship to study drug (safety set</w:t>
            </w:r>
            <w:r w:rsidRPr="00A45BF3">
              <w:rPr>
                <w:rStyle w:val="Hyperlink"/>
                <w:noProof/>
              </w:rPr>
              <w:t>; Part 2).</w:t>
            </w:r>
            <w:r>
              <w:rPr>
                <w:noProof/>
                <w:webHidden/>
              </w:rPr>
              <w:tab/>
            </w:r>
            <w:r>
              <w:rPr>
                <w:noProof/>
                <w:webHidden/>
              </w:rPr>
              <w:fldChar w:fldCharType="begin"/>
            </w:r>
            <w:r>
              <w:rPr>
                <w:noProof/>
                <w:webHidden/>
              </w:rPr>
              <w:instrText xml:space="preserve"> PAGEREF _Toc130216898 \h </w:instrText>
            </w:r>
            <w:r>
              <w:rPr>
                <w:noProof/>
                <w:webHidden/>
              </w:rPr>
            </w:r>
            <w:r>
              <w:rPr>
                <w:noProof/>
                <w:webHidden/>
              </w:rPr>
              <w:fldChar w:fldCharType="separate"/>
            </w:r>
            <w:r>
              <w:rPr>
                <w:noProof/>
                <w:webHidden/>
              </w:rPr>
              <w:t>22</w:t>
            </w:r>
            <w:r>
              <w:rPr>
                <w:noProof/>
                <w:webHidden/>
              </w:rPr>
              <w:fldChar w:fldCharType="end"/>
            </w:r>
          </w:hyperlink>
        </w:p>
        <w:p w14:paraId="250FC743" w14:textId="77777777" w:rsidR="000069B7" w:rsidRDefault="000069B7" w:rsidP="000069B7">
          <w:pPr>
            <w:pStyle w:val="TOC2"/>
            <w:tabs>
              <w:tab w:val="right" w:leader="dot" w:pos="9020"/>
            </w:tabs>
            <w:rPr>
              <w:rFonts w:asciiTheme="minorHAnsi" w:eastAsiaTheme="minorEastAsia" w:hAnsiTheme="minorHAnsi" w:cstheme="minorBidi"/>
              <w:noProof/>
              <w:sz w:val="22"/>
              <w:lang w:eastAsia="ko-KR"/>
            </w:rPr>
          </w:pPr>
          <w:hyperlink w:anchor="_Toc130216899" w:history="1">
            <w:r w:rsidRPr="00A45BF3">
              <w:rPr>
                <w:rStyle w:val="Hyperlink"/>
                <w:noProof/>
              </w:rPr>
              <w:t>Supplementary Table 9. Hematology and clinical chemistry variables</w:t>
            </w:r>
            <w:r w:rsidRPr="00A45BF3">
              <w:rPr>
                <w:rStyle w:val="Hyperlink"/>
                <w:rFonts w:hint="eastAsia"/>
                <w:noProof/>
              </w:rPr>
              <w:t xml:space="preserve"> of CTCAE grade </w:t>
            </w:r>
            <w:r w:rsidRPr="00A45BF3">
              <w:rPr>
                <w:rStyle w:val="Hyperlink"/>
                <w:rFonts w:hint="eastAsia"/>
                <w:noProof/>
              </w:rPr>
              <w:t>≥</w:t>
            </w:r>
            <w:r w:rsidRPr="00A45BF3">
              <w:rPr>
                <w:rStyle w:val="Hyperlink"/>
                <w:rFonts w:hint="eastAsia"/>
                <w:noProof/>
              </w:rPr>
              <w:t>3 in intensity (safety set</w:t>
            </w:r>
            <w:r w:rsidRPr="00A45BF3">
              <w:rPr>
                <w:rStyle w:val="Hyperlink"/>
                <w:noProof/>
              </w:rPr>
              <w:t>; Part 2).</w:t>
            </w:r>
            <w:r>
              <w:rPr>
                <w:noProof/>
                <w:webHidden/>
              </w:rPr>
              <w:tab/>
            </w:r>
            <w:r>
              <w:rPr>
                <w:noProof/>
                <w:webHidden/>
              </w:rPr>
              <w:fldChar w:fldCharType="begin"/>
            </w:r>
            <w:r>
              <w:rPr>
                <w:noProof/>
                <w:webHidden/>
              </w:rPr>
              <w:instrText xml:space="preserve"> PAGEREF _Toc130216899 \h </w:instrText>
            </w:r>
            <w:r>
              <w:rPr>
                <w:noProof/>
                <w:webHidden/>
              </w:rPr>
            </w:r>
            <w:r>
              <w:rPr>
                <w:noProof/>
                <w:webHidden/>
              </w:rPr>
              <w:fldChar w:fldCharType="separate"/>
            </w:r>
            <w:r>
              <w:rPr>
                <w:noProof/>
                <w:webHidden/>
              </w:rPr>
              <w:t>24</w:t>
            </w:r>
            <w:r>
              <w:rPr>
                <w:noProof/>
                <w:webHidden/>
              </w:rPr>
              <w:fldChar w:fldCharType="end"/>
            </w:r>
          </w:hyperlink>
        </w:p>
        <w:p w14:paraId="695C1913" w14:textId="77777777" w:rsidR="000069B7" w:rsidRDefault="000069B7" w:rsidP="000069B7">
          <w:r>
            <w:rPr>
              <w:b/>
              <w:bCs/>
              <w:noProof/>
            </w:rPr>
            <w:fldChar w:fldCharType="end"/>
          </w:r>
        </w:p>
      </w:sdtContent>
    </w:sdt>
    <w:p w14:paraId="0D3ACF8A" w14:textId="77777777" w:rsidR="000069B7" w:rsidRDefault="000069B7" w:rsidP="000069B7">
      <w:pPr>
        <w:spacing w:before="0" w:after="160" w:line="259" w:lineRule="auto"/>
        <w:rPr>
          <w:rFonts w:eastAsia="Times New Roman"/>
          <w:b/>
          <w:bCs/>
          <w:szCs w:val="26"/>
          <w:lang w:val="en-US"/>
        </w:rPr>
      </w:pPr>
      <w:r>
        <w:br w:type="page"/>
      </w:r>
    </w:p>
    <w:p w14:paraId="2438883F" w14:textId="77777777" w:rsidR="000069B7" w:rsidRPr="00B026C7" w:rsidRDefault="000069B7" w:rsidP="000069B7">
      <w:pPr>
        <w:pStyle w:val="Heading1"/>
      </w:pPr>
      <w:bookmarkStart w:id="1" w:name="_Toc130216885"/>
      <w:r w:rsidRPr="00B026C7">
        <w:lastRenderedPageBreak/>
        <w:t>Supplementary methods</w:t>
      </w:r>
      <w:bookmarkEnd w:id="1"/>
    </w:p>
    <w:p w14:paraId="27CFABAF" w14:textId="77777777" w:rsidR="000069B7" w:rsidRPr="00D54E56" w:rsidRDefault="000069B7" w:rsidP="000069B7">
      <w:pPr>
        <w:pStyle w:val="Heading2"/>
        <w:rPr>
          <w:rFonts w:cs="Arial"/>
          <w:b w:val="0"/>
          <w:bCs w:val="0"/>
          <w:szCs w:val="24"/>
        </w:rPr>
      </w:pPr>
      <w:bookmarkStart w:id="2" w:name="_Toc130216886"/>
      <w:r w:rsidRPr="00B026C7">
        <w:rPr>
          <w:rFonts w:cs="Arial"/>
          <w:szCs w:val="24"/>
        </w:rPr>
        <w:t xml:space="preserve">Supplementary Table 1. </w:t>
      </w:r>
      <w:r w:rsidRPr="00B026C7">
        <w:rPr>
          <w:rFonts w:cs="Arial"/>
          <w:b w:val="0"/>
          <w:bCs w:val="0"/>
          <w:szCs w:val="24"/>
        </w:rPr>
        <w:t>Study centers and Institutional Review Boards</w:t>
      </w:r>
      <w:r w:rsidRPr="00B026C7">
        <w:rPr>
          <w:rFonts w:cs="Arial"/>
          <w:szCs w:val="24"/>
        </w:rPr>
        <w:t xml:space="preserve"> </w:t>
      </w:r>
      <w:r>
        <w:rPr>
          <w:rFonts w:cs="Arial"/>
          <w:b w:val="0"/>
          <w:bCs w:val="0"/>
          <w:szCs w:val="24"/>
        </w:rPr>
        <w:t>(Part 2).</w:t>
      </w:r>
      <w:bookmarkEnd w:id="2"/>
    </w:p>
    <w:tbl>
      <w:tblPr>
        <w:tblStyle w:val="PlainTable2"/>
        <w:tblW w:w="9072" w:type="dxa"/>
        <w:tblBorders>
          <w:top w:val="single" w:sz="4" w:space="0" w:color="auto"/>
          <w:bottom w:val="none" w:sz="0" w:space="0" w:color="auto"/>
          <w:insideH w:val="single" w:sz="4" w:space="0" w:color="auto"/>
        </w:tblBorders>
        <w:tblLook w:val="04A0" w:firstRow="1" w:lastRow="0" w:firstColumn="1" w:lastColumn="0" w:noHBand="0" w:noVBand="1"/>
      </w:tblPr>
      <w:tblGrid>
        <w:gridCol w:w="4395"/>
        <w:gridCol w:w="4677"/>
      </w:tblGrid>
      <w:tr w:rsidR="000069B7" w:rsidRPr="00B026C7" w14:paraId="3225962D" w14:textId="77777777" w:rsidTr="004A4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64FA2766" w14:textId="77777777" w:rsidR="000069B7" w:rsidRPr="00B026C7" w:rsidRDefault="000069B7" w:rsidP="004A495F">
            <w:pPr>
              <w:spacing w:before="0" w:after="0" w:line="480" w:lineRule="auto"/>
              <w:rPr>
                <w:rFonts w:cs="Arial"/>
                <w:szCs w:val="24"/>
                <w:lang w:val="en-US"/>
              </w:rPr>
            </w:pPr>
            <w:r w:rsidRPr="00B026C7">
              <w:rPr>
                <w:rFonts w:cs="Arial"/>
                <w:szCs w:val="24"/>
                <w:lang w:val="en-US"/>
              </w:rPr>
              <w:t>Study center</w:t>
            </w:r>
          </w:p>
        </w:tc>
        <w:tc>
          <w:tcPr>
            <w:tcW w:w="4677" w:type="dxa"/>
            <w:hideMark/>
          </w:tcPr>
          <w:p w14:paraId="6BC65130" w14:textId="77777777" w:rsidR="000069B7" w:rsidRPr="00B026C7" w:rsidRDefault="000069B7" w:rsidP="004A495F">
            <w:pPr>
              <w:spacing w:before="0" w:after="0" w:line="480" w:lineRule="auto"/>
              <w:cnfStyle w:val="100000000000" w:firstRow="1" w:lastRow="0" w:firstColumn="0" w:lastColumn="0" w:oddVBand="0" w:evenVBand="0" w:oddHBand="0" w:evenHBand="0" w:firstRowFirstColumn="0" w:firstRowLastColumn="0" w:lastRowFirstColumn="0" w:lastRowLastColumn="0"/>
              <w:rPr>
                <w:rFonts w:cs="Arial"/>
                <w:szCs w:val="24"/>
                <w:lang w:val="en-US"/>
              </w:rPr>
            </w:pPr>
            <w:r w:rsidRPr="00B026C7">
              <w:rPr>
                <w:rFonts w:cs="Arial"/>
                <w:szCs w:val="24"/>
                <w:lang w:val="en-US"/>
              </w:rPr>
              <w:t>Institutional Review Board</w:t>
            </w:r>
          </w:p>
        </w:tc>
      </w:tr>
      <w:tr w:rsidR="000069B7" w:rsidRPr="00B026C7" w14:paraId="0DE2E1AD" w14:textId="77777777" w:rsidTr="004A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66FEFA03" w14:textId="77777777" w:rsidR="000069B7" w:rsidRPr="00B026C7" w:rsidRDefault="000069B7" w:rsidP="004A495F">
            <w:pPr>
              <w:spacing w:before="0" w:after="0" w:line="480" w:lineRule="auto"/>
              <w:rPr>
                <w:rFonts w:cs="Arial"/>
                <w:b w:val="0"/>
                <w:bCs w:val="0"/>
                <w:szCs w:val="24"/>
                <w:lang w:val="en-US"/>
              </w:rPr>
            </w:pPr>
            <w:r>
              <w:rPr>
                <w:rFonts w:cs="Arial"/>
                <w:b w:val="0"/>
                <w:bCs w:val="0"/>
                <w:szCs w:val="24"/>
                <w:lang w:val="en-US"/>
              </w:rPr>
              <w:t>Anonymized</w:t>
            </w:r>
            <w:r w:rsidRPr="00B026C7">
              <w:rPr>
                <w:rFonts w:cs="Arial"/>
                <w:b w:val="0"/>
                <w:bCs w:val="0"/>
                <w:szCs w:val="24"/>
                <w:lang w:val="en-US"/>
              </w:rPr>
              <w:t>, Seoul, Republic of Korea</w:t>
            </w:r>
          </w:p>
        </w:tc>
        <w:tc>
          <w:tcPr>
            <w:tcW w:w="4677" w:type="dxa"/>
            <w:hideMark/>
          </w:tcPr>
          <w:p w14:paraId="5ECA31BC" w14:textId="77777777" w:rsidR="000069B7" w:rsidRPr="00B026C7" w:rsidRDefault="000069B7" w:rsidP="004A495F">
            <w:pPr>
              <w:autoSpaceDE w:val="0"/>
              <w:autoSpaceDN w:val="0"/>
              <w:adjustRightInd w:val="0"/>
              <w:spacing w:before="0" w:after="0" w:line="480" w:lineRule="auto"/>
              <w:cnfStyle w:val="000000100000" w:firstRow="0" w:lastRow="0" w:firstColumn="0" w:lastColumn="0" w:oddVBand="0" w:evenVBand="0" w:oddHBand="1" w:evenHBand="0" w:firstRowFirstColumn="0" w:firstRowLastColumn="0" w:lastRowFirstColumn="0" w:lastRowLastColumn="0"/>
              <w:rPr>
                <w:rFonts w:cs="Arial"/>
                <w:szCs w:val="24"/>
                <w:lang w:val="en-US"/>
              </w:rPr>
            </w:pPr>
            <w:r>
              <w:rPr>
                <w:rFonts w:cs="Arial"/>
                <w:bCs/>
                <w:szCs w:val="24"/>
                <w:lang w:val="en-US"/>
              </w:rPr>
              <w:t>Anonymized</w:t>
            </w:r>
            <w:r w:rsidRPr="00B026C7">
              <w:rPr>
                <w:rFonts w:cs="Arial"/>
                <w:bCs/>
                <w:szCs w:val="24"/>
                <w:lang w:val="en-US"/>
              </w:rPr>
              <w:t xml:space="preserve"> Hospital Institutional Review Board </w:t>
            </w:r>
          </w:p>
        </w:tc>
      </w:tr>
      <w:tr w:rsidR="000069B7" w:rsidRPr="00B026C7" w14:paraId="7A3C7A9E" w14:textId="77777777" w:rsidTr="004A495F">
        <w:trPr>
          <w:trHeight w:val="1477"/>
        </w:trPr>
        <w:tc>
          <w:tcPr>
            <w:cnfStyle w:val="001000000000" w:firstRow="0" w:lastRow="0" w:firstColumn="1" w:lastColumn="0" w:oddVBand="0" w:evenVBand="0" w:oddHBand="0" w:evenHBand="0" w:firstRowFirstColumn="0" w:firstRowLastColumn="0" w:lastRowFirstColumn="0" w:lastRowLastColumn="0"/>
            <w:tcW w:w="0" w:type="dxa"/>
            <w:hideMark/>
          </w:tcPr>
          <w:p w14:paraId="53F85E4C" w14:textId="77777777" w:rsidR="000069B7" w:rsidRPr="00B026C7" w:rsidRDefault="000069B7" w:rsidP="004A495F">
            <w:pPr>
              <w:spacing w:before="0" w:after="0" w:line="480" w:lineRule="auto"/>
              <w:rPr>
                <w:rFonts w:cs="Arial"/>
                <w:b w:val="0"/>
                <w:bCs w:val="0"/>
                <w:szCs w:val="24"/>
                <w:lang w:val="en-US"/>
              </w:rPr>
            </w:pPr>
            <w:r>
              <w:rPr>
                <w:rFonts w:cs="Arial"/>
                <w:b w:val="0"/>
                <w:bCs w:val="0"/>
                <w:szCs w:val="24"/>
                <w:lang w:val="en-US"/>
              </w:rPr>
              <w:t>Anonymized</w:t>
            </w:r>
            <w:r w:rsidRPr="00B026C7">
              <w:rPr>
                <w:rFonts w:eastAsiaTheme="minorEastAsia" w:cs="Arial"/>
                <w:b w:val="0"/>
                <w:bCs w:val="0"/>
                <w:szCs w:val="24"/>
                <w:lang w:val="en-US" w:eastAsia="ko-KR"/>
              </w:rPr>
              <w:t xml:space="preserve"> Bundang Hospital, Seongnam, Republic of Korea</w:t>
            </w:r>
          </w:p>
        </w:tc>
        <w:tc>
          <w:tcPr>
            <w:tcW w:w="0" w:type="dxa"/>
            <w:hideMark/>
          </w:tcPr>
          <w:p w14:paraId="7A466924" w14:textId="77777777" w:rsidR="000069B7" w:rsidRPr="00B026C7" w:rsidRDefault="000069B7" w:rsidP="004A495F">
            <w:pPr>
              <w:autoSpaceDE w:val="0"/>
              <w:autoSpaceDN w:val="0"/>
              <w:adjustRightInd w:val="0"/>
              <w:spacing w:before="0" w:after="0" w:line="480" w:lineRule="auto"/>
              <w:cnfStyle w:val="000000000000" w:firstRow="0" w:lastRow="0" w:firstColumn="0" w:lastColumn="0" w:oddVBand="0" w:evenVBand="0" w:oddHBand="0" w:evenHBand="0" w:firstRowFirstColumn="0" w:firstRowLastColumn="0" w:lastRowFirstColumn="0" w:lastRowLastColumn="0"/>
              <w:rPr>
                <w:rFonts w:cs="Arial"/>
                <w:szCs w:val="24"/>
                <w:lang w:val="en-US"/>
              </w:rPr>
            </w:pPr>
            <w:r>
              <w:rPr>
                <w:rFonts w:cs="Arial"/>
                <w:b/>
                <w:bCs/>
                <w:szCs w:val="24"/>
                <w:lang w:val="en-US"/>
              </w:rPr>
              <w:t>Anonymized</w:t>
            </w:r>
            <w:r w:rsidRPr="00B026C7">
              <w:rPr>
                <w:rFonts w:cs="Arial"/>
                <w:bCs/>
                <w:szCs w:val="24"/>
                <w:lang w:val="en-US"/>
              </w:rPr>
              <w:t xml:space="preserve"> Hospital Institutional Review Board</w:t>
            </w:r>
          </w:p>
        </w:tc>
      </w:tr>
      <w:tr w:rsidR="000069B7" w:rsidRPr="00B026C7" w14:paraId="09FE685C" w14:textId="77777777" w:rsidTr="004A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7D38F901" w14:textId="77777777" w:rsidR="000069B7" w:rsidRPr="00B026C7" w:rsidRDefault="000069B7" w:rsidP="004A495F">
            <w:pPr>
              <w:autoSpaceDE w:val="0"/>
              <w:autoSpaceDN w:val="0"/>
              <w:adjustRightInd w:val="0"/>
              <w:spacing w:before="0" w:after="0" w:line="480" w:lineRule="auto"/>
              <w:rPr>
                <w:rFonts w:cs="Arial"/>
                <w:b w:val="0"/>
                <w:bCs w:val="0"/>
                <w:szCs w:val="24"/>
                <w:lang w:val="en-US"/>
              </w:rPr>
            </w:pPr>
            <w:r>
              <w:rPr>
                <w:rFonts w:cs="Arial"/>
                <w:b w:val="0"/>
                <w:bCs w:val="0"/>
                <w:szCs w:val="24"/>
                <w:lang w:val="en-US"/>
              </w:rPr>
              <w:t>Anonymized</w:t>
            </w:r>
            <w:r w:rsidRPr="00B026C7">
              <w:rPr>
                <w:rFonts w:eastAsiaTheme="minorEastAsia" w:cs="Arial"/>
                <w:b w:val="0"/>
                <w:bCs w:val="0"/>
                <w:szCs w:val="24"/>
                <w:lang w:val="en-US" w:eastAsia="ko-KR"/>
              </w:rPr>
              <w:t>, Seoul, Republic of Korea</w:t>
            </w:r>
          </w:p>
        </w:tc>
        <w:tc>
          <w:tcPr>
            <w:tcW w:w="4677" w:type="dxa"/>
            <w:hideMark/>
          </w:tcPr>
          <w:p w14:paraId="0DB59413" w14:textId="77777777" w:rsidR="000069B7" w:rsidRPr="00B026C7" w:rsidRDefault="000069B7" w:rsidP="004A495F">
            <w:pPr>
              <w:autoSpaceDE w:val="0"/>
              <w:autoSpaceDN w:val="0"/>
              <w:adjustRightInd w:val="0"/>
              <w:spacing w:before="0" w:after="0" w:line="480" w:lineRule="auto"/>
              <w:cnfStyle w:val="000000100000" w:firstRow="0" w:lastRow="0" w:firstColumn="0" w:lastColumn="0" w:oddVBand="0" w:evenVBand="0" w:oddHBand="1" w:evenHBand="0" w:firstRowFirstColumn="0" w:firstRowLastColumn="0" w:lastRowFirstColumn="0" w:lastRowLastColumn="0"/>
              <w:rPr>
                <w:rFonts w:cs="Arial"/>
                <w:szCs w:val="24"/>
                <w:lang w:val="en-US"/>
              </w:rPr>
            </w:pPr>
            <w:r>
              <w:rPr>
                <w:rFonts w:cs="Arial"/>
                <w:b/>
                <w:bCs/>
                <w:szCs w:val="24"/>
                <w:lang w:val="en-US"/>
              </w:rPr>
              <w:t>Anonymized</w:t>
            </w:r>
            <w:r w:rsidRPr="00B026C7">
              <w:rPr>
                <w:rFonts w:eastAsiaTheme="minorEastAsia" w:cs="Arial"/>
                <w:bCs/>
                <w:szCs w:val="24"/>
                <w:lang w:val="en-US" w:eastAsia="ko-KR"/>
              </w:rPr>
              <w:t xml:space="preserve"> Institutional Review Board</w:t>
            </w:r>
          </w:p>
        </w:tc>
      </w:tr>
      <w:tr w:rsidR="000069B7" w:rsidRPr="00B026C7" w14:paraId="2247D675" w14:textId="77777777" w:rsidTr="004A495F">
        <w:tc>
          <w:tcPr>
            <w:cnfStyle w:val="001000000000" w:firstRow="0" w:lastRow="0" w:firstColumn="1" w:lastColumn="0" w:oddVBand="0" w:evenVBand="0" w:oddHBand="0" w:evenHBand="0" w:firstRowFirstColumn="0" w:firstRowLastColumn="0" w:lastRowFirstColumn="0" w:lastRowLastColumn="0"/>
            <w:tcW w:w="4395" w:type="dxa"/>
            <w:hideMark/>
          </w:tcPr>
          <w:p w14:paraId="7FF64186" w14:textId="77777777" w:rsidR="000069B7" w:rsidRPr="00B026C7" w:rsidRDefault="000069B7" w:rsidP="004A495F">
            <w:pPr>
              <w:spacing w:before="0" w:after="0" w:line="480" w:lineRule="auto"/>
              <w:rPr>
                <w:rFonts w:eastAsiaTheme="minorEastAsia" w:cs="Arial"/>
                <w:b w:val="0"/>
                <w:bCs w:val="0"/>
                <w:szCs w:val="24"/>
                <w:lang w:val="en-US" w:eastAsia="ko-KR"/>
              </w:rPr>
            </w:pPr>
            <w:r>
              <w:rPr>
                <w:rFonts w:cs="Arial"/>
                <w:b w:val="0"/>
                <w:bCs w:val="0"/>
                <w:szCs w:val="24"/>
                <w:lang w:val="en-US"/>
              </w:rPr>
              <w:t>Anonymized</w:t>
            </w:r>
            <w:r w:rsidRPr="00B026C7">
              <w:rPr>
                <w:rFonts w:eastAsiaTheme="minorEastAsia" w:cs="Arial"/>
                <w:b w:val="0"/>
                <w:bCs w:val="0"/>
                <w:szCs w:val="24"/>
                <w:lang w:val="en-US" w:eastAsia="ko-KR"/>
              </w:rPr>
              <w:t>, Incheon, Republic of Korea</w:t>
            </w:r>
          </w:p>
        </w:tc>
        <w:tc>
          <w:tcPr>
            <w:tcW w:w="4677" w:type="dxa"/>
            <w:hideMark/>
          </w:tcPr>
          <w:p w14:paraId="253CA30C" w14:textId="77777777" w:rsidR="000069B7" w:rsidRPr="00B026C7" w:rsidRDefault="000069B7" w:rsidP="004A495F">
            <w:pPr>
              <w:autoSpaceDE w:val="0"/>
              <w:autoSpaceDN w:val="0"/>
              <w:adjustRightInd w:val="0"/>
              <w:spacing w:before="0" w:after="0" w:line="480" w:lineRule="auto"/>
              <w:cnfStyle w:val="000000000000" w:firstRow="0" w:lastRow="0" w:firstColumn="0" w:lastColumn="0" w:oddVBand="0" w:evenVBand="0" w:oddHBand="0" w:evenHBand="0" w:firstRowFirstColumn="0" w:firstRowLastColumn="0" w:lastRowFirstColumn="0" w:lastRowLastColumn="0"/>
              <w:rPr>
                <w:rFonts w:cs="Arial"/>
                <w:szCs w:val="24"/>
                <w:lang w:val="en-US"/>
              </w:rPr>
            </w:pPr>
            <w:r>
              <w:rPr>
                <w:rFonts w:cs="Arial"/>
                <w:b/>
                <w:bCs/>
                <w:szCs w:val="24"/>
                <w:lang w:val="en-US"/>
              </w:rPr>
              <w:t>Anonymized</w:t>
            </w:r>
            <w:r w:rsidRPr="00B026C7">
              <w:rPr>
                <w:rFonts w:cs="Arial"/>
                <w:bCs/>
                <w:szCs w:val="24"/>
                <w:lang w:val="en-US"/>
              </w:rPr>
              <w:t xml:space="preserve"> Institutional Review Board</w:t>
            </w:r>
          </w:p>
        </w:tc>
      </w:tr>
      <w:tr w:rsidR="000069B7" w:rsidRPr="00B026C7" w14:paraId="32993359" w14:textId="77777777" w:rsidTr="004A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38FB0AD7" w14:textId="77777777" w:rsidR="000069B7" w:rsidRPr="00B026C7" w:rsidRDefault="000069B7" w:rsidP="004A495F">
            <w:pPr>
              <w:spacing w:before="0" w:after="0" w:line="480" w:lineRule="auto"/>
              <w:rPr>
                <w:rFonts w:eastAsiaTheme="minorEastAsia" w:cs="Arial"/>
                <w:b w:val="0"/>
                <w:bCs w:val="0"/>
                <w:szCs w:val="24"/>
                <w:lang w:val="en-US" w:eastAsia="ko-KR"/>
              </w:rPr>
            </w:pPr>
            <w:r>
              <w:rPr>
                <w:rFonts w:cs="Arial"/>
                <w:b w:val="0"/>
                <w:bCs w:val="0"/>
                <w:szCs w:val="24"/>
                <w:lang w:val="en-US"/>
              </w:rPr>
              <w:t>Anonymized</w:t>
            </w:r>
            <w:r w:rsidRPr="00B026C7">
              <w:rPr>
                <w:rFonts w:eastAsiaTheme="minorEastAsia" w:cs="Arial"/>
                <w:b w:val="0"/>
                <w:bCs w:val="0"/>
                <w:szCs w:val="24"/>
                <w:lang w:val="en-US" w:eastAsia="ko-KR"/>
              </w:rPr>
              <w:t>, Cheongju, Republic of Korea</w:t>
            </w:r>
          </w:p>
        </w:tc>
        <w:tc>
          <w:tcPr>
            <w:tcW w:w="4677" w:type="dxa"/>
            <w:hideMark/>
          </w:tcPr>
          <w:p w14:paraId="11DBA6C3" w14:textId="77777777" w:rsidR="000069B7" w:rsidRPr="00B026C7" w:rsidRDefault="000069B7" w:rsidP="004A495F">
            <w:pPr>
              <w:autoSpaceDE w:val="0"/>
              <w:autoSpaceDN w:val="0"/>
              <w:adjustRightInd w:val="0"/>
              <w:spacing w:before="0" w:after="0" w:line="480" w:lineRule="auto"/>
              <w:cnfStyle w:val="000000100000" w:firstRow="0" w:lastRow="0" w:firstColumn="0" w:lastColumn="0" w:oddVBand="0" w:evenVBand="0" w:oddHBand="1" w:evenHBand="0" w:firstRowFirstColumn="0" w:firstRowLastColumn="0" w:lastRowFirstColumn="0" w:lastRowLastColumn="0"/>
              <w:rPr>
                <w:rFonts w:cs="Arial"/>
                <w:szCs w:val="24"/>
                <w:lang w:val="en-US"/>
              </w:rPr>
            </w:pPr>
            <w:r>
              <w:rPr>
                <w:rFonts w:cs="Arial"/>
                <w:b/>
                <w:bCs/>
                <w:szCs w:val="24"/>
                <w:lang w:val="en-US"/>
              </w:rPr>
              <w:t>Anonymized</w:t>
            </w:r>
            <w:r w:rsidRPr="00B026C7">
              <w:rPr>
                <w:rFonts w:cs="Arial"/>
                <w:bCs/>
                <w:szCs w:val="24"/>
                <w:lang w:val="en-US"/>
              </w:rPr>
              <w:t xml:space="preserve"> Institutional Review Board </w:t>
            </w:r>
          </w:p>
        </w:tc>
      </w:tr>
      <w:tr w:rsidR="000069B7" w:rsidRPr="00B026C7" w14:paraId="32C48453" w14:textId="77777777" w:rsidTr="004A495F">
        <w:tc>
          <w:tcPr>
            <w:cnfStyle w:val="001000000000" w:firstRow="0" w:lastRow="0" w:firstColumn="1" w:lastColumn="0" w:oddVBand="0" w:evenVBand="0" w:oddHBand="0" w:evenHBand="0" w:firstRowFirstColumn="0" w:firstRowLastColumn="0" w:lastRowFirstColumn="0" w:lastRowLastColumn="0"/>
            <w:tcW w:w="4395" w:type="dxa"/>
            <w:hideMark/>
          </w:tcPr>
          <w:p w14:paraId="3A53B320" w14:textId="77777777" w:rsidR="000069B7" w:rsidRPr="00B026C7" w:rsidRDefault="000069B7" w:rsidP="004A495F">
            <w:pPr>
              <w:spacing w:before="0" w:after="0" w:line="480" w:lineRule="auto"/>
              <w:rPr>
                <w:rFonts w:cs="Arial"/>
                <w:b w:val="0"/>
                <w:bCs w:val="0"/>
                <w:szCs w:val="24"/>
                <w:lang w:val="en-US"/>
              </w:rPr>
            </w:pPr>
            <w:r>
              <w:rPr>
                <w:rFonts w:cs="Arial"/>
                <w:b w:val="0"/>
                <w:bCs w:val="0"/>
                <w:szCs w:val="24"/>
                <w:lang w:val="en-US"/>
              </w:rPr>
              <w:t>Anonymized</w:t>
            </w:r>
            <w:r w:rsidRPr="00B026C7">
              <w:rPr>
                <w:rFonts w:eastAsiaTheme="minorEastAsia" w:cs="Arial"/>
                <w:b w:val="0"/>
                <w:bCs w:val="0"/>
                <w:szCs w:val="24"/>
                <w:lang w:val="en-US" w:eastAsia="ko-KR"/>
              </w:rPr>
              <w:t>, Jeonju, Republic of Korea</w:t>
            </w:r>
          </w:p>
        </w:tc>
        <w:tc>
          <w:tcPr>
            <w:tcW w:w="4677" w:type="dxa"/>
            <w:hideMark/>
          </w:tcPr>
          <w:p w14:paraId="380BABA4" w14:textId="77777777" w:rsidR="000069B7" w:rsidRPr="00B026C7" w:rsidRDefault="000069B7" w:rsidP="004A495F">
            <w:pPr>
              <w:autoSpaceDE w:val="0"/>
              <w:autoSpaceDN w:val="0"/>
              <w:adjustRightInd w:val="0"/>
              <w:spacing w:before="0" w:after="0" w:line="480" w:lineRule="auto"/>
              <w:cnfStyle w:val="000000000000" w:firstRow="0" w:lastRow="0" w:firstColumn="0" w:lastColumn="0" w:oddVBand="0" w:evenVBand="0" w:oddHBand="0" w:evenHBand="0" w:firstRowFirstColumn="0" w:firstRowLastColumn="0" w:lastRowFirstColumn="0" w:lastRowLastColumn="0"/>
              <w:rPr>
                <w:rFonts w:cs="Arial"/>
                <w:szCs w:val="24"/>
                <w:lang w:val="en-US"/>
              </w:rPr>
            </w:pPr>
            <w:r>
              <w:rPr>
                <w:rFonts w:cs="Arial"/>
                <w:b/>
                <w:bCs/>
                <w:szCs w:val="24"/>
                <w:lang w:val="en-US"/>
              </w:rPr>
              <w:t>Anonymized</w:t>
            </w:r>
            <w:r w:rsidRPr="00B026C7">
              <w:rPr>
                <w:rFonts w:cs="Arial"/>
                <w:szCs w:val="24"/>
                <w:lang w:val="en-US"/>
              </w:rPr>
              <w:t xml:space="preserve"> Institutional Review Board</w:t>
            </w:r>
          </w:p>
        </w:tc>
      </w:tr>
      <w:tr w:rsidR="000069B7" w:rsidRPr="00B026C7" w14:paraId="3DB6BBCB" w14:textId="77777777" w:rsidTr="004A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38154483" w14:textId="77777777" w:rsidR="000069B7" w:rsidRPr="00B026C7" w:rsidRDefault="000069B7" w:rsidP="004A495F">
            <w:pPr>
              <w:spacing w:before="0" w:after="0" w:line="480" w:lineRule="auto"/>
              <w:rPr>
                <w:rFonts w:cs="Arial"/>
                <w:b w:val="0"/>
                <w:bCs w:val="0"/>
                <w:szCs w:val="24"/>
                <w:lang w:val="en-US"/>
              </w:rPr>
            </w:pPr>
            <w:r>
              <w:rPr>
                <w:rFonts w:cs="Arial"/>
                <w:b w:val="0"/>
                <w:bCs w:val="0"/>
                <w:szCs w:val="24"/>
                <w:lang w:val="en-US"/>
              </w:rPr>
              <w:t>Anonymized</w:t>
            </w:r>
            <w:r w:rsidRPr="00B026C7">
              <w:rPr>
                <w:rFonts w:eastAsiaTheme="minorEastAsia" w:cs="Arial"/>
                <w:b w:val="0"/>
                <w:bCs w:val="0"/>
                <w:szCs w:val="24"/>
                <w:lang w:val="en-US" w:eastAsia="ko-KR"/>
              </w:rPr>
              <w:t xml:space="preserve"> Hospital, Busan, Republic of Korea</w:t>
            </w:r>
          </w:p>
        </w:tc>
        <w:tc>
          <w:tcPr>
            <w:tcW w:w="4677" w:type="dxa"/>
            <w:hideMark/>
          </w:tcPr>
          <w:p w14:paraId="22F21FB2" w14:textId="77777777" w:rsidR="000069B7" w:rsidRPr="00B026C7" w:rsidRDefault="000069B7" w:rsidP="004A495F">
            <w:pPr>
              <w:autoSpaceDE w:val="0"/>
              <w:autoSpaceDN w:val="0"/>
              <w:adjustRightInd w:val="0"/>
              <w:spacing w:before="0" w:after="0" w:line="480" w:lineRule="auto"/>
              <w:cnfStyle w:val="000000100000" w:firstRow="0" w:lastRow="0" w:firstColumn="0" w:lastColumn="0" w:oddVBand="0" w:evenVBand="0" w:oddHBand="1" w:evenHBand="0" w:firstRowFirstColumn="0" w:firstRowLastColumn="0" w:lastRowFirstColumn="0" w:lastRowLastColumn="0"/>
              <w:rPr>
                <w:rFonts w:cs="Arial"/>
                <w:szCs w:val="24"/>
                <w:lang w:val="en-US"/>
              </w:rPr>
            </w:pPr>
            <w:r>
              <w:rPr>
                <w:rFonts w:cs="Arial"/>
                <w:b/>
                <w:bCs/>
                <w:szCs w:val="24"/>
                <w:lang w:val="en-US"/>
              </w:rPr>
              <w:t>Anonymized</w:t>
            </w:r>
            <w:r w:rsidRPr="00B026C7">
              <w:rPr>
                <w:rFonts w:cs="Arial"/>
                <w:bCs/>
                <w:szCs w:val="24"/>
                <w:lang w:val="en-US"/>
              </w:rPr>
              <w:t xml:space="preserve"> Hospital Institutional Review Board</w:t>
            </w:r>
          </w:p>
        </w:tc>
      </w:tr>
    </w:tbl>
    <w:p w14:paraId="264F2334" w14:textId="77777777" w:rsidR="000069B7" w:rsidRPr="00B026C7" w:rsidRDefault="000069B7" w:rsidP="000069B7">
      <w:pPr>
        <w:spacing w:before="0" w:after="160" w:line="259" w:lineRule="auto"/>
        <w:rPr>
          <w:i/>
          <w:iCs/>
          <w:lang w:val="en-US"/>
        </w:rPr>
      </w:pPr>
      <w:r w:rsidRPr="00B026C7">
        <w:rPr>
          <w:i/>
          <w:iCs/>
          <w:lang w:val="en-US"/>
        </w:rPr>
        <w:br w:type="page"/>
      </w:r>
    </w:p>
    <w:p w14:paraId="45064E2B" w14:textId="77777777" w:rsidR="000069B7" w:rsidRPr="00B026C7" w:rsidRDefault="000069B7" w:rsidP="000069B7">
      <w:pPr>
        <w:pStyle w:val="Heading3"/>
        <w:spacing w:line="480" w:lineRule="auto"/>
        <w:rPr>
          <w:iCs/>
        </w:rPr>
      </w:pPr>
      <w:bookmarkStart w:id="3" w:name="_Toc130216887"/>
      <w:r w:rsidRPr="00B026C7">
        <w:rPr>
          <w:iCs/>
        </w:rPr>
        <w:lastRenderedPageBreak/>
        <w:t>Full inclusion and exclusion criteria</w:t>
      </w:r>
      <w:bookmarkEnd w:id="3"/>
    </w:p>
    <w:p w14:paraId="1DF19E04" w14:textId="77777777" w:rsidR="000069B7" w:rsidRPr="00B026C7" w:rsidRDefault="000069B7" w:rsidP="000069B7">
      <w:pPr>
        <w:pStyle w:val="Heading4"/>
        <w:spacing w:line="480" w:lineRule="auto"/>
      </w:pPr>
      <w:r w:rsidRPr="00B026C7">
        <w:t xml:space="preserve">Inclusion criteria </w:t>
      </w:r>
    </w:p>
    <w:p w14:paraId="5947C37D" w14:textId="77777777" w:rsidR="000069B7" w:rsidRPr="00B026C7" w:rsidRDefault="000069B7" w:rsidP="000069B7">
      <w:pPr>
        <w:pStyle w:val="ListParagraph"/>
        <w:numPr>
          <w:ilvl w:val="0"/>
          <w:numId w:val="6"/>
        </w:numPr>
        <w:spacing w:line="480" w:lineRule="auto"/>
        <w:ind w:left="426"/>
        <w:rPr>
          <w:lang w:val="en-US"/>
        </w:rPr>
      </w:pPr>
      <w:r w:rsidRPr="00B026C7">
        <w:rPr>
          <w:lang w:val="en-US"/>
        </w:rPr>
        <w:t xml:space="preserve">Healthy males or females </w:t>
      </w:r>
      <w:r w:rsidRPr="00E47D50">
        <w:rPr>
          <w:lang w:val="en-US"/>
        </w:rPr>
        <w:t>aged 19</w:t>
      </w:r>
      <w:r w:rsidRPr="00E47D50">
        <w:rPr>
          <w:rFonts w:cs="Arial"/>
          <w:lang w:val="en-US"/>
        </w:rPr>
        <w:t>–</w:t>
      </w:r>
      <w:r w:rsidRPr="00E47D50">
        <w:rPr>
          <w:lang w:val="en-US"/>
        </w:rPr>
        <w:t>55 years (healthy</w:t>
      </w:r>
      <w:r w:rsidRPr="006B3A23">
        <w:rPr>
          <w:lang w:val="en-US"/>
        </w:rPr>
        <w:t xml:space="preserve"> is defined as no clinically relevant abnormalities identified by a detailed medical history, full physical examination, including blood pressure and</w:t>
      </w:r>
      <w:r w:rsidRPr="00B026C7">
        <w:rPr>
          <w:lang w:val="en-US"/>
        </w:rPr>
        <w:t xml:space="preserve"> heart </w:t>
      </w:r>
      <w:r w:rsidRPr="006B3A23">
        <w:rPr>
          <w:lang w:val="en-US"/>
        </w:rPr>
        <w:t>rate measurement, 12-lead</w:t>
      </w:r>
      <w:r w:rsidRPr="00B026C7">
        <w:rPr>
          <w:lang w:val="en-US"/>
        </w:rPr>
        <w:t xml:space="preserve"> electrocardiogram, </w:t>
      </w:r>
      <w:r w:rsidRPr="006B3A23">
        <w:rPr>
          <w:lang w:val="en-US"/>
        </w:rPr>
        <w:t>and clinical laboratory tests</w:t>
      </w:r>
      <w:r w:rsidRPr="00B026C7">
        <w:rPr>
          <w:lang w:val="en-US"/>
        </w:rPr>
        <w:t>).</w:t>
      </w:r>
    </w:p>
    <w:p w14:paraId="3123698E" w14:textId="77777777" w:rsidR="000069B7" w:rsidRPr="00B026C7" w:rsidRDefault="000069B7" w:rsidP="000069B7">
      <w:pPr>
        <w:pStyle w:val="ListParagraph"/>
        <w:numPr>
          <w:ilvl w:val="0"/>
          <w:numId w:val="6"/>
        </w:numPr>
        <w:spacing w:line="480" w:lineRule="auto"/>
        <w:ind w:left="426"/>
        <w:rPr>
          <w:lang w:val="en-US"/>
        </w:rPr>
      </w:pPr>
      <w:r w:rsidRPr="00B026C7">
        <w:rPr>
          <w:lang w:val="en-US"/>
        </w:rPr>
        <w:t xml:space="preserve">Body weight </w:t>
      </w:r>
      <w:r w:rsidRPr="00B026C7">
        <w:rPr>
          <w:rFonts w:cs="Arial"/>
          <w:lang w:val="en-US"/>
        </w:rPr>
        <w:t>≥</w:t>
      </w:r>
      <w:r w:rsidRPr="00B026C7">
        <w:rPr>
          <w:lang w:val="en-US"/>
        </w:rPr>
        <w:t>60–</w:t>
      </w:r>
      <w:r w:rsidRPr="00B026C7">
        <w:rPr>
          <w:rFonts w:cs="Arial"/>
          <w:lang w:val="en-US"/>
        </w:rPr>
        <w:t>≤</w:t>
      </w:r>
      <w:r w:rsidRPr="00B026C7">
        <w:rPr>
          <w:lang w:val="en-US"/>
        </w:rPr>
        <w:t xml:space="preserve">100 kg (males) or </w:t>
      </w:r>
      <w:r w:rsidRPr="00B026C7">
        <w:rPr>
          <w:rFonts w:cs="Arial"/>
          <w:lang w:val="en-US"/>
        </w:rPr>
        <w:t>≥</w:t>
      </w:r>
      <w:r w:rsidRPr="00B026C7">
        <w:rPr>
          <w:lang w:val="en-US"/>
        </w:rPr>
        <w:t>50–</w:t>
      </w:r>
      <w:r w:rsidRPr="00B026C7">
        <w:rPr>
          <w:rFonts w:cs="Arial"/>
          <w:lang w:val="en-US"/>
        </w:rPr>
        <w:t>≤</w:t>
      </w:r>
      <w:r w:rsidRPr="00B026C7">
        <w:rPr>
          <w:lang w:val="en-US"/>
        </w:rPr>
        <w:t>100 kg (females), with body mass index 18.5–28.0 kg/m</w:t>
      </w:r>
      <w:r w:rsidRPr="00B026C7">
        <w:rPr>
          <w:vertAlign w:val="superscript"/>
          <w:lang w:val="en-US"/>
        </w:rPr>
        <w:t>2</w:t>
      </w:r>
      <w:r w:rsidRPr="00B026C7">
        <w:rPr>
          <w:lang w:val="en-US"/>
        </w:rPr>
        <w:t xml:space="preserve"> (inclusive). </w:t>
      </w:r>
    </w:p>
    <w:p w14:paraId="36952994" w14:textId="77777777" w:rsidR="000069B7" w:rsidRPr="00B026C7" w:rsidRDefault="000069B7" w:rsidP="000069B7">
      <w:pPr>
        <w:pStyle w:val="ListParagraph"/>
        <w:numPr>
          <w:ilvl w:val="0"/>
          <w:numId w:val="6"/>
        </w:numPr>
        <w:spacing w:line="480" w:lineRule="auto"/>
        <w:ind w:left="426"/>
        <w:rPr>
          <w:lang w:val="en-US"/>
        </w:rPr>
      </w:pPr>
      <w:r w:rsidRPr="00B026C7">
        <w:rPr>
          <w:lang w:val="en-US"/>
        </w:rPr>
        <w:t xml:space="preserve">Participant is </w:t>
      </w:r>
      <w:r w:rsidRPr="006B3A23">
        <w:rPr>
          <w:lang w:val="en-US"/>
        </w:rPr>
        <w:t>able to understand and comply with protocol requirements, instructions, and any restrictions.</w:t>
      </w:r>
      <w:r w:rsidRPr="00B026C7">
        <w:rPr>
          <w:lang w:val="en-US"/>
        </w:rPr>
        <w:t xml:space="preserve"> </w:t>
      </w:r>
    </w:p>
    <w:p w14:paraId="1368E710" w14:textId="77777777" w:rsidR="000069B7" w:rsidRPr="00B026C7" w:rsidRDefault="000069B7" w:rsidP="000069B7">
      <w:pPr>
        <w:pStyle w:val="ListParagraph"/>
        <w:numPr>
          <w:ilvl w:val="0"/>
          <w:numId w:val="6"/>
        </w:numPr>
        <w:spacing w:line="480" w:lineRule="auto"/>
        <w:ind w:left="426"/>
        <w:rPr>
          <w:lang w:val="en-US"/>
        </w:rPr>
      </w:pPr>
      <w:r w:rsidRPr="00B026C7">
        <w:rPr>
          <w:lang w:val="en-US"/>
        </w:rPr>
        <w:t xml:space="preserve">Participant </w:t>
      </w:r>
      <w:r w:rsidRPr="006B3A23">
        <w:rPr>
          <w:lang w:val="en-US"/>
        </w:rPr>
        <w:t>voluntarily agrees to participate and</w:t>
      </w:r>
      <w:r w:rsidRPr="00B026C7">
        <w:rPr>
          <w:lang w:val="en-US"/>
        </w:rPr>
        <w:t xml:space="preserve"> provides a signed and dated </w:t>
      </w:r>
      <w:r w:rsidRPr="006B3A23">
        <w:rPr>
          <w:lang w:val="en-US"/>
        </w:rPr>
        <w:t>informed consent form prior to</w:t>
      </w:r>
      <w:r w:rsidRPr="00B026C7">
        <w:rPr>
          <w:lang w:val="en-US"/>
        </w:rPr>
        <w:t xml:space="preserve"> screening. </w:t>
      </w:r>
    </w:p>
    <w:p w14:paraId="3A75118D" w14:textId="77777777" w:rsidR="000069B7" w:rsidRPr="00B026C7" w:rsidRDefault="000069B7" w:rsidP="000069B7">
      <w:pPr>
        <w:pStyle w:val="ListParagraph"/>
        <w:numPr>
          <w:ilvl w:val="0"/>
          <w:numId w:val="6"/>
        </w:numPr>
        <w:spacing w:line="480" w:lineRule="auto"/>
        <w:ind w:left="426"/>
        <w:rPr>
          <w:lang w:val="en-US"/>
        </w:rPr>
      </w:pPr>
      <w:r w:rsidRPr="00B026C7">
        <w:rPr>
          <w:lang w:val="en-US"/>
        </w:rPr>
        <w:t>Individuals of childbearing potential (i.e.</w:t>
      </w:r>
      <w:r>
        <w:rPr>
          <w:lang w:val="en-US"/>
        </w:rPr>
        <w:t>,</w:t>
      </w:r>
      <w:r w:rsidRPr="00B026C7">
        <w:rPr>
          <w:lang w:val="en-US"/>
        </w:rPr>
        <w:t xml:space="preserve"> </w:t>
      </w:r>
      <w:r w:rsidRPr="006B3A23">
        <w:rPr>
          <w:lang w:val="en-US"/>
        </w:rPr>
        <w:t>biologically capable of having children and sexually active)</w:t>
      </w:r>
      <w:r w:rsidRPr="00B026C7">
        <w:rPr>
          <w:lang w:val="en-US"/>
        </w:rPr>
        <w:t xml:space="preserve"> must use </w:t>
      </w:r>
      <w:r w:rsidRPr="006B3A23">
        <w:rPr>
          <w:lang w:val="en-US"/>
        </w:rPr>
        <w:t>a highly effective method of contraception throughout the study and for 3 months after study drug administration</w:t>
      </w:r>
      <w:r w:rsidRPr="00B026C7">
        <w:rPr>
          <w:lang w:val="en-US"/>
        </w:rPr>
        <w:t xml:space="preserve">. If an individual or their partner has </w:t>
      </w:r>
      <w:r w:rsidRPr="006B3A23">
        <w:rPr>
          <w:lang w:val="en-US"/>
        </w:rPr>
        <w:t>been surgically sterilized for less than 24 weeks prior to informed consent, they must agree to use a medically acceptable</w:t>
      </w:r>
      <w:r w:rsidRPr="00B026C7">
        <w:rPr>
          <w:lang w:val="en-US"/>
        </w:rPr>
        <w:t xml:space="preserve"> method of contraception. Postmenopausal </w:t>
      </w:r>
      <w:r w:rsidRPr="006B3A23">
        <w:rPr>
          <w:lang w:val="en-US"/>
        </w:rPr>
        <w:t>females must have experienced their last period more than 1 year prior to the date of informed consent</w:t>
      </w:r>
      <w:r w:rsidRPr="00B026C7">
        <w:rPr>
          <w:lang w:val="en-US"/>
        </w:rPr>
        <w:t xml:space="preserve"> without an alternative medical cause to be classified as not of childbearing potential. </w:t>
      </w:r>
    </w:p>
    <w:p w14:paraId="382F25AA" w14:textId="77777777" w:rsidR="000069B7" w:rsidRPr="00B026C7" w:rsidRDefault="000069B7" w:rsidP="000069B7">
      <w:pPr>
        <w:pStyle w:val="Heading4"/>
        <w:spacing w:line="480" w:lineRule="auto"/>
      </w:pPr>
      <w:r w:rsidRPr="00B026C7">
        <w:lastRenderedPageBreak/>
        <w:t xml:space="preserve">Exclusion criteria </w:t>
      </w:r>
    </w:p>
    <w:p w14:paraId="03C4C3A0" w14:textId="77777777" w:rsidR="000069B7" w:rsidRPr="00B026C7" w:rsidRDefault="000069B7" w:rsidP="000069B7">
      <w:pPr>
        <w:pStyle w:val="ListParagraph"/>
        <w:numPr>
          <w:ilvl w:val="0"/>
          <w:numId w:val="8"/>
        </w:numPr>
        <w:spacing w:line="480" w:lineRule="auto"/>
        <w:ind w:left="426"/>
        <w:rPr>
          <w:lang w:val="en-US"/>
        </w:rPr>
      </w:pPr>
      <w:r w:rsidRPr="00B026C7">
        <w:rPr>
          <w:lang w:val="en-US"/>
        </w:rPr>
        <w:t xml:space="preserve">A medical history and/or current presence of disease, including </w:t>
      </w:r>
      <w:r w:rsidRPr="00B026C7">
        <w:rPr>
          <w:rFonts w:cs="Arial"/>
          <w:lang w:val="en-US"/>
        </w:rPr>
        <w:t>≥</w:t>
      </w:r>
      <w:r w:rsidRPr="00B026C7">
        <w:rPr>
          <w:lang w:val="en-US"/>
        </w:rPr>
        <w:t xml:space="preserve">1 of the following: </w:t>
      </w:r>
    </w:p>
    <w:p w14:paraId="2E9194F0" w14:textId="77777777" w:rsidR="000069B7" w:rsidRPr="00B026C7" w:rsidRDefault="000069B7" w:rsidP="000069B7">
      <w:pPr>
        <w:pStyle w:val="ListParagraph"/>
        <w:numPr>
          <w:ilvl w:val="0"/>
          <w:numId w:val="7"/>
        </w:numPr>
        <w:spacing w:line="480" w:lineRule="auto"/>
        <w:ind w:left="1134"/>
        <w:rPr>
          <w:lang w:val="en-US"/>
        </w:rPr>
      </w:pPr>
      <w:r w:rsidRPr="00B026C7">
        <w:rPr>
          <w:lang w:val="en-US"/>
        </w:rPr>
        <w:t xml:space="preserve">Atopy (e.g., allergic asthma, eczematous, and dermatitis), judged by the investigator to be clinically significant. </w:t>
      </w:r>
    </w:p>
    <w:p w14:paraId="220B7D6D" w14:textId="77777777" w:rsidR="000069B7" w:rsidRPr="00B026C7" w:rsidRDefault="000069B7" w:rsidP="000069B7">
      <w:pPr>
        <w:pStyle w:val="ListParagraph"/>
        <w:numPr>
          <w:ilvl w:val="0"/>
          <w:numId w:val="7"/>
        </w:numPr>
        <w:spacing w:line="480" w:lineRule="auto"/>
        <w:ind w:left="1134"/>
        <w:rPr>
          <w:lang w:val="en-US"/>
        </w:rPr>
      </w:pPr>
      <w:r w:rsidRPr="006B3A23">
        <w:rPr>
          <w:lang w:val="en-US"/>
        </w:rPr>
        <w:t>Known or suspected clinically relevant hypersensitivity or allergic reaction to any of the excipients of the study drug</w:t>
      </w:r>
      <w:r w:rsidRPr="00B026C7">
        <w:rPr>
          <w:lang w:val="en-US"/>
        </w:rPr>
        <w:t>, or other human, humanized, and murine monoclonal antibodies.</w:t>
      </w:r>
    </w:p>
    <w:p w14:paraId="2DD787F4" w14:textId="77777777" w:rsidR="000069B7" w:rsidRPr="00B026C7" w:rsidRDefault="000069B7" w:rsidP="000069B7">
      <w:pPr>
        <w:pStyle w:val="ListParagraph"/>
        <w:numPr>
          <w:ilvl w:val="0"/>
          <w:numId w:val="7"/>
        </w:numPr>
        <w:spacing w:line="480" w:lineRule="auto"/>
        <w:ind w:left="1134"/>
        <w:rPr>
          <w:lang w:val="en-US"/>
        </w:rPr>
      </w:pPr>
      <w:r w:rsidRPr="00B026C7">
        <w:rPr>
          <w:lang w:val="en-US"/>
        </w:rPr>
        <w:t xml:space="preserve">Medical condition </w:t>
      </w:r>
      <w:r>
        <w:rPr>
          <w:lang w:val="en-US"/>
        </w:rPr>
        <w:t xml:space="preserve">classed as significant by the investigator, </w:t>
      </w:r>
      <w:r w:rsidRPr="00B026C7">
        <w:rPr>
          <w:lang w:val="en-US"/>
        </w:rPr>
        <w:t xml:space="preserve">including cardiac, gastrointestinal (including diverticulitis), </w:t>
      </w:r>
      <w:r w:rsidRPr="006B3A23">
        <w:rPr>
          <w:lang w:val="en-US"/>
        </w:rPr>
        <w:t>renal, endocrine, neurologic</w:t>
      </w:r>
      <w:r w:rsidRPr="00B026C7">
        <w:rPr>
          <w:lang w:val="en-US"/>
        </w:rPr>
        <w:t xml:space="preserve">, immune, </w:t>
      </w:r>
      <w:r w:rsidRPr="006B3A23">
        <w:rPr>
          <w:lang w:val="en-US"/>
        </w:rPr>
        <w:t>hepatic,</w:t>
      </w:r>
      <w:r w:rsidRPr="00B026C7">
        <w:rPr>
          <w:lang w:val="en-US"/>
        </w:rPr>
        <w:t xml:space="preserve"> </w:t>
      </w:r>
      <w:r>
        <w:rPr>
          <w:lang w:val="en-US"/>
        </w:rPr>
        <w:t>hematologic</w:t>
      </w:r>
      <w:r w:rsidRPr="00B026C7">
        <w:rPr>
          <w:lang w:val="en-US"/>
        </w:rPr>
        <w:t xml:space="preserve"> </w:t>
      </w:r>
      <w:r w:rsidRPr="006B3A23">
        <w:rPr>
          <w:lang w:val="en-US"/>
        </w:rPr>
        <w:t>(including pancytopenia, aplastic anemia or blood dyscrasia), metabolic (including diabetes mellitus), or pulmonary disease.</w:t>
      </w:r>
      <w:r w:rsidRPr="00B026C7">
        <w:rPr>
          <w:lang w:val="en-US"/>
        </w:rPr>
        <w:t xml:space="preserve"> </w:t>
      </w:r>
    </w:p>
    <w:p w14:paraId="40876ED0" w14:textId="77777777" w:rsidR="000069B7" w:rsidRPr="00B026C7" w:rsidRDefault="000069B7" w:rsidP="000069B7">
      <w:pPr>
        <w:pStyle w:val="ListParagraph"/>
        <w:numPr>
          <w:ilvl w:val="0"/>
          <w:numId w:val="7"/>
        </w:numPr>
        <w:spacing w:line="480" w:lineRule="auto"/>
        <w:ind w:left="1134"/>
        <w:rPr>
          <w:lang w:val="en-US"/>
        </w:rPr>
      </w:pPr>
      <w:r w:rsidRPr="00B026C7">
        <w:rPr>
          <w:lang w:val="en-US"/>
        </w:rPr>
        <w:t xml:space="preserve">Any malignancy except adequately treated squamous or basal cell carcinoma of the skin. </w:t>
      </w:r>
    </w:p>
    <w:p w14:paraId="26B2ECDE" w14:textId="77777777" w:rsidR="000069B7" w:rsidRPr="006B3A23" w:rsidRDefault="000069B7" w:rsidP="000069B7">
      <w:pPr>
        <w:pStyle w:val="ListParagraph"/>
        <w:numPr>
          <w:ilvl w:val="0"/>
          <w:numId w:val="7"/>
        </w:numPr>
        <w:spacing w:line="480" w:lineRule="auto"/>
        <w:ind w:left="1134"/>
        <w:rPr>
          <w:lang w:val="en-US"/>
        </w:rPr>
      </w:pPr>
      <w:r w:rsidRPr="00B026C7">
        <w:rPr>
          <w:lang w:val="en-US"/>
        </w:rPr>
        <w:t xml:space="preserve">Bacterial infections, viral infections, and/or invasive </w:t>
      </w:r>
      <w:r w:rsidRPr="006B3A23">
        <w:rPr>
          <w:lang w:val="en-US"/>
        </w:rPr>
        <w:t>fungal infections (including histoplasmosis, coccidioidomycosis, candidiasis, aspergillosis, blastomycosis, and pneumocystosis), and/or other opportunistic infections</w:t>
      </w:r>
      <w:r>
        <w:rPr>
          <w:highlight w:val="cyan"/>
          <w:lang w:val="en-US"/>
        </w:rPr>
        <w:t xml:space="preserve"> </w:t>
      </w:r>
      <w:r>
        <w:rPr>
          <w:lang w:val="en-US"/>
        </w:rPr>
        <w:t>that are</w:t>
      </w:r>
      <w:r w:rsidRPr="00B026C7">
        <w:rPr>
          <w:lang w:val="en-US"/>
        </w:rPr>
        <w:t xml:space="preserve"> clinically significant</w:t>
      </w:r>
      <w:r>
        <w:rPr>
          <w:lang w:val="en-US"/>
        </w:rPr>
        <w:t xml:space="preserve"> by the investigator’s judgement</w:t>
      </w:r>
      <w:r w:rsidRPr="00B026C7">
        <w:rPr>
          <w:lang w:val="en-US"/>
        </w:rPr>
        <w:t xml:space="preserve">, </w:t>
      </w:r>
      <w:r w:rsidRPr="006B3A23">
        <w:rPr>
          <w:lang w:val="en-US"/>
        </w:rPr>
        <w:t xml:space="preserve">including local fungal infections or a history of herpes zoster. </w:t>
      </w:r>
    </w:p>
    <w:p w14:paraId="3935C92E" w14:textId="77777777" w:rsidR="000069B7" w:rsidRPr="00B026C7" w:rsidRDefault="000069B7" w:rsidP="000069B7">
      <w:pPr>
        <w:pStyle w:val="ListParagraph"/>
        <w:numPr>
          <w:ilvl w:val="0"/>
          <w:numId w:val="7"/>
        </w:numPr>
        <w:spacing w:line="480" w:lineRule="auto"/>
        <w:ind w:left="1134"/>
        <w:rPr>
          <w:lang w:val="en-US"/>
        </w:rPr>
      </w:pPr>
      <w:r w:rsidRPr="00B026C7">
        <w:rPr>
          <w:lang w:val="en-US"/>
        </w:rPr>
        <w:t>Known infection with hepatitis B or hepatitis C (active or carrier state) or human immunodeficiency virus, or syphilis.</w:t>
      </w:r>
    </w:p>
    <w:p w14:paraId="5F73BCF4" w14:textId="77777777" w:rsidR="000069B7" w:rsidRPr="00B026C7" w:rsidRDefault="000069B7" w:rsidP="000069B7">
      <w:pPr>
        <w:pStyle w:val="ListParagraph"/>
        <w:numPr>
          <w:ilvl w:val="0"/>
          <w:numId w:val="7"/>
        </w:numPr>
        <w:spacing w:line="480" w:lineRule="auto"/>
        <w:ind w:left="1134"/>
        <w:rPr>
          <w:lang w:val="en-US"/>
        </w:rPr>
      </w:pPr>
      <w:r w:rsidRPr="007B422D">
        <w:rPr>
          <w:lang w:val="en-US"/>
        </w:rPr>
        <w:lastRenderedPageBreak/>
        <w:t>Systemic or local infection; a known risk for developing sepsis; and/or known active inflammatory process or evidence of infection</w:t>
      </w:r>
      <w:r>
        <w:rPr>
          <w:highlight w:val="cyan"/>
          <w:lang w:val="en-US"/>
        </w:rPr>
        <w:t>,</w:t>
      </w:r>
      <w:r w:rsidRPr="007B422D">
        <w:rPr>
          <w:lang w:val="en-US"/>
        </w:rPr>
        <w:t xml:space="preserve"> requiring</w:t>
      </w:r>
      <w:r w:rsidRPr="00B026C7">
        <w:rPr>
          <w:lang w:val="en-US"/>
        </w:rPr>
        <w:t xml:space="preserve"> inpatient </w:t>
      </w:r>
      <w:r w:rsidRPr="007B422D">
        <w:rPr>
          <w:lang w:val="en-US"/>
        </w:rPr>
        <w:t>hospitalization or intravenous antibiotics within 24 weeks prior to</w:t>
      </w:r>
      <w:r w:rsidRPr="00B026C7">
        <w:rPr>
          <w:lang w:val="en-US"/>
        </w:rPr>
        <w:t xml:space="preserve"> study drug administration. </w:t>
      </w:r>
    </w:p>
    <w:p w14:paraId="7624D546" w14:textId="77777777" w:rsidR="000069B7" w:rsidRPr="00B026C7" w:rsidRDefault="000069B7" w:rsidP="000069B7">
      <w:pPr>
        <w:pStyle w:val="ListParagraph"/>
        <w:numPr>
          <w:ilvl w:val="0"/>
          <w:numId w:val="8"/>
        </w:numPr>
        <w:spacing w:line="480" w:lineRule="auto"/>
        <w:ind w:left="426"/>
        <w:rPr>
          <w:lang w:val="en-US"/>
        </w:rPr>
      </w:pPr>
      <w:r w:rsidRPr="00B026C7">
        <w:rPr>
          <w:lang w:val="en-US"/>
        </w:rPr>
        <w:t xml:space="preserve">Any of the following laboratory abnormalities at screening or on Day </w:t>
      </w:r>
      <w:r>
        <w:rPr>
          <w:rFonts w:cs="Arial"/>
          <w:lang w:val="en-US"/>
        </w:rPr>
        <w:t>−</w:t>
      </w:r>
      <w:r w:rsidRPr="00B026C7">
        <w:rPr>
          <w:lang w:val="en-US"/>
        </w:rPr>
        <w:t xml:space="preserve">1: </w:t>
      </w:r>
    </w:p>
    <w:p w14:paraId="7E16C933" w14:textId="77777777" w:rsidR="000069B7" w:rsidRPr="00B026C7" w:rsidRDefault="000069B7" w:rsidP="000069B7">
      <w:pPr>
        <w:pStyle w:val="ListParagraph"/>
        <w:numPr>
          <w:ilvl w:val="0"/>
          <w:numId w:val="7"/>
        </w:numPr>
        <w:spacing w:line="480" w:lineRule="auto"/>
        <w:ind w:left="1134"/>
        <w:rPr>
          <w:lang w:val="en-US"/>
        </w:rPr>
      </w:pPr>
      <w:r w:rsidRPr="00B026C7">
        <w:rPr>
          <w:lang w:val="en-US"/>
        </w:rPr>
        <w:t>Alanine aminotransferase &gt;1.5 × the upper limit of normal (ULN)</w:t>
      </w:r>
    </w:p>
    <w:p w14:paraId="4B31A396" w14:textId="77777777" w:rsidR="000069B7" w:rsidRPr="00B026C7" w:rsidRDefault="000069B7" w:rsidP="000069B7">
      <w:pPr>
        <w:pStyle w:val="ListParagraph"/>
        <w:numPr>
          <w:ilvl w:val="0"/>
          <w:numId w:val="7"/>
        </w:numPr>
        <w:spacing w:line="480" w:lineRule="auto"/>
        <w:ind w:left="1134"/>
        <w:rPr>
          <w:lang w:val="en-US"/>
        </w:rPr>
      </w:pPr>
      <w:r w:rsidRPr="00B026C7">
        <w:rPr>
          <w:lang w:val="en-US"/>
        </w:rPr>
        <w:t>Aspartate aminotransferase &gt;1.5 × ULN</w:t>
      </w:r>
    </w:p>
    <w:p w14:paraId="4A5D8749" w14:textId="77777777" w:rsidR="000069B7" w:rsidRPr="00B026C7" w:rsidRDefault="000069B7" w:rsidP="000069B7">
      <w:pPr>
        <w:pStyle w:val="ListParagraph"/>
        <w:numPr>
          <w:ilvl w:val="0"/>
          <w:numId w:val="7"/>
        </w:numPr>
        <w:spacing w:line="480" w:lineRule="auto"/>
        <w:ind w:left="1134"/>
        <w:rPr>
          <w:lang w:val="en-US"/>
        </w:rPr>
      </w:pPr>
      <w:r w:rsidRPr="00B026C7">
        <w:rPr>
          <w:lang w:val="en-US"/>
        </w:rPr>
        <w:t>Total bilirubin &gt;1.5 × ULN</w:t>
      </w:r>
    </w:p>
    <w:p w14:paraId="011BD48A" w14:textId="77777777" w:rsidR="000069B7" w:rsidRPr="00B026C7" w:rsidRDefault="000069B7" w:rsidP="000069B7">
      <w:pPr>
        <w:pStyle w:val="ListParagraph"/>
        <w:numPr>
          <w:ilvl w:val="0"/>
          <w:numId w:val="7"/>
        </w:numPr>
        <w:spacing w:line="480" w:lineRule="auto"/>
        <w:ind w:left="1134"/>
        <w:rPr>
          <w:lang w:val="en-US"/>
        </w:rPr>
      </w:pPr>
      <w:r w:rsidRPr="00B026C7">
        <w:rPr>
          <w:lang w:val="en-US"/>
        </w:rPr>
        <w:t>Absolute neutrophil count &lt;2,000/mm</w:t>
      </w:r>
      <w:r w:rsidRPr="00B026C7">
        <w:rPr>
          <w:vertAlign w:val="superscript"/>
          <w:lang w:val="en-US"/>
        </w:rPr>
        <w:t>3</w:t>
      </w:r>
      <w:r w:rsidRPr="00B026C7">
        <w:rPr>
          <w:lang w:val="en-US"/>
        </w:rPr>
        <w:t xml:space="preserve"> (2.0×10</w:t>
      </w:r>
      <w:r w:rsidRPr="00B026C7">
        <w:rPr>
          <w:vertAlign w:val="superscript"/>
          <w:lang w:val="en-US"/>
        </w:rPr>
        <w:t>3</w:t>
      </w:r>
      <w:r w:rsidRPr="00B026C7">
        <w:rPr>
          <w:lang w:val="en-US"/>
        </w:rPr>
        <w:t>/µL)</w:t>
      </w:r>
    </w:p>
    <w:p w14:paraId="23B55D85" w14:textId="77777777" w:rsidR="000069B7" w:rsidRPr="00B026C7" w:rsidRDefault="000069B7" w:rsidP="000069B7">
      <w:pPr>
        <w:pStyle w:val="ListParagraph"/>
        <w:numPr>
          <w:ilvl w:val="0"/>
          <w:numId w:val="7"/>
        </w:numPr>
        <w:spacing w:line="480" w:lineRule="auto"/>
        <w:ind w:left="1134"/>
        <w:rPr>
          <w:lang w:val="en-US"/>
        </w:rPr>
      </w:pPr>
      <w:r w:rsidRPr="00B026C7">
        <w:rPr>
          <w:lang w:val="en-US"/>
        </w:rPr>
        <w:t>Platelet count &lt;100,000/mm</w:t>
      </w:r>
      <w:r w:rsidRPr="00B026C7">
        <w:rPr>
          <w:vertAlign w:val="superscript"/>
          <w:lang w:val="en-US"/>
        </w:rPr>
        <w:t>3</w:t>
      </w:r>
      <w:r w:rsidRPr="00B026C7">
        <w:rPr>
          <w:lang w:val="en-US"/>
        </w:rPr>
        <w:t xml:space="preserve"> (100.0×10</w:t>
      </w:r>
      <w:r w:rsidRPr="00B026C7">
        <w:rPr>
          <w:vertAlign w:val="superscript"/>
          <w:lang w:val="en-US"/>
        </w:rPr>
        <w:t>3</w:t>
      </w:r>
      <w:r w:rsidRPr="00B026C7">
        <w:rPr>
          <w:lang w:val="en-US"/>
        </w:rPr>
        <w:t xml:space="preserve">/µL) </w:t>
      </w:r>
    </w:p>
    <w:p w14:paraId="7FD1714F" w14:textId="77777777" w:rsidR="000069B7" w:rsidRPr="007B422D" w:rsidRDefault="000069B7" w:rsidP="000069B7">
      <w:pPr>
        <w:pStyle w:val="ListParagraph"/>
        <w:numPr>
          <w:ilvl w:val="0"/>
          <w:numId w:val="8"/>
        </w:numPr>
        <w:spacing w:line="480" w:lineRule="auto"/>
        <w:ind w:left="426"/>
        <w:rPr>
          <w:lang w:val="en-US"/>
        </w:rPr>
      </w:pPr>
      <w:r w:rsidRPr="007B422D">
        <w:rPr>
          <w:lang w:val="en-US"/>
        </w:rPr>
        <w:t>History of surgical intervention or an operation within 4 weeks prior to study drug administration, or planned surgical procedure during the study.</w:t>
      </w:r>
    </w:p>
    <w:p w14:paraId="20F4DFAC" w14:textId="77777777" w:rsidR="000069B7" w:rsidRPr="007B422D" w:rsidRDefault="000069B7" w:rsidP="000069B7">
      <w:pPr>
        <w:pStyle w:val="ListParagraph"/>
        <w:numPr>
          <w:ilvl w:val="0"/>
          <w:numId w:val="8"/>
        </w:numPr>
        <w:spacing w:line="480" w:lineRule="auto"/>
        <w:ind w:left="426"/>
        <w:rPr>
          <w:lang w:val="en-US"/>
        </w:rPr>
      </w:pPr>
      <w:r w:rsidRPr="007B422D">
        <w:rPr>
          <w:lang w:val="en-US"/>
        </w:rPr>
        <w:t>Active tuberculosis, latent tuberculosis (defined as a positive result for interferon-gamma release assay [IGRA] with no active lesion on examination of chest X</w:t>
      </w:r>
      <w:r w:rsidRPr="007B422D">
        <w:rPr>
          <w:rFonts w:ascii="Cambria Math" w:hAnsi="Cambria Math"/>
          <w:lang w:val="en-US"/>
        </w:rPr>
        <w:t>‑</w:t>
      </w:r>
      <w:r w:rsidRPr="007B422D">
        <w:rPr>
          <w:lang w:val="en-US"/>
        </w:rPr>
        <w:t>ray, and without any sign or symptom of tuberculosis), a history of tuberculosis, or close contact with a person with active tuberculosis or travel to areas within a high incidence of tuberculosis within 8 weeks prior to study drug administration, or planned travel to an area with a high incidence of tuberculosis during the study period. I</w:t>
      </w:r>
      <w:r>
        <w:rPr>
          <w:lang w:val="en-US"/>
        </w:rPr>
        <w:t>n</w:t>
      </w:r>
      <w:r w:rsidRPr="007B422D">
        <w:rPr>
          <w:lang w:val="en-US"/>
        </w:rPr>
        <w:t xml:space="preserve"> the case of </w:t>
      </w:r>
      <w:r>
        <w:rPr>
          <w:lang w:val="en-US"/>
        </w:rPr>
        <w:t xml:space="preserve">an </w:t>
      </w:r>
      <w:r w:rsidRPr="007B422D">
        <w:rPr>
          <w:lang w:val="en-US"/>
        </w:rPr>
        <w:t xml:space="preserve">indeterminate IGRA result at screening, one retest will be allowed during the screening period. If the repeated IGRA result is again indeterminate or positive, the participant will be excluded </w:t>
      </w:r>
      <w:r w:rsidRPr="007B422D">
        <w:rPr>
          <w:lang w:val="en-US"/>
        </w:rPr>
        <w:lastRenderedPageBreak/>
        <w:t xml:space="preserve">from the study. If the repeated IGRA result is negative, the participant can be included in the study. </w:t>
      </w:r>
    </w:p>
    <w:p w14:paraId="6D357E02" w14:textId="77777777" w:rsidR="000069B7" w:rsidRPr="00B026C7" w:rsidRDefault="000069B7" w:rsidP="000069B7">
      <w:pPr>
        <w:pStyle w:val="ListParagraph"/>
        <w:numPr>
          <w:ilvl w:val="0"/>
          <w:numId w:val="8"/>
        </w:numPr>
        <w:spacing w:line="480" w:lineRule="auto"/>
        <w:ind w:left="426"/>
        <w:rPr>
          <w:lang w:val="en-US"/>
        </w:rPr>
      </w:pPr>
      <w:r w:rsidRPr="007B422D">
        <w:rPr>
          <w:lang w:val="en-US"/>
        </w:rPr>
        <w:t>Previous exposure to tocilizumab, any biosimilar of</w:t>
      </w:r>
      <w:r w:rsidRPr="00B026C7">
        <w:rPr>
          <w:lang w:val="en-US"/>
        </w:rPr>
        <w:t xml:space="preserve"> tocilizumab, or any drug that directly targets interleukin-6. </w:t>
      </w:r>
    </w:p>
    <w:p w14:paraId="382FF93B" w14:textId="77777777" w:rsidR="000069B7" w:rsidRPr="00B026C7" w:rsidRDefault="000069B7" w:rsidP="000069B7">
      <w:pPr>
        <w:pStyle w:val="ListParagraph"/>
        <w:numPr>
          <w:ilvl w:val="0"/>
          <w:numId w:val="8"/>
        </w:numPr>
        <w:spacing w:line="480" w:lineRule="auto"/>
        <w:ind w:left="426"/>
        <w:rPr>
          <w:lang w:val="en-US"/>
        </w:rPr>
      </w:pPr>
      <w:r w:rsidRPr="00B026C7">
        <w:rPr>
          <w:lang w:val="en-US"/>
        </w:rPr>
        <w:t xml:space="preserve">Previous exposure to an investigational drug, any </w:t>
      </w:r>
      <w:r w:rsidRPr="007B422D">
        <w:rPr>
          <w:lang w:val="en-US"/>
        </w:rPr>
        <w:t>monoclonal antibody, or fusion protein; current use of a biologic</w:t>
      </w:r>
      <w:r w:rsidRPr="00B026C7">
        <w:rPr>
          <w:lang w:val="en-US"/>
        </w:rPr>
        <w:t xml:space="preserve"> agent (except for coronavirus disease 2019 [COVID-19] vaccines); or participation in another clinical trial within 6 months prior to study drug administration. </w:t>
      </w:r>
    </w:p>
    <w:p w14:paraId="2379127E" w14:textId="77777777" w:rsidR="000069B7" w:rsidRPr="00B026C7" w:rsidRDefault="000069B7" w:rsidP="000069B7">
      <w:pPr>
        <w:pStyle w:val="ListParagraph"/>
        <w:numPr>
          <w:ilvl w:val="0"/>
          <w:numId w:val="8"/>
        </w:numPr>
        <w:spacing w:line="480" w:lineRule="auto"/>
        <w:ind w:left="426"/>
        <w:rPr>
          <w:lang w:val="en-US"/>
        </w:rPr>
      </w:pPr>
      <w:r w:rsidRPr="00B026C7">
        <w:rPr>
          <w:lang w:val="en-US"/>
        </w:rPr>
        <w:t>Treatment with prescription medications (</w:t>
      </w:r>
      <w:r w:rsidRPr="007B422D">
        <w:rPr>
          <w:lang w:val="en-US"/>
        </w:rPr>
        <w:t>excluding hormonal birth control), over-the-counter drugs, dietary supplements, or herbal remedies that could affect the outcome of the study, within 2 weeks prior to</w:t>
      </w:r>
      <w:r w:rsidRPr="00B026C7">
        <w:rPr>
          <w:lang w:val="en-US"/>
        </w:rPr>
        <w:t xml:space="preserve"> study drug </w:t>
      </w:r>
      <w:r w:rsidRPr="007B422D">
        <w:rPr>
          <w:lang w:val="en-US"/>
        </w:rPr>
        <w:t>administration.</w:t>
      </w:r>
      <w:r w:rsidRPr="00B026C7">
        <w:rPr>
          <w:lang w:val="en-US"/>
        </w:rPr>
        <w:t xml:space="preserve"> </w:t>
      </w:r>
    </w:p>
    <w:p w14:paraId="76C73F3E" w14:textId="77777777" w:rsidR="000069B7" w:rsidRPr="00B026C7" w:rsidRDefault="000069B7" w:rsidP="000069B7">
      <w:pPr>
        <w:pStyle w:val="ListParagraph"/>
        <w:numPr>
          <w:ilvl w:val="0"/>
          <w:numId w:val="8"/>
        </w:numPr>
        <w:spacing w:line="480" w:lineRule="auto"/>
        <w:ind w:left="426"/>
        <w:rPr>
          <w:lang w:val="en-US"/>
        </w:rPr>
      </w:pPr>
      <w:r w:rsidRPr="00B026C7">
        <w:rPr>
          <w:lang w:val="en-US"/>
        </w:rPr>
        <w:t xml:space="preserve">Administration </w:t>
      </w:r>
      <w:r w:rsidRPr="007B422D">
        <w:rPr>
          <w:lang w:val="en-US"/>
        </w:rPr>
        <w:t>of a live or attenuated vaccine within 4 weeks prior to</w:t>
      </w:r>
      <w:r w:rsidRPr="00B026C7">
        <w:rPr>
          <w:lang w:val="en-US"/>
        </w:rPr>
        <w:t xml:space="preserve"> study drug administration, during the study, or planned until the 3 months after study drug administration. Use of an authorized, non-live-attenuated COVID-19 vaccine was permitted, if the vaccination was completed 2 weeks </w:t>
      </w:r>
      <w:r>
        <w:rPr>
          <w:lang w:val="en-US"/>
        </w:rPr>
        <w:t xml:space="preserve">prior to </w:t>
      </w:r>
      <w:r w:rsidRPr="00B026C7">
        <w:rPr>
          <w:lang w:val="en-US"/>
        </w:rPr>
        <w:t>study drug administration and no clinically significant adverse reaction occurred after vaccination.</w:t>
      </w:r>
    </w:p>
    <w:p w14:paraId="54D214B3" w14:textId="77777777" w:rsidR="000069B7" w:rsidRPr="00B026C7" w:rsidRDefault="000069B7" w:rsidP="000069B7">
      <w:pPr>
        <w:pStyle w:val="ListParagraph"/>
        <w:numPr>
          <w:ilvl w:val="0"/>
          <w:numId w:val="8"/>
        </w:numPr>
        <w:spacing w:line="480" w:lineRule="auto"/>
        <w:ind w:left="426"/>
        <w:rPr>
          <w:lang w:val="en-US"/>
        </w:rPr>
      </w:pPr>
      <w:r w:rsidRPr="00B026C7">
        <w:rPr>
          <w:lang w:val="en-US"/>
        </w:rPr>
        <w:t>A history and/or current presence of medical problems or findings from physical examination or laboratory testing identified as clinically significant by the investigator</w:t>
      </w:r>
      <w:r w:rsidRPr="00B026C7" w:rsidDel="00B32D72">
        <w:rPr>
          <w:lang w:val="en-US"/>
        </w:rPr>
        <w:t xml:space="preserve"> </w:t>
      </w:r>
      <w:r w:rsidRPr="00B026C7">
        <w:rPr>
          <w:lang w:val="en-US"/>
        </w:rPr>
        <w:t>(other than those listed above) within 4 weeks prior to first study drug administration.</w:t>
      </w:r>
    </w:p>
    <w:p w14:paraId="1A70F584" w14:textId="77777777" w:rsidR="000069B7" w:rsidRPr="00B026C7" w:rsidRDefault="000069B7" w:rsidP="000069B7">
      <w:pPr>
        <w:pStyle w:val="ListParagraph"/>
        <w:numPr>
          <w:ilvl w:val="0"/>
          <w:numId w:val="8"/>
        </w:numPr>
        <w:spacing w:line="480" w:lineRule="auto"/>
        <w:ind w:left="426"/>
        <w:rPr>
          <w:lang w:val="en-US"/>
        </w:rPr>
      </w:pPr>
      <w:r w:rsidRPr="007B422D">
        <w:rPr>
          <w:lang w:val="en-US"/>
        </w:rPr>
        <w:lastRenderedPageBreak/>
        <w:t>Whole blood</w:t>
      </w:r>
      <w:r w:rsidRPr="00B026C7">
        <w:rPr>
          <w:lang w:val="en-US"/>
        </w:rPr>
        <w:t xml:space="preserve"> donation </w:t>
      </w:r>
      <w:r w:rsidRPr="007B422D">
        <w:rPr>
          <w:lang w:val="en-US"/>
        </w:rPr>
        <w:t>within 8 weeks or</w:t>
      </w:r>
      <w:r w:rsidRPr="00B026C7">
        <w:rPr>
          <w:lang w:val="en-US"/>
        </w:rPr>
        <w:t xml:space="preserve"> donation of </w:t>
      </w:r>
      <w:r w:rsidRPr="007B422D">
        <w:rPr>
          <w:lang w:val="en-US"/>
        </w:rPr>
        <w:t>blood components within 4</w:t>
      </w:r>
      <w:r w:rsidRPr="00B026C7">
        <w:rPr>
          <w:lang w:val="en-US"/>
        </w:rPr>
        <w:t xml:space="preserve"> </w:t>
      </w:r>
      <w:r w:rsidRPr="007B422D">
        <w:rPr>
          <w:lang w:val="en-US"/>
        </w:rPr>
        <w:t>weeks prior to</w:t>
      </w:r>
      <w:r w:rsidRPr="00B026C7">
        <w:rPr>
          <w:lang w:val="en-US"/>
        </w:rPr>
        <w:t xml:space="preserve"> study drug </w:t>
      </w:r>
      <w:r w:rsidRPr="007B422D">
        <w:rPr>
          <w:lang w:val="en-US"/>
        </w:rPr>
        <w:t>administration</w:t>
      </w:r>
      <w:r w:rsidRPr="00B026C7">
        <w:rPr>
          <w:lang w:val="en-US"/>
        </w:rPr>
        <w:t xml:space="preserve">, or planned donation of whole blood or blood components during the study. </w:t>
      </w:r>
    </w:p>
    <w:p w14:paraId="7A877E4C" w14:textId="77777777" w:rsidR="000069B7" w:rsidRPr="00B026C7" w:rsidRDefault="000069B7" w:rsidP="000069B7">
      <w:pPr>
        <w:pStyle w:val="ListParagraph"/>
        <w:numPr>
          <w:ilvl w:val="0"/>
          <w:numId w:val="8"/>
        </w:numPr>
        <w:spacing w:line="480" w:lineRule="auto"/>
        <w:ind w:left="426"/>
        <w:rPr>
          <w:lang w:val="en-US"/>
        </w:rPr>
      </w:pPr>
      <w:r w:rsidRPr="00B026C7">
        <w:rPr>
          <w:lang w:val="en-US"/>
        </w:rPr>
        <w:t xml:space="preserve">Males planning to have children or donate sperm </w:t>
      </w:r>
      <w:r w:rsidRPr="007B422D">
        <w:rPr>
          <w:lang w:val="en-US"/>
        </w:rPr>
        <w:t>within 3 months after study drug administration</w:t>
      </w:r>
      <w:r w:rsidRPr="00B026C7">
        <w:rPr>
          <w:lang w:val="en-US"/>
        </w:rPr>
        <w:t xml:space="preserve">. Females currently pregnant </w:t>
      </w:r>
      <w:r w:rsidRPr="007B422D">
        <w:rPr>
          <w:lang w:val="en-US"/>
        </w:rPr>
        <w:t>or lactating, or planning to be pregnant or breastfeed within 3 months after study drug administration</w:t>
      </w:r>
      <w:r w:rsidRPr="00B026C7">
        <w:rPr>
          <w:lang w:val="en-US"/>
        </w:rPr>
        <w:t xml:space="preserve">. </w:t>
      </w:r>
    </w:p>
    <w:p w14:paraId="3B053666" w14:textId="77777777" w:rsidR="000069B7" w:rsidRPr="00B026C7" w:rsidRDefault="000069B7" w:rsidP="000069B7">
      <w:pPr>
        <w:pStyle w:val="ListParagraph"/>
        <w:numPr>
          <w:ilvl w:val="0"/>
          <w:numId w:val="8"/>
        </w:numPr>
        <w:spacing w:line="480" w:lineRule="auto"/>
        <w:ind w:left="426"/>
        <w:rPr>
          <w:lang w:val="en-US"/>
        </w:rPr>
      </w:pPr>
      <w:r w:rsidRPr="00B026C7">
        <w:rPr>
          <w:lang w:val="en-US"/>
        </w:rPr>
        <w:t xml:space="preserve">Participants with </w:t>
      </w:r>
      <w:r w:rsidRPr="007B422D">
        <w:rPr>
          <w:lang w:val="en-US"/>
        </w:rPr>
        <w:t>reasonable evidence</w:t>
      </w:r>
      <w:r w:rsidRPr="00B026C7">
        <w:rPr>
          <w:lang w:val="en-US"/>
        </w:rPr>
        <w:t xml:space="preserve"> or history </w:t>
      </w:r>
      <w:r w:rsidRPr="007B422D">
        <w:rPr>
          <w:lang w:val="en-US"/>
        </w:rPr>
        <w:t>of drug</w:t>
      </w:r>
      <w:r w:rsidRPr="00B026C7">
        <w:rPr>
          <w:lang w:val="en-US"/>
        </w:rPr>
        <w:t xml:space="preserve"> abuse, </w:t>
      </w:r>
      <w:r w:rsidRPr="007B422D">
        <w:rPr>
          <w:lang w:val="en-US"/>
        </w:rPr>
        <w:t>alcohol</w:t>
      </w:r>
      <w:r w:rsidRPr="00B026C7">
        <w:rPr>
          <w:lang w:val="en-US"/>
        </w:rPr>
        <w:t xml:space="preserve"> use, or smoking </w:t>
      </w:r>
      <w:r w:rsidRPr="007B422D">
        <w:rPr>
          <w:lang w:val="en-US"/>
        </w:rPr>
        <w:t>prior to study drug administration,</w:t>
      </w:r>
      <w:r w:rsidRPr="00B026C7">
        <w:rPr>
          <w:lang w:val="en-US"/>
        </w:rPr>
        <w:t xml:space="preserve"> as judged by </w:t>
      </w:r>
      <w:r w:rsidRPr="007B422D">
        <w:rPr>
          <w:lang w:val="en-US"/>
        </w:rPr>
        <w:t>the investigator or on</w:t>
      </w:r>
      <w:r w:rsidRPr="00B026C7">
        <w:rPr>
          <w:lang w:val="en-US"/>
        </w:rPr>
        <w:t xml:space="preserve"> the basis of any of the following: </w:t>
      </w:r>
    </w:p>
    <w:p w14:paraId="5204CC95" w14:textId="77777777" w:rsidR="000069B7" w:rsidRPr="00B026C7" w:rsidRDefault="000069B7" w:rsidP="000069B7">
      <w:pPr>
        <w:pStyle w:val="ListParagraph"/>
        <w:numPr>
          <w:ilvl w:val="0"/>
          <w:numId w:val="9"/>
        </w:numPr>
        <w:spacing w:line="480" w:lineRule="auto"/>
        <w:rPr>
          <w:lang w:val="en-US"/>
        </w:rPr>
      </w:pPr>
      <w:r w:rsidRPr="00B026C7">
        <w:rPr>
          <w:lang w:val="en-US"/>
        </w:rPr>
        <w:t xml:space="preserve">A positive urine drug test result during screening or prior to study drug administration. </w:t>
      </w:r>
    </w:p>
    <w:p w14:paraId="1D294EB1" w14:textId="77777777" w:rsidR="000069B7" w:rsidRPr="007B422D" w:rsidRDefault="000069B7" w:rsidP="000069B7">
      <w:pPr>
        <w:pStyle w:val="ListParagraph"/>
        <w:numPr>
          <w:ilvl w:val="0"/>
          <w:numId w:val="9"/>
        </w:numPr>
        <w:spacing w:line="480" w:lineRule="auto"/>
        <w:rPr>
          <w:lang w:val="en-US"/>
        </w:rPr>
      </w:pPr>
      <w:r w:rsidRPr="007B422D">
        <w:rPr>
          <w:lang w:val="en-US"/>
        </w:rPr>
        <w:t>A history or presence of regular</w:t>
      </w:r>
      <w:r w:rsidRPr="00B026C7">
        <w:rPr>
          <w:lang w:val="en-US"/>
        </w:rPr>
        <w:t xml:space="preserve"> alcohol </w:t>
      </w:r>
      <w:r w:rsidRPr="007B422D">
        <w:rPr>
          <w:lang w:val="en-US"/>
        </w:rPr>
        <w:t>consumption exceeding an average weekly intake of 21 units</w:t>
      </w:r>
      <w:r w:rsidRPr="00B026C7">
        <w:rPr>
          <w:lang w:val="en-US"/>
        </w:rPr>
        <w:t xml:space="preserve"> in the 4 </w:t>
      </w:r>
      <w:r w:rsidRPr="007B422D">
        <w:rPr>
          <w:lang w:val="en-US"/>
        </w:rPr>
        <w:t>weeks prior to</w:t>
      </w:r>
      <w:r w:rsidRPr="00B026C7">
        <w:rPr>
          <w:lang w:val="en-US"/>
        </w:rPr>
        <w:t xml:space="preserve"> first </w:t>
      </w:r>
      <w:r w:rsidRPr="007B422D">
        <w:rPr>
          <w:lang w:val="en-US"/>
        </w:rPr>
        <w:t>administration of the study drug</w:t>
      </w:r>
      <w:r w:rsidRPr="00B026C7">
        <w:rPr>
          <w:lang w:val="en-US"/>
        </w:rPr>
        <w:t xml:space="preserve"> and/or participant </w:t>
      </w:r>
      <w:r w:rsidRPr="007B422D">
        <w:rPr>
          <w:lang w:val="en-US"/>
        </w:rPr>
        <w:t>unwilling to avoid</w:t>
      </w:r>
      <w:r w:rsidRPr="00B026C7">
        <w:rPr>
          <w:lang w:val="en-US"/>
        </w:rPr>
        <w:t xml:space="preserve"> taking </w:t>
      </w:r>
      <w:r w:rsidRPr="007B422D">
        <w:rPr>
          <w:lang w:val="en-US"/>
        </w:rPr>
        <w:t xml:space="preserve">alcohol or alcohol-containing foods, medications, or beverages during clinic attendance as well as within 24 hours prior to screening and each study visit. </w:t>
      </w:r>
    </w:p>
    <w:p w14:paraId="54BC989E" w14:textId="77777777" w:rsidR="000069B7" w:rsidRPr="00B026C7" w:rsidRDefault="000069B7" w:rsidP="000069B7">
      <w:pPr>
        <w:pStyle w:val="ListParagraph"/>
        <w:numPr>
          <w:ilvl w:val="0"/>
          <w:numId w:val="9"/>
        </w:numPr>
        <w:spacing w:line="480" w:lineRule="auto"/>
        <w:rPr>
          <w:lang w:val="en-US"/>
        </w:rPr>
      </w:pPr>
      <w:r w:rsidRPr="007B422D">
        <w:rPr>
          <w:lang w:val="en-US"/>
        </w:rPr>
        <w:t>Consumption of &gt;10 cigarettes (or equivalent) per day within 4 weeks prior to</w:t>
      </w:r>
      <w:r w:rsidRPr="00B026C7">
        <w:rPr>
          <w:lang w:val="en-US"/>
        </w:rPr>
        <w:t xml:space="preserve"> study drug </w:t>
      </w:r>
      <w:r w:rsidRPr="007B422D">
        <w:rPr>
          <w:lang w:val="en-US"/>
        </w:rPr>
        <w:t>administration and/or</w:t>
      </w:r>
      <w:r w:rsidRPr="00B026C7">
        <w:rPr>
          <w:lang w:val="en-US"/>
        </w:rPr>
        <w:t xml:space="preserve"> participant </w:t>
      </w:r>
      <w:r w:rsidRPr="007B422D">
        <w:rPr>
          <w:lang w:val="en-US"/>
        </w:rPr>
        <w:t>is unable to refrain from smoking during</w:t>
      </w:r>
      <w:r w:rsidRPr="00B026C7">
        <w:rPr>
          <w:lang w:val="en-US"/>
        </w:rPr>
        <w:t xml:space="preserve"> clinic attendance. </w:t>
      </w:r>
    </w:p>
    <w:p w14:paraId="6237C7B4" w14:textId="77777777" w:rsidR="000069B7" w:rsidRPr="00B026C7" w:rsidRDefault="000069B7" w:rsidP="000069B7">
      <w:pPr>
        <w:pStyle w:val="ListParagraph"/>
        <w:numPr>
          <w:ilvl w:val="0"/>
          <w:numId w:val="8"/>
        </w:numPr>
        <w:spacing w:line="480" w:lineRule="auto"/>
        <w:ind w:left="426"/>
        <w:rPr>
          <w:lang w:val="en-US"/>
        </w:rPr>
      </w:pPr>
      <w:r w:rsidRPr="00B026C7">
        <w:rPr>
          <w:lang w:val="en-US"/>
        </w:rPr>
        <w:t>Presence of tattoos, sunburn, or other skin disturbances (i.e., cuts, bruises, redness, hardness, tenderness) on the outer upper arm, which may interfere with a medical assessment of the injection</w:t>
      </w:r>
      <w:r>
        <w:rPr>
          <w:lang w:val="en-US"/>
        </w:rPr>
        <w:t xml:space="preserve"> site</w:t>
      </w:r>
      <w:r w:rsidRPr="00B026C7">
        <w:rPr>
          <w:lang w:val="en-US"/>
        </w:rPr>
        <w:t xml:space="preserve"> both prior to and following study drug administration. </w:t>
      </w:r>
    </w:p>
    <w:p w14:paraId="10F52A39" w14:textId="77777777" w:rsidR="000069B7" w:rsidRPr="00E47D50" w:rsidRDefault="000069B7" w:rsidP="000069B7">
      <w:pPr>
        <w:pStyle w:val="ListParagraph"/>
        <w:numPr>
          <w:ilvl w:val="0"/>
          <w:numId w:val="8"/>
        </w:numPr>
        <w:spacing w:line="480" w:lineRule="auto"/>
        <w:ind w:left="426"/>
        <w:rPr>
          <w:lang w:val="en-US"/>
        </w:rPr>
      </w:pPr>
      <w:r w:rsidRPr="00E47D50">
        <w:rPr>
          <w:lang w:val="en-US"/>
        </w:rPr>
        <w:lastRenderedPageBreak/>
        <w:t>Evidence of a psychological or emotional condition or any resultant therapy that is likely to invalidate informed consent, or limit the ability of the individual to comply with the protocol requirements, in the opinion of the investigator. Individuals who are unable to understand the protocol requirements, instructions, study related restrictions, and/or the nature, scope, and possible consequences of the clinical study, or are unable to give written informed consent or to comply fully with the protocol, will be excluded.</w:t>
      </w:r>
    </w:p>
    <w:p w14:paraId="28617A6A" w14:textId="77777777" w:rsidR="000069B7" w:rsidRPr="00B026C7" w:rsidRDefault="000069B7" w:rsidP="000069B7">
      <w:pPr>
        <w:pStyle w:val="ListParagraph"/>
        <w:numPr>
          <w:ilvl w:val="0"/>
          <w:numId w:val="8"/>
        </w:numPr>
        <w:spacing w:line="480" w:lineRule="auto"/>
        <w:ind w:left="426"/>
        <w:rPr>
          <w:lang w:val="en-US"/>
        </w:rPr>
      </w:pPr>
      <w:r w:rsidRPr="00B026C7">
        <w:rPr>
          <w:lang w:val="en-US"/>
        </w:rPr>
        <w:t>Vulnerable individuals (e.g., any individuals [or their immediate family members] involved in the conduct of the study; incarcerated or institutionalized individuals).</w:t>
      </w:r>
    </w:p>
    <w:p w14:paraId="3EA206B4" w14:textId="77777777" w:rsidR="000069B7" w:rsidRPr="00B026C7" w:rsidRDefault="000069B7" w:rsidP="000069B7">
      <w:pPr>
        <w:spacing w:line="480" w:lineRule="auto"/>
        <w:rPr>
          <w:lang w:val="en-US"/>
        </w:rPr>
      </w:pPr>
    </w:p>
    <w:p w14:paraId="68E80B31" w14:textId="77777777" w:rsidR="000069B7" w:rsidRPr="00B026C7" w:rsidRDefault="000069B7" w:rsidP="000069B7">
      <w:pPr>
        <w:pStyle w:val="Heading3"/>
      </w:pPr>
      <w:bookmarkStart w:id="4" w:name="_Toc130216888"/>
      <w:r w:rsidRPr="00B026C7">
        <w:t>Capture logic for treatment-emergent adverse events of special interest (TEAESIs)</w:t>
      </w:r>
      <w:bookmarkEnd w:id="4"/>
    </w:p>
    <w:p w14:paraId="290254E8" w14:textId="77777777" w:rsidR="000069B7" w:rsidRPr="00B026C7" w:rsidRDefault="000069B7" w:rsidP="000069B7">
      <w:pPr>
        <w:spacing w:line="480" w:lineRule="auto"/>
        <w:rPr>
          <w:lang w:val="en-US"/>
        </w:rPr>
      </w:pPr>
      <w:r w:rsidRPr="00B026C7">
        <w:rPr>
          <w:lang w:val="en-US"/>
        </w:rPr>
        <w:t>TEAESIs were recorded as follows:</w:t>
      </w:r>
    </w:p>
    <w:p w14:paraId="598016A8" w14:textId="77777777" w:rsidR="000069B7" w:rsidRPr="00B026C7" w:rsidRDefault="000069B7" w:rsidP="000069B7">
      <w:pPr>
        <w:pStyle w:val="ListParagraph"/>
        <w:numPr>
          <w:ilvl w:val="0"/>
          <w:numId w:val="10"/>
        </w:numPr>
        <w:spacing w:line="480" w:lineRule="auto"/>
        <w:rPr>
          <w:lang w:val="en-US"/>
        </w:rPr>
      </w:pPr>
      <w:r w:rsidRPr="00B026C7">
        <w:rPr>
          <w:i/>
          <w:iCs/>
          <w:lang w:val="en-US"/>
        </w:rPr>
        <w:t>Infection</w:t>
      </w:r>
      <w:r w:rsidRPr="00B026C7">
        <w:rPr>
          <w:lang w:val="en-US"/>
        </w:rPr>
        <w:t xml:space="preserve">: treatment-emergent adverse events (TEAEs) coded with a system organ class of 'infections and infestations'. </w:t>
      </w:r>
    </w:p>
    <w:p w14:paraId="21F204B9" w14:textId="77777777" w:rsidR="000069B7" w:rsidRPr="00B026C7" w:rsidRDefault="000069B7" w:rsidP="000069B7">
      <w:pPr>
        <w:pStyle w:val="ListParagraph"/>
        <w:numPr>
          <w:ilvl w:val="0"/>
          <w:numId w:val="10"/>
        </w:numPr>
        <w:spacing w:line="480" w:lineRule="auto"/>
        <w:rPr>
          <w:lang w:val="en-US"/>
        </w:rPr>
      </w:pPr>
      <w:r w:rsidRPr="00B026C7">
        <w:rPr>
          <w:i/>
          <w:iCs/>
          <w:lang w:val="en-US"/>
        </w:rPr>
        <w:t>Hypersensitivity, including anaphylaxis:</w:t>
      </w:r>
      <w:r w:rsidRPr="00B026C7">
        <w:rPr>
          <w:lang w:val="en-US"/>
        </w:rPr>
        <w:t xml:space="preserve"> TEAEs recorded as ‘hypersensitivity’ in the electronic case report form (eCRF). Anaphylaxis was medically reviewed according to Sampson criteria </w:t>
      </w:r>
      <w:r w:rsidRPr="00B026C7">
        <w:rPr>
          <w:lang w:val="en-US"/>
        </w:rPr>
        <w:fldChar w:fldCharType="begin">
          <w:fldData xml:space="preserve">PEVuZE5vdGU+PENpdGU+PEF1dGhvcj5TYW1wc29uPC9BdXRob3I+PFllYXI+MjAwNjwvWWVhcj48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</w:fldData>
        </w:fldChar>
      </w:r>
      <w:r>
        <w:rPr>
          <w:lang w:val="en-US"/>
        </w:rPr>
        <w:instrText xml:space="preserve"> ADDIN EN.CITE </w:instrText>
      </w:r>
      <w:r>
        <w:rPr>
          <w:lang w:val="en-US"/>
        </w:rPr>
        <w:fldChar w:fldCharType="begin">
          <w:fldData xml:space="preserve">PEVuZE5vdGU+PENpdGU+PEF1dGhvcj5TYW1wc29uPC9BdXRob3I+PFllYXI+MjAwNjwvWWVhcj48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</w:fldData>
        </w:fldChar>
      </w:r>
      <w:r>
        <w:rPr>
          <w:lang w:val="en-US"/>
        </w:rPr>
        <w:instrText xml:space="preserve"> ADDIN EN.CITE.DATA </w:instrText>
      </w:r>
      <w:r>
        <w:rPr>
          <w:lang w:val="en-US"/>
        </w:rPr>
      </w:r>
      <w:r>
        <w:rPr>
          <w:lang w:val="en-US"/>
        </w:rPr>
        <w:fldChar w:fldCharType="end"/>
      </w:r>
      <w:r w:rsidRPr="00B026C7">
        <w:rPr>
          <w:lang w:val="en-US"/>
        </w:rPr>
      </w:r>
      <w:r w:rsidRPr="00B026C7">
        <w:rPr>
          <w:lang w:val="en-US"/>
        </w:rPr>
        <w:fldChar w:fldCharType="separate"/>
      </w:r>
      <w:r>
        <w:rPr>
          <w:noProof/>
          <w:lang w:val="en-US"/>
        </w:rPr>
        <w:t>[</w:t>
      </w:r>
      <w:hyperlink w:anchor="_ENREF_14" w:tooltip="Sampson, 2006 #28" w:history="1">
        <w:r>
          <w:rPr>
            <w:noProof/>
            <w:lang w:val="en-US"/>
          </w:rPr>
          <w:t>14</w:t>
        </w:r>
      </w:hyperlink>
      <w:r>
        <w:rPr>
          <w:noProof/>
          <w:lang w:val="en-US"/>
        </w:rPr>
        <w:t>]</w:t>
      </w:r>
      <w:r w:rsidRPr="00B026C7">
        <w:rPr>
          <w:lang w:val="en-US"/>
        </w:rPr>
        <w:fldChar w:fldCharType="end"/>
      </w:r>
      <w:r w:rsidRPr="00B026C7">
        <w:rPr>
          <w:lang w:val="en-US"/>
        </w:rPr>
        <w:t xml:space="preserve">. </w:t>
      </w:r>
    </w:p>
    <w:p w14:paraId="5CABF0F1" w14:textId="77777777" w:rsidR="000069B7" w:rsidRPr="00B026C7" w:rsidRDefault="000069B7" w:rsidP="000069B7">
      <w:pPr>
        <w:pStyle w:val="ListParagraph"/>
        <w:numPr>
          <w:ilvl w:val="0"/>
          <w:numId w:val="10"/>
        </w:numPr>
        <w:spacing w:line="480" w:lineRule="auto"/>
        <w:rPr>
          <w:lang w:val="en-US"/>
        </w:rPr>
      </w:pPr>
      <w:r w:rsidRPr="00B026C7">
        <w:rPr>
          <w:i/>
          <w:iCs/>
          <w:lang w:val="en-US"/>
        </w:rPr>
        <w:t>Injection-site reaction:</w:t>
      </w:r>
      <w:r w:rsidRPr="00B026C7">
        <w:rPr>
          <w:lang w:val="en-US"/>
        </w:rPr>
        <w:t xml:space="preserve"> TEAEs recorded as ‘injection site reaction’ in the eCRF. </w:t>
      </w:r>
    </w:p>
    <w:p w14:paraId="4B472F2F" w14:textId="77777777" w:rsidR="000069B7" w:rsidRPr="00B026C7" w:rsidRDefault="000069B7" w:rsidP="000069B7">
      <w:pPr>
        <w:pStyle w:val="ListParagraph"/>
        <w:numPr>
          <w:ilvl w:val="0"/>
          <w:numId w:val="10"/>
        </w:numPr>
        <w:spacing w:line="480" w:lineRule="auto"/>
        <w:rPr>
          <w:lang w:val="en-US"/>
        </w:rPr>
      </w:pPr>
      <w:r w:rsidRPr="00B026C7">
        <w:rPr>
          <w:i/>
          <w:iCs/>
          <w:lang w:val="en-US"/>
        </w:rPr>
        <w:t>Hepatic event</w:t>
      </w:r>
      <w:r w:rsidRPr="00B026C7">
        <w:rPr>
          <w:lang w:val="en-US"/>
        </w:rPr>
        <w:t>: standardized Medical Dictionary for Regulatory Activities queries (SMQ) of</w:t>
      </w:r>
      <w:r w:rsidRPr="00B026C7" w:rsidDel="0090478E">
        <w:rPr>
          <w:lang w:val="en-US"/>
        </w:rPr>
        <w:t xml:space="preserve"> </w:t>
      </w:r>
      <w:r w:rsidRPr="00B026C7">
        <w:rPr>
          <w:lang w:val="en-US"/>
        </w:rPr>
        <w:t xml:space="preserve">‘hepatic disorder’ (narrow). </w:t>
      </w:r>
    </w:p>
    <w:p w14:paraId="04E9EB8E" w14:textId="77777777" w:rsidR="000069B7" w:rsidRPr="00B026C7" w:rsidRDefault="000069B7" w:rsidP="000069B7">
      <w:pPr>
        <w:pStyle w:val="ListParagraph"/>
        <w:numPr>
          <w:ilvl w:val="0"/>
          <w:numId w:val="10"/>
        </w:numPr>
        <w:spacing w:line="480" w:lineRule="auto"/>
        <w:rPr>
          <w:lang w:val="en-US"/>
        </w:rPr>
      </w:pPr>
      <w:r w:rsidRPr="00B026C7">
        <w:rPr>
          <w:i/>
          <w:iCs/>
          <w:lang w:val="en-US"/>
        </w:rPr>
        <w:lastRenderedPageBreak/>
        <w:t>Hemorrhage (medically significant bleeding events):</w:t>
      </w:r>
      <w:r w:rsidRPr="00B026C7">
        <w:rPr>
          <w:lang w:val="en-US"/>
        </w:rPr>
        <w:t xml:space="preserve"> SMQ of ‘hemorrhage’ (narrow), excluding laboratory terms.</w:t>
      </w:r>
    </w:p>
    <w:p w14:paraId="1CFE5305" w14:textId="77777777" w:rsidR="000069B7" w:rsidRPr="00B026C7" w:rsidRDefault="000069B7" w:rsidP="000069B7">
      <w:pPr>
        <w:pStyle w:val="ListParagraph"/>
        <w:numPr>
          <w:ilvl w:val="0"/>
          <w:numId w:val="10"/>
        </w:numPr>
        <w:spacing w:line="480" w:lineRule="auto"/>
        <w:rPr>
          <w:lang w:val="en-US"/>
        </w:rPr>
      </w:pPr>
      <w:r w:rsidRPr="00B026C7">
        <w:rPr>
          <w:i/>
          <w:iCs/>
          <w:lang w:val="en-US"/>
        </w:rPr>
        <w:t>Gastrointestinal perforation:</w:t>
      </w:r>
      <w:r w:rsidRPr="00B026C7">
        <w:rPr>
          <w:lang w:val="en-US"/>
        </w:rPr>
        <w:t xml:space="preserve"> SMQ of ‘GI </w:t>
      </w:r>
      <w:r>
        <w:rPr>
          <w:lang w:val="en-US"/>
        </w:rPr>
        <w:t xml:space="preserve">[gastrointestinal] </w:t>
      </w:r>
      <w:r w:rsidRPr="00B026C7">
        <w:rPr>
          <w:lang w:val="en-US"/>
        </w:rPr>
        <w:t>perforation’</w:t>
      </w:r>
      <w:r>
        <w:rPr>
          <w:lang w:val="en-US"/>
        </w:rPr>
        <w:t xml:space="preserve"> </w:t>
      </w:r>
      <w:r w:rsidRPr="00B026C7">
        <w:rPr>
          <w:lang w:val="en-US"/>
        </w:rPr>
        <w:t xml:space="preserve">(narrow), followed by medical review. </w:t>
      </w:r>
    </w:p>
    <w:p w14:paraId="63C3B5A4" w14:textId="77777777" w:rsidR="000069B7" w:rsidRPr="00B026C7" w:rsidRDefault="000069B7" w:rsidP="000069B7">
      <w:pPr>
        <w:pStyle w:val="ListParagraph"/>
        <w:numPr>
          <w:ilvl w:val="0"/>
          <w:numId w:val="10"/>
        </w:numPr>
        <w:spacing w:line="480" w:lineRule="auto"/>
        <w:rPr>
          <w:lang w:val="en-US"/>
        </w:rPr>
      </w:pPr>
      <w:r w:rsidRPr="00B026C7">
        <w:rPr>
          <w:i/>
          <w:iCs/>
          <w:lang w:val="en-US"/>
        </w:rPr>
        <w:t>Malignancy:</w:t>
      </w:r>
      <w:r w:rsidRPr="00B026C7">
        <w:rPr>
          <w:lang w:val="en-US"/>
        </w:rPr>
        <w:t xml:space="preserve"> SMQ of ‘malignant or unspecified tumors’ (narrow).</w:t>
      </w:r>
    </w:p>
    <w:p w14:paraId="661C31B6" w14:textId="77777777" w:rsidR="000069B7" w:rsidRPr="00B026C7" w:rsidRDefault="000069B7" w:rsidP="000069B7">
      <w:pPr>
        <w:pStyle w:val="ListParagraph"/>
        <w:numPr>
          <w:ilvl w:val="0"/>
          <w:numId w:val="10"/>
        </w:numPr>
        <w:spacing w:line="480" w:lineRule="auto"/>
        <w:rPr>
          <w:lang w:val="en-US"/>
        </w:rPr>
      </w:pPr>
      <w:r w:rsidRPr="00B026C7">
        <w:rPr>
          <w:i/>
          <w:iCs/>
          <w:lang w:val="en-US"/>
        </w:rPr>
        <w:t>Demyelinating disorder:</w:t>
      </w:r>
      <w:r w:rsidRPr="00B026C7">
        <w:rPr>
          <w:lang w:val="en-US"/>
        </w:rPr>
        <w:t xml:space="preserve"> SMQ of ‘demyelination’ (narrow).</w:t>
      </w:r>
    </w:p>
    <w:p w14:paraId="62AC0ADA" w14:textId="77777777" w:rsidR="000069B7" w:rsidRPr="00B026C7" w:rsidRDefault="000069B7" w:rsidP="000069B7">
      <w:pPr>
        <w:spacing w:line="480" w:lineRule="auto"/>
        <w:rPr>
          <w:lang w:val="en-US"/>
        </w:rPr>
      </w:pPr>
    </w:p>
    <w:p w14:paraId="7D293112" w14:textId="77777777" w:rsidR="000069B7" w:rsidRPr="00B026C7" w:rsidRDefault="000069B7" w:rsidP="000069B7">
      <w:pPr>
        <w:pStyle w:val="Heading3"/>
        <w:spacing w:line="480" w:lineRule="auto"/>
      </w:pPr>
      <w:bookmarkStart w:id="5" w:name="_Toc130216889"/>
      <w:r w:rsidRPr="00B026C7">
        <w:t>Analysis sets</w:t>
      </w:r>
      <w:bookmarkEnd w:id="5"/>
    </w:p>
    <w:p w14:paraId="304C849D" w14:textId="77777777" w:rsidR="000069B7" w:rsidRPr="00B026C7" w:rsidRDefault="000069B7" w:rsidP="000069B7">
      <w:pPr>
        <w:spacing w:line="480" w:lineRule="auto"/>
        <w:rPr>
          <w:lang w:val="en-US"/>
        </w:rPr>
      </w:pPr>
      <w:r w:rsidRPr="00B026C7">
        <w:rPr>
          <w:lang w:val="en-US"/>
        </w:rPr>
        <w:t>Analyses were conducted in the intent-to-treat (ITT), safety</w:t>
      </w:r>
      <w:r>
        <w:rPr>
          <w:lang w:val="en-US"/>
        </w:rPr>
        <w:t>,</w:t>
      </w:r>
      <w:r w:rsidRPr="00B026C7">
        <w:rPr>
          <w:lang w:val="en-US"/>
        </w:rPr>
        <w:t xml:space="preserve"> and pharmacokinetic (PK) sets, as defined below:</w:t>
      </w:r>
    </w:p>
    <w:p w14:paraId="0288454B" w14:textId="77777777" w:rsidR="000069B7" w:rsidRPr="00B026C7" w:rsidRDefault="000069B7" w:rsidP="000069B7">
      <w:pPr>
        <w:pStyle w:val="ListParagraph"/>
        <w:numPr>
          <w:ilvl w:val="0"/>
          <w:numId w:val="11"/>
        </w:numPr>
        <w:spacing w:line="480" w:lineRule="auto"/>
        <w:rPr>
          <w:lang w:val="en-US"/>
        </w:rPr>
      </w:pPr>
      <w:r w:rsidRPr="00B026C7">
        <w:rPr>
          <w:i/>
          <w:iCs/>
          <w:lang w:val="en-US"/>
        </w:rPr>
        <w:t>ITT set:</w:t>
      </w:r>
      <w:r w:rsidRPr="00B026C7">
        <w:rPr>
          <w:lang w:val="en-US"/>
        </w:rPr>
        <w:t xml:space="preserve"> all randomly assigned participants. Participants were analyzed according to the study drug to which they had been randomi</w:t>
      </w:r>
      <w:r>
        <w:rPr>
          <w:lang w:val="en-US"/>
        </w:rPr>
        <w:t>z</w:t>
      </w:r>
      <w:r w:rsidRPr="00B026C7">
        <w:rPr>
          <w:lang w:val="en-US"/>
        </w:rPr>
        <w:t xml:space="preserve">ed. </w:t>
      </w:r>
    </w:p>
    <w:p w14:paraId="40D701F2" w14:textId="77777777" w:rsidR="000069B7" w:rsidRPr="00B026C7" w:rsidRDefault="000069B7" w:rsidP="000069B7">
      <w:pPr>
        <w:pStyle w:val="ListParagraph"/>
        <w:numPr>
          <w:ilvl w:val="0"/>
          <w:numId w:val="11"/>
        </w:numPr>
        <w:spacing w:line="480" w:lineRule="auto"/>
        <w:rPr>
          <w:lang w:val="en-US"/>
        </w:rPr>
      </w:pPr>
      <w:r w:rsidRPr="00B026C7">
        <w:rPr>
          <w:i/>
          <w:iCs/>
          <w:lang w:val="en-US"/>
        </w:rPr>
        <w:t>Safety set:</w:t>
      </w:r>
      <w:r w:rsidRPr="00B026C7">
        <w:rPr>
          <w:lang w:val="en-US"/>
        </w:rPr>
        <w:t xml:space="preserve"> all randomly assigned participants who received a complete or partial dose of study drug. Participants were analyzed according to the study drug received.</w:t>
      </w:r>
    </w:p>
    <w:p w14:paraId="1372877F" w14:textId="77777777" w:rsidR="000069B7" w:rsidRPr="00B026C7" w:rsidRDefault="000069B7" w:rsidP="000069B7">
      <w:pPr>
        <w:pStyle w:val="ListParagraph"/>
        <w:numPr>
          <w:ilvl w:val="0"/>
          <w:numId w:val="11"/>
        </w:numPr>
        <w:spacing w:line="480" w:lineRule="auto"/>
        <w:rPr>
          <w:lang w:val="en-US"/>
        </w:rPr>
      </w:pPr>
      <w:r w:rsidRPr="00B026C7">
        <w:rPr>
          <w:i/>
          <w:iCs/>
          <w:lang w:val="en-US"/>
        </w:rPr>
        <w:t>PK set:</w:t>
      </w:r>
      <w:r w:rsidRPr="00B026C7">
        <w:rPr>
          <w:lang w:val="en-US"/>
        </w:rPr>
        <w:t xml:space="preserve"> all randomly assigned participants who received a complete dose of study drug and had </w:t>
      </w:r>
      <w:r w:rsidRPr="00B026C7">
        <w:rPr>
          <w:rFonts w:cs="Arial"/>
          <w:lang w:val="en-US"/>
        </w:rPr>
        <w:t>≥</w:t>
      </w:r>
      <w:r w:rsidRPr="00B026C7">
        <w:rPr>
          <w:lang w:val="en-US"/>
        </w:rPr>
        <w:t>1 post-treatment PK concentration measurement above the lower limit of quantification. Participants were analyzed according to the study drug received.</w:t>
      </w:r>
    </w:p>
    <w:p w14:paraId="2BC4D0CE" w14:textId="77777777" w:rsidR="000069B7" w:rsidRPr="00B026C7" w:rsidRDefault="000069B7" w:rsidP="000069B7">
      <w:pPr>
        <w:spacing w:before="0" w:after="0" w:line="240" w:lineRule="auto"/>
        <w:rPr>
          <w:rFonts w:eastAsia="Times New Roman"/>
          <w:b/>
          <w:bCs/>
          <w:szCs w:val="26"/>
          <w:lang w:val="en-US"/>
        </w:rPr>
      </w:pPr>
    </w:p>
    <w:p w14:paraId="388B351F" w14:textId="77777777" w:rsidR="000069B7" w:rsidRPr="00B026C7" w:rsidRDefault="000069B7" w:rsidP="000069B7">
      <w:pPr>
        <w:spacing w:before="0" w:after="0" w:line="240" w:lineRule="auto"/>
        <w:rPr>
          <w:rFonts w:eastAsia="Times New Roman"/>
          <w:b/>
          <w:bCs/>
          <w:sz w:val="32"/>
          <w:szCs w:val="32"/>
          <w:lang w:val="en-US"/>
        </w:rPr>
      </w:pPr>
      <w:r w:rsidRPr="00B026C7">
        <w:rPr>
          <w:sz w:val="32"/>
          <w:szCs w:val="32"/>
          <w:lang w:val="en-US"/>
        </w:rPr>
        <w:br w:type="page"/>
      </w:r>
    </w:p>
    <w:p w14:paraId="4F81A846" w14:textId="77777777" w:rsidR="000069B7" w:rsidRPr="00B026C7" w:rsidRDefault="000069B7" w:rsidP="000069B7">
      <w:pPr>
        <w:pStyle w:val="Heading1"/>
      </w:pPr>
      <w:bookmarkStart w:id="6" w:name="_Toc130216890"/>
      <w:r w:rsidRPr="00B026C7">
        <w:lastRenderedPageBreak/>
        <w:t>Supplementary results</w:t>
      </w:r>
      <w:bookmarkEnd w:id="6"/>
    </w:p>
    <w:p w14:paraId="3C21603E" w14:textId="77777777" w:rsidR="000069B7" w:rsidRPr="00B026C7" w:rsidRDefault="000069B7" w:rsidP="000069B7">
      <w:pPr>
        <w:pStyle w:val="Heading2"/>
        <w:rPr>
          <w:rFonts w:cs="Arial"/>
          <w:szCs w:val="24"/>
        </w:rPr>
      </w:pPr>
      <w:bookmarkStart w:id="7" w:name="_Toc130216891"/>
      <w:r>
        <w:rPr>
          <w:rFonts w:cs="Arial"/>
          <w:szCs w:val="24"/>
        </w:rPr>
        <w:t xml:space="preserve">Supplementary </w:t>
      </w:r>
      <w:r w:rsidRPr="00B026C7">
        <w:rPr>
          <w:rFonts w:cs="Arial"/>
          <w:szCs w:val="24"/>
        </w:rPr>
        <w:t xml:space="preserve">Table </w:t>
      </w:r>
      <w:r>
        <w:rPr>
          <w:rFonts w:cs="Arial"/>
          <w:szCs w:val="24"/>
        </w:rPr>
        <w:t>2</w:t>
      </w:r>
      <w:r w:rsidRPr="00B026C7">
        <w:rPr>
          <w:rFonts w:cs="Arial"/>
          <w:szCs w:val="24"/>
        </w:rPr>
        <w:t xml:space="preserve">. </w:t>
      </w:r>
      <w:r w:rsidRPr="00B026C7">
        <w:rPr>
          <w:rFonts w:cs="Arial"/>
          <w:b w:val="0"/>
          <w:bCs w:val="0"/>
          <w:szCs w:val="24"/>
        </w:rPr>
        <w:t>Baseline demographics and characteristics (intent-to-treat set</w:t>
      </w:r>
      <w:r>
        <w:rPr>
          <w:rFonts w:cs="Arial"/>
          <w:b w:val="0"/>
          <w:bCs w:val="0"/>
          <w:szCs w:val="24"/>
        </w:rPr>
        <w:t>; Part 1</w:t>
      </w:r>
      <w:r w:rsidRPr="00B026C7">
        <w:rPr>
          <w:rFonts w:cs="Arial"/>
          <w:b w:val="0"/>
          <w:bCs w:val="0"/>
          <w:szCs w:val="24"/>
        </w:rPr>
        <w:t>).</w:t>
      </w:r>
      <w:bookmarkEnd w:id="7"/>
      <w:r w:rsidRPr="00B026C7">
        <w:rPr>
          <w:rFonts w:cs="Arial"/>
          <w:szCs w:val="24"/>
        </w:rPr>
        <w:t xml:space="preserve"> </w:t>
      </w:r>
    </w:p>
    <w:tbl>
      <w:tblPr>
        <w:tblW w:w="9072" w:type="dxa"/>
        <w:tblBorders>
          <w:top w:val="single" w:sz="4" w:space="0" w:color="7F7F7F"/>
          <w:bottom w:val="single" w:sz="4" w:space="0" w:color="7F7F7F"/>
        </w:tblBorders>
        <w:tblLook w:val="04A0" w:firstRow="1" w:lastRow="0" w:firstColumn="1" w:lastColumn="0" w:noHBand="0" w:noVBand="1"/>
      </w:tblPr>
      <w:tblGrid>
        <w:gridCol w:w="3686"/>
        <w:gridCol w:w="2693"/>
        <w:gridCol w:w="2693"/>
      </w:tblGrid>
      <w:tr w:rsidR="000069B7" w:rsidRPr="00B026C7" w14:paraId="7E32C8D3" w14:textId="77777777" w:rsidTr="004A495F">
        <w:trPr>
          <w:trHeight w:val="567"/>
        </w:trPr>
        <w:tc>
          <w:tcPr>
            <w:tcW w:w="3686" w:type="dxa"/>
            <w:tcBorders>
              <w:bottom w:val="single" w:sz="4" w:space="0" w:color="7F7F7F"/>
            </w:tcBorders>
            <w:shd w:val="clear" w:color="auto" w:fill="auto"/>
          </w:tcPr>
          <w:p w14:paraId="67760A0E" w14:textId="77777777" w:rsidR="000069B7" w:rsidRPr="00B026C7" w:rsidRDefault="000069B7" w:rsidP="004A495F">
            <w:pPr>
              <w:spacing w:before="0" w:after="0"/>
              <w:rPr>
                <w:rFonts w:cs="Arial"/>
                <w:szCs w:val="24"/>
                <w:lang w:val="en-US"/>
              </w:rPr>
            </w:pPr>
          </w:p>
        </w:tc>
        <w:tc>
          <w:tcPr>
            <w:tcW w:w="2693" w:type="dxa"/>
            <w:tcBorders>
              <w:bottom w:val="single" w:sz="4" w:space="0" w:color="7F7F7F"/>
            </w:tcBorders>
            <w:shd w:val="clear" w:color="auto" w:fill="auto"/>
          </w:tcPr>
          <w:p w14:paraId="366CABA1" w14:textId="77777777" w:rsidR="000069B7" w:rsidRPr="00B026C7" w:rsidRDefault="000069B7" w:rsidP="004A495F">
            <w:pPr>
              <w:spacing w:before="0" w:after="0"/>
              <w:jc w:val="center"/>
              <w:rPr>
                <w:rFonts w:cs="Arial"/>
                <w:b/>
                <w:bCs/>
                <w:szCs w:val="24"/>
                <w:lang w:val="en-US"/>
              </w:rPr>
            </w:pPr>
            <w:r w:rsidRPr="00B026C7">
              <w:rPr>
                <w:rFonts w:cs="Arial"/>
                <w:b/>
                <w:bCs/>
                <w:szCs w:val="24"/>
                <w:lang w:val="en-US"/>
              </w:rPr>
              <w:t>CT-P47</w:t>
            </w:r>
            <w:r w:rsidRPr="00B026C7">
              <w:rPr>
                <w:rFonts w:cs="Arial"/>
                <w:b/>
                <w:bCs/>
                <w:szCs w:val="24"/>
                <w:lang w:val="en-US"/>
              </w:rPr>
              <w:br/>
              <w:t>(N=14)</w:t>
            </w:r>
          </w:p>
        </w:tc>
        <w:tc>
          <w:tcPr>
            <w:tcW w:w="2693" w:type="dxa"/>
            <w:tcBorders>
              <w:bottom w:val="single" w:sz="4" w:space="0" w:color="7F7F7F"/>
            </w:tcBorders>
            <w:shd w:val="clear" w:color="auto" w:fill="auto"/>
          </w:tcPr>
          <w:p w14:paraId="02011296" w14:textId="77777777" w:rsidR="000069B7" w:rsidRPr="00B026C7" w:rsidRDefault="000069B7" w:rsidP="004A495F">
            <w:pPr>
              <w:spacing w:before="0" w:after="0"/>
              <w:jc w:val="center"/>
              <w:rPr>
                <w:rFonts w:cs="Arial"/>
                <w:b/>
                <w:bCs/>
                <w:szCs w:val="24"/>
                <w:lang w:val="en-US"/>
              </w:rPr>
            </w:pPr>
            <w:r w:rsidRPr="00B026C7">
              <w:rPr>
                <w:rFonts w:cs="Arial"/>
                <w:b/>
                <w:bCs/>
                <w:szCs w:val="24"/>
                <w:lang w:val="en-US"/>
              </w:rPr>
              <w:t>EU-tocilizumab (N=1</w:t>
            </w:r>
            <w:r>
              <w:rPr>
                <w:rFonts w:cs="Arial"/>
                <w:b/>
                <w:bCs/>
                <w:szCs w:val="24"/>
                <w:lang w:val="en-US"/>
              </w:rPr>
              <w:t>5</w:t>
            </w:r>
            <w:r w:rsidRPr="00B026C7">
              <w:rPr>
                <w:rFonts w:cs="Arial"/>
                <w:b/>
                <w:bCs/>
                <w:szCs w:val="24"/>
                <w:lang w:val="en-US"/>
              </w:rPr>
              <w:t>)</w:t>
            </w:r>
          </w:p>
        </w:tc>
      </w:tr>
      <w:tr w:rsidR="000069B7" w:rsidRPr="00B026C7" w14:paraId="5C926E7E" w14:textId="77777777" w:rsidTr="004A495F">
        <w:trPr>
          <w:trHeight w:val="567"/>
        </w:trPr>
        <w:tc>
          <w:tcPr>
            <w:tcW w:w="3686" w:type="dxa"/>
            <w:tcBorders>
              <w:top w:val="single" w:sz="4" w:space="0" w:color="7F7F7F"/>
              <w:bottom w:val="single" w:sz="4" w:space="0" w:color="7F7F7F"/>
            </w:tcBorders>
            <w:shd w:val="clear" w:color="auto" w:fill="auto"/>
          </w:tcPr>
          <w:p w14:paraId="7D4F39AB" w14:textId="77777777" w:rsidR="000069B7" w:rsidRPr="00B026C7" w:rsidRDefault="000069B7" w:rsidP="004A495F">
            <w:pPr>
              <w:spacing w:before="0" w:after="0"/>
              <w:rPr>
                <w:rFonts w:cs="Arial"/>
                <w:szCs w:val="24"/>
                <w:lang w:val="en-US"/>
              </w:rPr>
            </w:pPr>
            <w:r w:rsidRPr="00B026C7">
              <w:rPr>
                <w:rFonts w:cs="Arial"/>
                <w:szCs w:val="24"/>
                <w:lang w:val="en-US"/>
              </w:rPr>
              <w:t>Age (years), median (range)</w:t>
            </w:r>
          </w:p>
        </w:tc>
        <w:tc>
          <w:tcPr>
            <w:tcW w:w="2693" w:type="dxa"/>
            <w:tcBorders>
              <w:top w:val="single" w:sz="4" w:space="0" w:color="7F7F7F"/>
              <w:bottom w:val="single" w:sz="4" w:space="0" w:color="7F7F7F"/>
            </w:tcBorders>
            <w:shd w:val="clear" w:color="auto" w:fill="auto"/>
          </w:tcPr>
          <w:p w14:paraId="63643EFE" w14:textId="77777777" w:rsidR="000069B7" w:rsidRPr="00B026C7" w:rsidRDefault="000069B7" w:rsidP="004A495F">
            <w:pPr>
              <w:spacing w:before="0" w:after="0"/>
              <w:jc w:val="center"/>
              <w:rPr>
                <w:rFonts w:cs="Arial"/>
                <w:szCs w:val="24"/>
                <w:lang w:val="en-US"/>
              </w:rPr>
            </w:pPr>
            <w:r>
              <w:rPr>
                <w:rFonts w:cs="Arial"/>
                <w:szCs w:val="24"/>
                <w:lang w:val="en-US"/>
              </w:rPr>
              <w:t>28.0 (22–41)</w:t>
            </w:r>
          </w:p>
        </w:tc>
        <w:tc>
          <w:tcPr>
            <w:tcW w:w="2693" w:type="dxa"/>
            <w:tcBorders>
              <w:top w:val="single" w:sz="4" w:space="0" w:color="7F7F7F"/>
              <w:bottom w:val="single" w:sz="4" w:space="0" w:color="7F7F7F"/>
            </w:tcBorders>
            <w:shd w:val="clear" w:color="auto" w:fill="auto"/>
          </w:tcPr>
          <w:p w14:paraId="17D18971" w14:textId="77777777" w:rsidR="000069B7" w:rsidRPr="00B026C7" w:rsidRDefault="000069B7" w:rsidP="004A495F">
            <w:pPr>
              <w:spacing w:before="0" w:after="0"/>
              <w:jc w:val="center"/>
              <w:rPr>
                <w:rFonts w:cs="Arial"/>
                <w:szCs w:val="24"/>
                <w:lang w:val="en-US"/>
              </w:rPr>
            </w:pPr>
            <w:r>
              <w:rPr>
                <w:rFonts w:cs="Arial"/>
                <w:szCs w:val="24"/>
                <w:lang w:val="en-US"/>
              </w:rPr>
              <w:t>30.0 (25–42)</w:t>
            </w:r>
          </w:p>
        </w:tc>
      </w:tr>
      <w:tr w:rsidR="000069B7" w:rsidRPr="00B026C7" w14:paraId="605621F8" w14:textId="77777777" w:rsidTr="004A495F">
        <w:trPr>
          <w:trHeight w:val="567"/>
        </w:trPr>
        <w:tc>
          <w:tcPr>
            <w:tcW w:w="3686" w:type="dxa"/>
            <w:tcBorders>
              <w:top w:val="single" w:sz="4" w:space="0" w:color="7F7F7F"/>
              <w:bottom w:val="single" w:sz="4" w:space="0" w:color="7F7F7F"/>
            </w:tcBorders>
            <w:shd w:val="clear" w:color="auto" w:fill="auto"/>
          </w:tcPr>
          <w:p w14:paraId="78A5CBAF" w14:textId="77777777" w:rsidR="000069B7" w:rsidRPr="00B026C7" w:rsidRDefault="000069B7" w:rsidP="004A495F">
            <w:pPr>
              <w:spacing w:before="0" w:after="0"/>
              <w:rPr>
                <w:rFonts w:cs="Arial"/>
                <w:szCs w:val="24"/>
                <w:vertAlign w:val="superscript"/>
                <w:lang w:val="en-US"/>
              </w:rPr>
            </w:pPr>
            <w:r w:rsidRPr="00B026C7">
              <w:rPr>
                <w:rFonts w:cs="Arial"/>
                <w:szCs w:val="24"/>
                <w:lang w:val="en-US"/>
              </w:rPr>
              <w:t>Sex, n (%)</w:t>
            </w:r>
            <w:r w:rsidRPr="00B026C7">
              <w:rPr>
                <w:rFonts w:cs="Arial"/>
                <w:szCs w:val="24"/>
                <w:vertAlign w:val="superscript"/>
                <w:lang w:val="en-US"/>
              </w:rPr>
              <w:t>a</w:t>
            </w:r>
          </w:p>
        </w:tc>
        <w:tc>
          <w:tcPr>
            <w:tcW w:w="2693" w:type="dxa"/>
            <w:tcBorders>
              <w:top w:val="single" w:sz="4" w:space="0" w:color="7F7F7F"/>
              <w:bottom w:val="single" w:sz="4" w:space="0" w:color="7F7F7F"/>
            </w:tcBorders>
            <w:shd w:val="clear" w:color="auto" w:fill="auto"/>
          </w:tcPr>
          <w:p w14:paraId="0B83F8B5" w14:textId="77777777" w:rsidR="000069B7" w:rsidRPr="00B026C7" w:rsidRDefault="000069B7" w:rsidP="004A495F">
            <w:pPr>
              <w:spacing w:before="0" w:after="0"/>
              <w:jc w:val="center"/>
              <w:rPr>
                <w:rFonts w:cs="Arial"/>
                <w:szCs w:val="24"/>
                <w:lang w:val="en-US"/>
              </w:rPr>
            </w:pPr>
          </w:p>
        </w:tc>
        <w:tc>
          <w:tcPr>
            <w:tcW w:w="2693" w:type="dxa"/>
            <w:tcBorders>
              <w:top w:val="single" w:sz="4" w:space="0" w:color="7F7F7F"/>
              <w:bottom w:val="single" w:sz="4" w:space="0" w:color="7F7F7F"/>
            </w:tcBorders>
            <w:shd w:val="clear" w:color="auto" w:fill="auto"/>
          </w:tcPr>
          <w:p w14:paraId="60E8DC3E" w14:textId="77777777" w:rsidR="000069B7" w:rsidRPr="00B026C7" w:rsidRDefault="000069B7" w:rsidP="004A495F">
            <w:pPr>
              <w:spacing w:before="0" w:after="0"/>
              <w:jc w:val="center"/>
              <w:rPr>
                <w:rFonts w:cs="Arial"/>
                <w:szCs w:val="24"/>
                <w:lang w:val="en-US"/>
              </w:rPr>
            </w:pPr>
          </w:p>
        </w:tc>
      </w:tr>
      <w:tr w:rsidR="000069B7" w:rsidRPr="00B026C7" w14:paraId="6EF2C956" w14:textId="77777777" w:rsidTr="004A495F">
        <w:trPr>
          <w:trHeight w:val="567"/>
        </w:trPr>
        <w:tc>
          <w:tcPr>
            <w:tcW w:w="3686" w:type="dxa"/>
            <w:tcBorders>
              <w:top w:val="single" w:sz="4" w:space="0" w:color="7F7F7F"/>
              <w:bottom w:val="single" w:sz="4" w:space="0" w:color="7F7F7F"/>
            </w:tcBorders>
            <w:shd w:val="clear" w:color="auto" w:fill="auto"/>
          </w:tcPr>
          <w:p w14:paraId="63621310" w14:textId="77777777" w:rsidR="000069B7" w:rsidRPr="00B026C7" w:rsidRDefault="000069B7" w:rsidP="004A495F">
            <w:pPr>
              <w:spacing w:before="0" w:after="0"/>
              <w:ind w:left="321"/>
              <w:rPr>
                <w:rFonts w:cs="Arial"/>
                <w:szCs w:val="24"/>
                <w:lang w:val="en-US"/>
              </w:rPr>
            </w:pPr>
            <w:r w:rsidRPr="00B026C7">
              <w:rPr>
                <w:rFonts w:cs="Arial"/>
                <w:szCs w:val="24"/>
                <w:lang w:val="en-US"/>
              </w:rPr>
              <w:t>Male</w:t>
            </w:r>
          </w:p>
        </w:tc>
        <w:tc>
          <w:tcPr>
            <w:tcW w:w="2693" w:type="dxa"/>
            <w:tcBorders>
              <w:top w:val="single" w:sz="4" w:space="0" w:color="7F7F7F"/>
              <w:bottom w:val="single" w:sz="4" w:space="0" w:color="7F7F7F"/>
            </w:tcBorders>
            <w:shd w:val="clear" w:color="auto" w:fill="auto"/>
          </w:tcPr>
          <w:p w14:paraId="44824333" w14:textId="77777777" w:rsidR="000069B7" w:rsidRPr="00B026C7" w:rsidRDefault="000069B7" w:rsidP="004A495F">
            <w:pPr>
              <w:spacing w:before="0" w:after="0"/>
              <w:jc w:val="center"/>
              <w:rPr>
                <w:rFonts w:cs="Arial"/>
                <w:szCs w:val="24"/>
                <w:lang w:val="en-US"/>
              </w:rPr>
            </w:pPr>
            <w:r>
              <w:rPr>
                <w:rFonts w:cs="Arial"/>
                <w:szCs w:val="24"/>
                <w:lang w:val="en-US"/>
              </w:rPr>
              <w:t>13 (92.9)</w:t>
            </w:r>
          </w:p>
        </w:tc>
        <w:tc>
          <w:tcPr>
            <w:tcW w:w="2693" w:type="dxa"/>
            <w:tcBorders>
              <w:top w:val="single" w:sz="4" w:space="0" w:color="7F7F7F"/>
              <w:bottom w:val="single" w:sz="4" w:space="0" w:color="7F7F7F"/>
            </w:tcBorders>
            <w:shd w:val="clear" w:color="auto" w:fill="auto"/>
          </w:tcPr>
          <w:p w14:paraId="5458D511" w14:textId="77777777" w:rsidR="000069B7" w:rsidRPr="00B026C7" w:rsidRDefault="000069B7" w:rsidP="004A495F">
            <w:pPr>
              <w:spacing w:before="0" w:after="0"/>
              <w:jc w:val="center"/>
              <w:rPr>
                <w:rFonts w:cs="Arial"/>
                <w:szCs w:val="24"/>
                <w:lang w:val="en-US"/>
              </w:rPr>
            </w:pPr>
            <w:r>
              <w:rPr>
                <w:rFonts w:cs="Arial"/>
                <w:szCs w:val="24"/>
                <w:lang w:val="en-US"/>
              </w:rPr>
              <w:t>13 (86.7)</w:t>
            </w:r>
          </w:p>
        </w:tc>
      </w:tr>
      <w:tr w:rsidR="000069B7" w:rsidRPr="00B026C7" w14:paraId="60DEC329" w14:textId="77777777" w:rsidTr="004A495F">
        <w:trPr>
          <w:trHeight w:val="567"/>
        </w:trPr>
        <w:tc>
          <w:tcPr>
            <w:tcW w:w="3686" w:type="dxa"/>
            <w:tcBorders>
              <w:top w:val="single" w:sz="4" w:space="0" w:color="7F7F7F"/>
              <w:bottom w:val="single" w:sz="4" w:space="0" w:color="7F7F7F"/>
            </w:tcBorders>
            <w:shd w:val="clear" w:color="auto" w:fill="auto"/>
          </w:tcPr>
          <w:p w14:paraId="7322D21D" w14:textId="77777777" w:rsidR="000069B7" w:rsidRPr="00B026C7" w:rsidRDefault="000069B7" w:rsidP="004A495F">
            <w:pPr>
              <w:spacing w:before="0" w:after="0"/>
              <w:ind w:left="321"/>
              <w:rPr>
                <w:rFonts w:cs="Arial"/>
                <w:szCs w:val="24"/>
                <w:lang w:val="en-US"/>
              </w:rPr>
            </w:pPr>
            <w:r w:rsidRPr="00B026C7">
              <w:rPr>
                <w:rFonts w:cs="Arial"/>
                <w:szCs w:val="24"/>
                <w:lang w:val="en-US"/>
              </w:rPr>
              <w:t>Female</w:t>
            </w:r>
          </w:p>
        </w:tc>
        <w:tc>
          <w:tcPr>
            <w:tcW w:w="2693" w:type="dxa"/>
            <w:tcBorders>
              <w:top w:val="single" w:sz="4" w:space="0" w:color="7F7F7F"/>
              <w:bottom w:val="single" w:sz="4" w:space="0" w:color="7F7F7F"/>
            </w:tcBorders>
            <w:shd w:val="clear" w:color="auto" w:fill="auto"/>
          </w:tcPr>
          <w:p w14:paraId="19E395B4" w14:textId="77777777" w:rsidR="000069B7" w:rsidRPr="00B026C7" w:rsidRDefault="000069B7" w:rsidP="004A495F">
            <w:pPr>
              <w:spacing w:before="0" w:after="0"/>
              <w:jc w:val="center"/>
              <w:rPr>
                <w:rFonts w:cs="Arial"/>
                <w:szCs w:val="24"/>
                <w:lang w:val="en-US"/>
              </w:rPr>
            </w:pPr>
            <w:r>
              <w:rPr>
                <w:rFonts w:cs="Arial"/>
                <w:szCs w:val="24"/>
                <w:lang w:val="en-US"/>
              </w:rPr>
              <w:t>1 (7.1)</w:t>
            </w:r>
          </w:p>
        </w:tc>
        <w:tc>
          <w:tcPr>
            <w:tcW w:w="2693" w:type="dxa"/>
            <w:tcBorders>
              <w:top w:val="single" w:sz="4" w:space="0" w:color="7F7F7F"/>
              <w:bottom w:val="single" w:sz="4" w:space="0" w:color="7F7F7F"/>
            </w:tcBorders>
            <w:shd w:val="clear" w:color="auto" w:fill="auto"/>
          </w:tcPr>
          <w:p w14:paraId="4AF2D4E9" w14:textId="77777777" w:rsidR="000069B7" w:rsidRPr="00B026C7" w:rsidRDefault="000069B7" w:rsidP="004A495F">
            <w:pPr>
              <w:spacing w:before="0" w:after="0"/>
              <w:jc w:val="center"/>
              <w:rPr>
                <w:rFonts w:cs="Arial"/>
                <w:szCs w:val="24"/>
                <w:lang w:val="en-US"/>
              </w:rPr>
            </w:pPr>
            <w:r>
              <w:rPr>
                <w:rFonts w:cs="Arial"/>
                <w:szCs w:val="24"/>
                <w:lang w:val="en-US"/>
              </w:rPr>
              <w:t>2 (13.3)</w:t>
            </w:r>
          </w:p>
        </w:tc>
      </w:tr>
      <w:tr w:rsidR="000069B7" w:rsidRPr="00B026C7" w14:paraId="6FC424BB" w14:textId="77777777" w:rsidTr="004A495F">
        <w:trPr>
          <w:trHeight w:val="567"/>
        </w:trPr>
        <w:tc>
          <w:tcPr>
            <w:tcW w:w="3686" w:type="dxa"/>
            <w:tcBorders>
              <w:top w:val="single" w:sz="4" w:space="0" w:color="7F7F7F"/>
              <w:bottom w:val="single" w:sz="4" w:space="0" w:color="7F7F7F"/>
            </w:tcBorders>
            <w:shd w:val="clear" w:color="auto" w:fill="auto"/>
          </w:tcPr>
          <w:p w14:paraId="5CF1F7E6" w14:textId="77777777" w:rsidR="000069B7" w:rsidRPr="00B026C7" w:rsidRDefault="000069B7" w:rsidP="004A495F">
            <w:pPr>
              <w:spacing w:before="0" w:after="0"/>
              <w:rPr>
                <w:rFonts w:cs="Arial"/>
                <w:szCs w:val="24"/>
                <w:lang w:val="en-US"/>
              </w:rPr>
            </w:pPr>
            <w:r w:rsidRPr="00B026C7">
              <w:rPr>
                <w:rFonts w:cs="Arial"/>
                <w:szCs w:val="24"/>
                <w:lang w:val="en-US"/>
              </w:rPr>
              <w:t>Body weight at Day −1, n (%)</w:t>
            </w:r>
            <w:r w:rsidRPr="00B026C7">
              <w:rPr>
                <w:rFonts w:cs="Arial"/>
                <w:szCs w:val="24"/>
                <w:vertAlign w:val="superscript"/>
                <w:lang w:val="en-US"/>
              </w:rPr>
              <w:t>a,b</w:t>
            </w:r>
          </w:p>
        </w:tc>
        <w:tc>
          <w:tcPr>
            <w:tcW w:w="2693" w:type="dxa"/>
            <w:tcBorders>
              <w:top w:val="single" w:sz="4" w:space="0" w:color="7F7F7F"/>
              <w:bottom w:val="single" w:sz="4" w:space="0" w:color="7F7F7F"/>
            </w:tcBorders>
            <w:shd w:val="clear" w:color="auto" w:fill="auto"/>
          </w:tcPr>
          <w:p w14:paraId="49C023FF" w14:textId="77777777" w:rsidR="000069B7" w:rsidRPr="00B026C7" w:rsidRDefault="000069B7" w:rsidP="004A495F">
            <w:pPr>
              <w:spacing w:before="0" w:after="0"/>
              <w:jc w:val="center"/>
              <w:rPr>
                <w:rFonts w:cs="Arial"/>
                <w:szCs w:val="24"/>
                <w:lang w:val="en-US"/>
              </w:rPr>
            </w:pPr>
          </w:p>
        </w:tc>
        <w:tc>
          <w:tcPr>
            <w:tcW w:w="2693" w:type="dxa"/>
            <w:tcBorders>
              <w:top w:val="single" w:sz="4" w:space="0" w:color="7F7F7F"/>
              <w:bottom w:val="single" w:sz="4" w:space="0" w:color="7F7F7F"/>
            </w:tcBorders>
            <w:shd w:val="clear" w:color="auto" w:fill="auto"/>
          </w:tcPr>
          <w:p w14:paraId="6B31C7A0" w14:textId="77777777" w:rsidR="000069B7" w:rsidRPr="00B026C7" w:rsidRDefault="000069B7" w:rsidP="004A495F">
            <w:pPr>
              <w:spacing w:before="0" w:after="0"/>
              <w:jc w:val="center"/>
              <w:rPr>
                <w:rFonts w:cs="Arial"/>
                <w:szCs w:val="24"/>
                <w:lang w:val="en-US"/>
              </w:rPr>
            </w:pPr>
          </w:p>
        </w:tc>
      </w:tr>
      <w:tr w:rsidR="000069B7" w:rsidRPr="00B026C7" w14:paraId="36EE28CE" w14:textId="77777777" w:rsidTr="004A495F">
        <w:trPr>
          <w:trHeight w:val="567"/>
        </w:trPr>
        <w:tc>
          <w:tcPr>
            <w:tcW w:w="3686" w:type="dxa"/>
            <w:tcBorders>
              <w:top w:val="single" w:sz="4" w:space="0" w:color="7F7F7F"/>
              <w:bottom w:val="single" w:sz="4" w:space="0" w:color="7F7F7F"/>
            </w:tcBorders>
            <w:shd w:val="clear" w:color="auto" w:fill="auto"/>
          </w:tcPr>
          <w:p w14:paraId="52C21172" w14:textId="77777777" w:rsidR="000069B7" w:rsidRPr="00B026C7" w:rsidRDefault="000069B7" w:rsidP="004A495F">
            <w:pPr>
              <w:spacing w:before="0" w:after="0"/>
              <w:ind w:left="321"/>
              <w:rPr>
                <w:rFonts w:cs="Arial"/>
                <w:szCs w:val="24"/>
                <w:lang w:val="en-US"/>
              </w:rPr>
            </w:pPr>
            <w:r w:rsidRPr="00B026C7">
              <w:rPr>
                <w:rFonts w:cs="Arial"/>
                <w:szCs w:val="24"/>
                <w:lang w:val="en-US"/>
              </w:rPr>
              <w:t>&lt;70 kg</w:t>
            </w:r>
          </w:p>
        </w:tc>
        <w:tc>
          <w:tcPr>
            <w:tcW w:w="2693" w:type="dxa"/>
            <w:tcBorders>
              <w:top w:val="single" w:sz="4" w:space="0" w:color="7F7F7F"/>
              <w:bottom w:val="single" w:sz="4" w:space="0" w:color="7F7F7F"/>
            </w:tcBorders>
            <w:shd w:val="clear" w:color="auto" w:fill="auto"/>
          </w:tcPr>
          <w:p w14:paraId="7A241176" w14:textId="77777777" w:rsidR="000069B7" w:rsidRPr="00B026C7" w:rsidRDefault="000069B7" w:rsidP="004A495F">
            <w:pPr>
              <w:spacing w:before="0" w:after="0"/>
              <w:jc w:val="center"/>
              <w:rPr>
                <w:rFonts w:cs="Arial"/>
                <w:szCs w:val="24"/>
                <w:lang w:val="en-US"/>
              </w:rPr>
            </w:pPr>
            <w:r>
              <w:rPr>
                <w:rFonts w:cs="Arial"/>
                <w:szCs w:val="24"/>
                <w:lang w:val="en-US"/>
              </w:rPr>
              <w:t>7 (50.0)</w:t>
            </w:r>
          </w:p>
        </w:tc>
        <w:tc>
          <w:tcPr>
            <w:tcW w:w="2693" w:type="dxa"/>
            <w:tcBorders>
              <w:top w:val="single" w:sz="4" w:space="0" w:color="7F7F7F"/>
              <w:bottom w:val="single" w:sz="4" w:space="0" w:color="7F7F7F"/>
            </w:tcBorders>
            <w:shd w:val="clear" w:color="auto" w:fill="auto"/>
          </w:tcPr>
          <w:p w14:paraId="54BECDE8" w14:textId="77777777" w:rsidR="000069B7" w:rsidRPr="00B026C7" w:rsidRDefault="000069B7" w:rsidP="004A495F">
            <w:pPr>
              <w:spacing w:before="0" w:after="0"/>
              <w:jc w:val="center"/>
              <w:rPr>
                <w:rFonts w:cs="Arial"/>
                <w:szCs w:val="24"/>
                <w:lang w:val="en-US"/>
              </w:rPr>
            </w:pPr>
            <w:r>
              <w:rPr>
                <w:rFonts w:cs="Arial"/>
                <w:szCs w:val="24"/>
                <w:lang w:val="en-US"/>
              </w:rPr>
              <w:t>7 (46.7)</w:t>
            </w:r>
          </w:p>
        </w:tc>
      </w:tr>
      <w:tr w:rsidR="000069B7" w:rsidRPr="00B026C7" w14:paraId="3BA93317" w14:textId="77777777" w:rsidTr="004A495F">
        <w:trPr>
          <w:trHeight w:val="567"/>
        </w:trPr>
        <w:tc>
          <w:tcPr>
            <w:tcW w:w="3686" w:type="dxa"/>
            <w:tcBorders>
              <w:top w:val="single" w:sz="4" w:space="0" w:color="7F7F7F"/>
              <w:bottom w:val="single" w:sz="4" w:space="0" w:color="7F7F7F"/>
            </w:tcBorders>
            <w:shd w:val="clear" w:color="auto" w:fill="auto"/>
          </w:tcPr>
          <w:p w14:paraId="69A03369" w14:textId="77777777" w:rsidR="000069B7" w:rsidRPr="00B026C7" w:rsidRDefault="000069B7" w:rsidP="004A495F">
            <w:pPr>
              <w:spacing w:before="0" w:after="0"/>
              <w:ind w:left="321"/>
              <w:rPr>
                <w:rFonts w:cs="Arial"/>
                <w:szCs w:val="24"/>
                <w:lang w:val="en-US"/>
              </w:rPr>
            </w:pPr>
            <w:r w:rsidRPr="00B026C7">
              <w:rPr>
                <w:rFonts w:cs="Arial"/>
                <w:szCs w:val="24"/>
                <w:lang w:val="en-US"/>
              </w:rPr>
              <w:t>70 to &lt;90 kg</w:t>
            </w:r>
          </w:p>
        </w:tc>
        <w:tc>
          <w:tcPr>
            <w:tcW w:w="2693" w:type="dxa"/>
            <w:tcBorders>
              <w:top w:val="single" w:sz="4" w:space="0" w:color="7F7F7F"/>
              <w:bottom w:val="single" w:sz="4" w:space="0" w:color="7F7F7F"/>
            </w:tcBorders>
            <w:shd w:val="clear" w:color="auto" w:fill="auto"/>
          </w:tcPr>
          <w:p w14:paraId="41E13569" w14:textId="77777777" w:rsidR="000069B7" w:rsidRPr="00B026C7" w:rsidRDefault="000069B7" w:rsidP="004A495F">
            <w:pPr>
              <w:spacing w:before="0" w:after="0"/>
              <w:jc w:val="center"/>
              <w:rPr>
                <w:rFonts w:cs="Arial"/>
                <w:szCs w:val="24"/>
                <w:lang w:val="en-US"/>
              </w:rPr>
            </w:pPr>
            <w:r>
              <w:rPr>
                <w:rFonts w:cs="Arial"/>
                <w:szCs w:val="24"/>
                <w:lang w:val="en-US"/>
              </w:rPr>
              <w:t>6 (42.9)</w:t>
            </w:r>
          </w:p>
        </w:tc>
        <w:tc>
          <w:tcPr>
            <w:tcW w:w="2693" w:type="dxa"/>
            <w:tcBorders>
              <w:top w:val="single" w:sz="4" w:space="0" w:color="7F7F7F"/>
              <w:bottom w:val="single" w:sz="4" w:space="0" w:color="7F7F7F"/>
            </w:tcBorders>
            <w:shd w:val="clear" w:color="auto" w:fill="auto"/>
          </w:tcPr>
          <w:p w14:paraId="77CAD70E" w14:textId="77777777" w:rsidR="000069B7" w:rsidRPr="00B026C7" w:rsidRDefault="000069B7" w:rsidP="004A495F">
            <w:pPr>
              <w:spacing w:before="0" w:after="0"/>
              <w:jc w:val="center"/>
              <w:rPr>
                <w:rFonts w:cs="Arial"/>
                <w:szCs w:val="24"/>
                <w:lang w:val="en-US"/>
              </w:rPr>
            </w:pPr>
            <w:r>
              <w:rPr>
                <w:rFonts w:cs="Arial"/>
                <w:szCs w:val="24"/>
                <w:lang w:val="en-US"/>
              </w:rPr>
              <w:t>6 (40.0)</w:t>
            </w:r>
          </w:p>
        </w:tc>
      </w:tr>
      <w:tr w:rsidR="000069B7" w:rsidRPr="00B026C7" w14:paraId="21009F6A" w14:textId="77777777" w:rsidTr="004A495F">
        <w:trPr>
          <w:trHeight w:val="567"/>
        </w:trPr>
        <w:tc>
          <w:tcPr>
            <w:tcW w:w="3686" w:type="dxa"/>
            <w:tcBorders>
              <w:top w:val="single" w:sz="4" w:space="0" w:color="7F7F7F"/>
              <w:bottom w:val="single" w:sz="4" w:space="0" w:color="7F7F7F"/>
            </w:tcBorders>
            <w:shd w:val="clear" w:color="auto" w:fill="auto"/>
          </w:tcPr>
          <w:p w14:paraId="6519CEB2" w14:textId="77777777" w:rsidR="000069B7" w:rsidRPr="00B026C7" w:rsidRDefault="000069B7" w:rsidP="004A495F">
            <w:pPr>
              <w:spacing w:before="0" w:after="0"/>
              <w:ind w:left="321"/>
              <w:rPr>
                <w:rFonts w:cs="Arial"/>
                <w:szCs w:val="24"/>
                <w:lang w:val="en-US"/>
              </w:rPr>
            </w:pPr>
            <w:r w:rsidRPr="00B026C7">
              <w:rPr>
                <w:rFonts w:eastAsia="Times New Roman" w:cs="Arial"/>
                <w:szCs w:val="24"/>
                <w:shd w:val="clear" w:color="auto" w:fill="FFFFFF"/>
                <w:lang w:val="en-US" w:eastAsia="en-GB"/>
              </w:rPr>
              <w:t>≥</w:t>
            </w:r>
            <w:r w:rsidRPr="00B026C7">
              <w:rPr>
                <w:rFonts w:cs="Arial"/>
                <w:szCs w:val="24"/>
                <w:lang w:val="en-US"/>
              </w:rPr>
              <w:t>90 kg</w:t>
            </w:r>
          </w:p>
        </w:tc>
        <w:tc>
          <w:tcPr>
            <w:tcW w:w="2693" w:type="dxa"/>
            <w:tcBorders>
              <w:top w:val="single" w:sz="4" w:space="0" w:color="7F7F7F"/>
              <w:bottom w:val="single" w:sz="4" w:space="0" w:color="7F7F7F"/>
            </w:tcBorders>
            <w:shd w:val="clear" w:color="auto" w:fill="auto"/>
          </w:tcPr>
          <w:p w14:paraId="2A1B7E99" w14:textId="77777777" w:rsidR="000069B7" w:rsidRPr="00B026C7" w:rsidRDefault="000069B7" w:rsidP="004A495F">
            <w:pPr>
              <w:spacing w:before="0" w:after="0"/>
              <w:jc w:val="center"/>
              <w:rPr>
                <w:rFonts w:cs="Arial"/>
                <w:szCs w:val="24"/>
                <w:lang w:val="en-US"/>
              </w:rPr>
            </w:pPr>
            <w:r>
              <w:rPr>
                <w:rFonts w:cs="Arial"/>
                <w:szCs w:val="24"/>
                <w:lang w:val="en-US"/>
              </w:rPr>
              <w:t>1 (7.1)</w:t>
            </w:r>
          </w:p>
        </w:tc>
        <w:tc>
          <w:tcPr>
            <w:tcW w:w="2693" w:type="dxa"/>
            <w:tcBorders>
              <w:top w:val="single" w:sz="4" w:space="0" w:color="7F7F7F"/>
              <w:bottom w:val="single" w:sz="4" w:space="0" w:color="7F7F7F"/>
            </w:tcBorders>
            <w:shd w:val="clear" w:color="auto" w:fill="auto"/>
          </w:tcPr>
          <w:p w14:paraId="7BD477B0" w14:textId="77777777" w:rsidR="000069B7" w:rsidRPr="00B026C7" w:rsidRDefault="000069B7" w:rsidP="004A495F">
            <w:pPr>
              <w:spacing w:before="0" w:after="0"/>
              <w:jc w:val="center"/>
              <w:rPr>
                <w:rFonts w:cs="Arial"/>
                <w:szCs w:val="24"/>
                <w:lang w:val="en-US"/>
              </w:rPr>
            </w:pPr>
            <w:r>
              <w:rPr>
                <w:rFonts w:cs="Arial"/>
                <w:szCs w:val="24"/>
                <w:lang w:val="en-US"/>
              </w:rPr>
              <w:t>2 (13.3)</w:t>
            </w:r>
          </w:p>
        </w:tc>
      </w:tr>
      <w:tr w:rsidR="000069B7" w:rsidRPr="00B026C7" w14:paraId="208E6720" w14:textId="77777777" w:rsidTr="004A495F">
        <w:trPr>
          <w:trHeight w:val="567"/>
        </w:trPr>
        <w:tc>
          <w:tcPr>
            <w:tcW w:w="3686" w:type="dxa"/>
            <w:tcBorders>
              <w:top w:val="single" w:sz="4" w:space="0" w:color="7F7F7F"/>
              <w:bottom w:val="single" w:sz="4" w:space="0" w:color="7F7F7F"/>
            </w:tcBorders>
            <w:shd w:val="clear" w:color="auto" w:fill="auto"/>
          </w:tcPr>
          <w:p w14:paraId="2FF05E61" w14:textId="77777777" w:rsidR="000069B7" w:rsidRPr="00B026C7" w:rsidRDefault="000069B7" w:rsidP="004A495F">
            <w:pPr>
              <w:spacing w:before="0" w:after="0"/>
              <w:rPr>
                <w:rFonts w:cs="Arial"/>
                <w:color w:val="202124"/>
                <w:szCs w:val="24"/>
                <w:shd w:val="clear" w:color="auto" w:fill="FFFFFF"/>
                <w:lang w:val="en-US"/>
              </w:rPr>
            </w:pPr>
            <w:bookmarkStart w:id="8" w:name="_Hlk117764939"/>
            <w:r w:rsidRPr="00B026C7">
              <w:rPr>
                <w:rFonts w:cs="Arial"/>
                <w:color w:val="202124"/>
                <w:szCs w:val="24"/>
                <w:shd w:val="clear" w:color="auto" w:fill="FFFFFF"/>
                <w:lang w:val="en-US"/>
              </w:rPr>
              <w:t>Weight at screening (kg), median (range)</w:t>
            </w:r>
          </w:p>
        </w:tc>
        <w:tc>
          <w:tcPr>
            <w:tcW w:w="2693" w:type="dxa"/>
            <w:tcBorders>
              <w:top w:val="single" w:sz="4" w:space="0" w:color="7F7F7F"/>
              <w:bottom w:val="single" w:sz="4" w:space="0" w:color="7F7F7F"/>
            </w:tcBorders>
            <w:shd w:val="clear" w:color="auto" w:fill="auto"/>
          </w:tcPr>
          <w:p w14:paraId="336183E9" w14:textId="77777777" w:rsidR="000069B7" w:rsidRPr="00B026C7" w:rsidRDefault="000069B7" w:rsidP="004A495F">
            <w:pPr>
              <w:spacing w:before="0" w:after="0"/>
              <w:jc w:val="center"/>
              <w:rPr>
                <w:rFonts w:cs="Arial"/>
                <w:szCs w:val="24"/>
                <w:lang w:val="en-US"/>
              </w:rPr>
            </w:pPr>
            <w:r>
              <w:rPr>
                <w:rFonts w:cs="Arial"/>
                <w:szCs w:val="24"/>
                <w:lang w:val="en-US"/>
              </w:rPr>
              <w:t>71.2 (55.0–99.1)</w:t>
            </w:r>
          </w:p>
        </w:tc>
        <w:tc>
          <w:tcPr>
            <w:tcW w:w="2693" w:type="dxa"/>
            <w:tcBorders>
              <w:top w:val="single" w:sz="4" w:space="0" w:color="7F7F7F"/>
              <w:bottom w:val="single" w:sz="4" w:space="0" w:color="7F7F7F"/>
            </w:tcBorders>
            <w:shd w:val="clear" w:color="auto" w:fill="auto"/>
          </w:tcPr>
          <w:p w14:paraId="3F0E3EDD" w14:textId="77777777" w:rsidR="000069B7" w:rsidRPr="00B026C7" w:rsidRDefault="000069B7" w:rsidP="004A495F">
            <w:pPr>
              <w:spacing w:before="0" w:after="0"/>
              <w:jc w:val="center"/>
              <w:rPr>
                <w:rFonts w:cs="Arial"/>
                <w:szCs w:val="24"/>
                <w:lang w:val="en-US"/>
              </w:rPr>
            </w:pPr>
            <w:r>
              <w:rPr>
                <w:rFonts w:cs="Arial"/>
                <w:szCs w:val="24"/>
                <w:lang w:val="en-US"/>
              </w:rPr>
              <w:t>71.9 (50.2–91.9)</w:t>
            </w:r>
          </w:p>
        </w:tc>
      </w:tr>
      <w:bookmarkEnd w:id="8"/>
      <w:tr w:rsidR="000069B7" w:rsidRPr="00B026C7" w14:paraId="6A85E08A" w14:textId="77777777" w:rsidTr="004A495F">
        <w:trPr>
          <w:trHeight w:val="567"/>
        </w:trPr>
        <w:tc>
          <w:tcPr>
            <w:tcW w:w="3686" w:type="dxa"/>
            <w:tcBorders>
              <w:top w:val="single" w:sz="4" w:space="0" w:color="7F7F7F"/>
              <w:bottom w:val="single" w:sz="4" w:space="0" w:color="7F7F7F"/>
            </w:tcBorders>
            <w:shd w:val="clear" w:color="auto" w:fill="auto"/>
          </w:tcPr>
          <w:p w14:paraId="1216EB01" w14:textId="77777777" w:rsidR="000069B7" w:rsidRPr="00B026C7" w:rsidRDefault="000069B7" w:rsidP="004A495F">
            <w:pPr>
              <w:spacing w:before="0" w:after="0"/>
              <w:rPr>
                <w:rFonts w:cs="Arial"/>
                <w:color w:val="202124"/>
                <w:szCs w:val="24"/>
                <w:shd w:val="clear" w:color="auto" w:fill="FFFFFF"/>
                <w:lang w:val="en-US"/>
              </w:rPr>
            </w:pPr>
            <w:r w:rsidRPr="00B026C7">
              <w:rPr>
                <w:rFonts w:cs="Arial"/>
                <w:color w:val="202124"/>
                <w:szCs w:val="24"/>
                <w:shd w:val="clear" w:color="auto" w:fill="FFFFFF"/>
                <w:lang w:val="en-US"/>
              </w:rPr>
              <w:t>Height at screening (cm), median (range)</w:t>
            </w:r>
          </w:p>
        </w:tc>
        <w:tc>
          <w:tcPr>
            <w:tcW w:w="2693" w:type="dxa"/>
            <w:tcBorders>
              <w:top w:val="single" w:sz="4" w:space="0" w:color="7F7F7F"/>
              <w:bottom w:val="single" w:sz="4" w:space="0" w:color="7F7F7F"/>
            </w:tcBorders>
            <w:shd w:val="clear" w:color="auto" w:fill="auto"/>
          </w:tcPr>
          <w:p w14:paraId="14423791" w14:textId="77777777" w:rsidR="000069B7" w:rsidRPr="00B026C7" w:rsidRDefault="000069B7" w:rsidP="004A495F">
            <w:pPr>
              <w:spacing w:before="0" w:after="0"/>
              <w:jc w:val="center"/>
              <w:rPr>
                <w:rFonts w:cs="Arial"/>
                <w:szCs w:val="24"/>
                <w:lang w:val="en-US"/>
              </w:rPr>
            </w:pPr>
            <w:r>
              <w:rPr>
                <w:rFonts w:cs="Arial"/>
                <w:szCs w:val="24"/>
                <w:lang w:val="en-US"/>
              </w:rPr>
              <w:t>172.95 (165.7–190.0)</w:t>
            </w:r>
          </w:p>
        </w:tc>
        <w:tc>
          <w:tcPr>
            <w:tcW w:w="2693" w:type="dxa"/>
            <w:tcBorders>
              <w:top w:val="single" w:sz="4" w:space="0" w:color="7F7F7F"/>
              <w:bottom w:val="single" w:sz="4" w:space="0" w:color="7F7F7F"/>
            </w:tcBorders>
            <w:shd w:val="clear" w:color="auto" w:fill="auto"/>
          </w:tcPr>
          <w:p w14:paraId="4B5A83FA" w14:textId="77777777" w:rsidR="000069B7" w:rsidRPr="00B026C7" w:rsidRDefault="000069B7" w:rsidP="004A495F">
            <w:pPr>
              <w:spacing w:before="0" w:after="0"/>
              <w:jc w:val="center"/>
              <w:rPr>
                <w:rFonts w:cs="Arial"/>
                <w:szCs w:val="24"/>
                <w:lang w:val="en-US"/>
              </w:rPr>
            </w:pPr>
            <w:r>
              <w:rPr>
                <w:rFonts w:cs="Arial"/>
                <w:szCs w:val="24"/>
                <w:lang w:val="en-US"/>
              </w:rPr>
              <w:t>174.20 (159.3–192.9)</w:t>
            </w:r>
          </w:p>
        </w:tc>
      </w:tr>
      <w:tr w:rsidR="000069B7" w:rsidRPr="00B026C7" w14:paraId="23CB829E" w14:textId="77777777" w:rsidTr="004A495F">
        <w:trPr>
          <w:trHeight w:val="567"/>
        </w:trPr>
        <w:tc>
          <w:tcPr>
            <w:tcW w:w="3686" w:type="dxa"/>
            <w:tcBorders>
              <w:top w:val="single" w:sz="4" w:space="0" w:color="7F7F7F"/>
              <w:bottom w:val="single" w:sz="4" w:space="0" w:color="7F7F7F"/>
            </w:tcBorders>
            <w:shd w:val="clear" w:color="auto" w:fill="auto"/>
          </w:tcPr>
          <w:p w14:paraId="2D03FC5B" w14:textId="77777777" w:rsidR="000069B7" w:rsidRPr="00B026C7" w:rsidRDefault="000069B7" w:rsidP="004A495F">
            <w:pPr>
              <w:spacing w:before="0" w:after="0"/>
              <w:rPr>
                <w:rFonts w:cs="Arial"/>
                <w:color w:val="202124"/>
                <w:szCs w:val="24"/>
                <w:shd w:val="clear" w:color="auto" w:fill="FFFFFF"/>
                <w:lang w:val="en-US"/>
              </w:rPr>
            </w:pPr>
            <w:r w:rsidRPr="00B026C7">
              <w:rPr>
                <w:rFonts w:cs="Arial"/>
                <w:color w:val="202124"/>
                <w:szCs w:val="24"/>
                <w:shd w:val="clear" w:color="auto" w:fill="FFFFFF"/>
                <w:lang w:val="en-US"/>
              </w:rPr>
              <w:t>BMI at screening (kg/m</w:t>
            </w:r>
            <w:r w:rsidRPr="00B026C7">
              <w:rPr>
                <w:rFonts w:cs="Arial"/>
                <w:color w:val="202124"/>
                <w:szCs w:val="24"/>
                <w:shd w:val="clear" w:color="auto" w:fill="FFFFFF"/>
                <w:vertAlign w:val="superscript"/>
                <w:lang w:val="en-US"/>
              </w:rPr>
              <w:t>2</w:t>
            </w:r>
            <w:r w:rsidRPr="00B026C7">
              <w:rPr>
                <w:rFonts w:cs="Arial"/>
                <w:color w:val="202124"/>
                <w:szCs w:val="24"/>
                <w:shd w:val="clear" w:color="auto" w:fill="FFFFFF"/>
                <w:lang w:val="en-US"/>
              </w:rPr>
              <w:t>), median (range)</w:t>
            </w:r>
          </w:p>
        </w:tc>
        <w:tc>
          <w:tcPr>
            <w:tcW w:w="2693" w:type="dxa"/>
            <w:tcBorders>
              <w:top w:val="single" w:sz="4" w:space="0" w:color="7F7F7F"/>
              <w:bottom w:val="single" w:sz="4" w:space="0" w:color="7F7F7F"/>
            </w:tcBorders>
            <w:shd w:val="clear" w:color="auto" w:fill="auto"/>
          </w:tcPr>
          <w:p w14:paraId="0CF4E9F5" w14:textId="77777777" w:rsidR="000069B7" w:rsidRPr="00B026C7" w:rsidRDefault="000069B7" w:rsidP="004A495F">
            <w:pPr>
              <w:spacing w:before="0" w:after="0"/>
              <w:jc w:val="center"/>
              <w:rPr>
                <w:rFonts w:cs="Arial"/>
                <w:szCs w:val="24"/>
                <w:lang w:val="en-US"/>
              </w:rPr>
            </w:pPr>
            <w:r>
              <w:rPr>
                <w:rFonts w:cs="Arial"/>
                <w:szCs w:val="24"/>
                <w:lang w:val="en-US"/>
              </w:rPr>
              <w:t>23.4 (18.8–27.5)</w:t>
            </w:r>
          </w:p>
        </w:tc>
        <w:tc>
          <w:tcPr>
            <w:tcW w:w="2693" w:type="dxa"/>
            <w:tcBorders>
              <w:top w:val="single" w:sz="4" w:space="0" w:color="7F7F7F"/>
              <w:bottom w:val="single" w:sz="4" w:space="0" w:color="7F7F7F"/>
            </w:tcBorders>
            <w:shd w:val="clear" w:color="auto" w:fill="auto"/>
          </w:tcPr>
          <w:p w14:paraId="2AC006A4" w14:textId="77777777" w:rsidR="000069B7" w:rsidRPr="00B026C7" w:rsidRDefault="000069B7" w:rsidP="004A495F">
            <w:pPr>
              <w:spacing w:before="0" w:after="0"/>
              <w:jc w:val="center"/>
              <w:rPr>
                <w:rFonts w:cs="Arial"/>
                <w:szCs w:val="24"/>
                <w:lang w:val="en-US"/>
              </w:rPr>
            </w:pPr>
            <w:r>
              <w:rPr>
                <w:rFonts w:cs="Arial"/>
                <w:szCs w:val="24"/>
                <w:lang w:val="en-US"/>
              </w:rPr>
              <w:t>22.7 (19.8–27.8)</w:t>
            </w:r>
          </w:p>
        </w:tc>
      </w:tr>
      <w:tr w:rsidR="000069B7" w:rsidRPr="00B026C7" w14:paraId="5DFFC6EA" w14:textId="77777777" w:rsidTr="004A495F">
        <w:trPr>
          <w:trHeight w:val="567"/>
        </w:trPr>
        <w:tc>
          <w:tcPr>
            <w:tcW w:w="3686" w:type="dxa"/>
            <w:tcBorders>
              <w:top w:val="single" w:sz="4" w:space="0" w:color="7F7F7F"/>
              <w:bottom w:val="single" w:sz="4" w:space="0" w:color="7F7F7F"/>
            </w:tcBorders>
            <w:shd w:val="clear" w:color="auto" w:fill="auto"/>
          </w:tcPr>
          <w:p w14:paraId="515EB459" w14:textId="77777777" w:rsidR="000069B7" w:rsidRPr="00B026C7" w:rsidRDefault="000069B7" w:rsidP="004A495F">
            <w:pPr>
              <w:spacing w:before="0" w:after="0"/>
              <w:rPr>
                <w:rFonts w:cs="Arial"/>
                <w:color w:val="202124"/>
                <w:szCs w:val="24"/>
                <w:shd w:val="clear" w:color="auto" w:fill="FFFFFF"/>
                <w:lang w:val="en-US"/>
              </w:rPr>
            </w:pPr>
            <w:r w:rsidRPr="00B026C7">
              <w:rPr>
                <w:rFonts w:cs="Arial"/>
                <w:color w:val="202124"/>
                <w:szCs w:val="24"/>
                <w:shd w:val="clear" w:color="auto" w:fill="FFFFFF"/>
                <w:lang w:val="en-US"/>
              </w:rPr>
              <w:t>Asian race, n (%)</w:t>
            </w:r>
          </w:p>
        </w:tc>
        <w:tc>
          <w:tcPr>
            <w:tcW w:w="2693" w:type="dxa"/>
            <w:tcBorders>
              <w:top w:val="single" w:sz="4" w:space="0" w:color="7F7F7F"/>
              <w:bottom w:val="single" w:sz="4" w:space="0" w:color="7F7F7F"/>
            </w:tcBorders>
            <w:shd w:val="clear" w:color="auto" w:fill="auto"/>
          </w:tcPr>
          <w:p w14:paraId="3939A914" w14:textId="77777777" w:rsidR="000069B7" w:rsidRPr="00B026C7" w:rsidRDefault="000069B7" w:rsidP="004A495F">
            <w:pPr>
              <w:spacing w:before="0" w:after="0"/>
              <w:jc w:val="center"/>
              <w:rPr>
                <w:rFonts w:cs="Arial"/>
                <w:szCs w:val="24"/>
                <w:lang w:val="en-US"/>
              </w:rPr>
            </w:pPr>
            <w:r>
              <w:rPr>
                <w:rFonts w:cs="Arial"/>
                <w:szCs w:val="24"/>
                <w:lang w:val="en-US"/>
              </w:rPr>
              <w:t>14 (100.0)</w:t>
            </w:r>
          </w:p>
        </w:tc>
        <w:tc>
          <w:tcPr>
            <w:tcW w:w="2693" w:type="dxa"/>
            <w:tcBorders>
              <w:top w:val="single" w:sz="4" w:space="0" w:color="7F7F7F"/>
              <w:bottom w:val="single" w:sz="4" w:space="0" w:color="7F7F7F"/>
            </w:tcBorders>
            <w:shd w:val="clear" w:color="auto" w:fill="auto"/>
          </w:tcPr>
          <w:p w14:paraId="74182992" w14:textId="77777777" w:rsidR="000069B7" w:rsidRPr="00B026C7" w:rsidRDefault="000069B7" w:rsidP="004A495F">
            <w:pPr>
              <w:spacing w:before="0" w:after="0"/>
              <w:jc w:val="center"/>
              <w:rPr>
                <w:rFonts w:cs="Arial"/>
                <w:szCs w:val="24"/>
                <w:lang w:val="en-US"/>
              </w:rPr>
            </w:pPr>
            <w:r>
              <w:rPr>
                <w:rFonts w:cs="Arial"/>
                <w:szCs w:val="24"/>
                <w:lang w:val="en-US"/>
              </w:rPr>
              <w:t>15 (100.0)</w:t>
            </w:r>
          </w:p>
        </w:tc>
      </w:tr>
      <w:tr w:rsidR="000069B7" w:rsidRPr="00B026C7" w14:paraId="394FABB6" w14:textId="77777777" w:rsidTr="004A495F">
        <w:trPr>
          <w:trHeight w:val="567"/>
        </w:trPr>
        <w:tc>
          <w:tcPr>
            <w:tcW w:w="3686" w:type="dxa"/>
            <w:tcBorders>
              <w:top w:val="single" w:sz="4" w:space="0" w:color="7F7F7F"/>
              <w:bottom w:val="single" w:sz="4" w:space="0" w:color="7F7F7F"/>
            </w:tcBorders>
            <w:shd w:val="clear" w:color="auto" w:fill="auto"/>
          </w:tcPr>
          <w:p w14:paraId="387EE908" w14:textId="77777777" w:rsidR="000069B7" w:rsidRPr="00B026C7" w:rsidRDefault="000069B7" w:rsidP="004A495F">
            <w:pPr>
              <w:spacing w:before="0" w:after="0"/>
              <w:rPr>
                <w:rFonts w:cs="Arial"/>
                <w:color w:val="202124"/>
                <w:szCs w:val="24"/>
                <w:shd w:val="clear" w:color="auto" w:fill="FFFFFF"/>
                <w:lang w:val="en-US"/>
              </w:rPr>
            </w:pPr>
            <w:r w:rsidRPr="00B026C7">
              <w:rPr>
                <w:rFonts w:cs="Arial"/>
                <w:color w:val="202124"/>
                <w:szCs w:val="24"/>
                <w:shd w:val="clear" w:color="auto" w:fill="FFFFFF"/>
                <w:lang w:val="en-US"/>
              </w:rPr>
              <w:t>Non-Hispanic or Non-Latino ethnicity, n (%)</w:t>
            </w:r>
          </w:p>
        </w:tc>
        <w:tc>
          <w:tcPr>
            <w:tcW w:w="2693" w:type="dxa"/>
            <w:tcBorders>
              <w:top w:val="single" w:sz="4" w:space="0" w:color="7F7F7F"/>
              <w:bottom w:val="single" w:sz="4" w:space="0" w:color="7F7F7F"/>
            </w:tcBorders>
            <w:shd w:val="clear" w:color="auto" w:fill="auto"/>
          </w:tcPr>
          <w:p w14:paraId="77BEB291" w14:textId="77777777" w:rsidR="000069B7" w:rsidRPr="00B026C7" w:rsidRDefault="000069B7" w:rsidP="004A495F">
            <w:pPr>
              <w:spacing w:before="0" w:after="0"/>
              <w:jc w:val="center"/>
              <w:rPr>
                <w:rFonts w:cs="Arial"/>
                <w:szCs w:val="24"/>
                <w:lang w:val="en-US"/>
              </w:rPr>
            </w:pPr>
            <w:r>
              <w:rPr>
                <w:rFonts w:cs="Arial"/>
                <w:szCs w:val="24"/>
                <w:lang w:val="en-US"/>
              </w:rPr>
              <w:t>14 (100.0)</w:t>
            </w:r>
          </w:p>
        </w:tc>
        <w:tc>
          <w:tcPr>
            <w:tcW w:w="2693" w:type="dxa"/>
            <w:tcBorders>
              <w:top w:val="single" w:sz="4" w:space="0" w:color="7F7F7F"/>
              <w:bottom w:val="single" w:sz="4" w:space="0" w:color="7F7F7F"/>
            </w:tcBorders>
            <w:shd w:val="clear" w:color="auto" w:fill="auto"/>
          </w:tcPr>
          <w:p w14:paraId="69D55CA2" w14:textId="77777777" w:rsidR="000069B7" w:rsidRPr="00B026C7" w:rsidRDefault="000069B7" w:rsidP="004A495F">
            <w:pPr>
              <w:spacing w:before="0" w:after="0"/>
              <w:jc w:val="center"/>
              <w:rPr>
                <w:rFonts w:cs="Arial"/>
                <w:szCs w:val="24"/>
                <w:lang w:val="en-US"/>
              </w:rPr>
            </w:pPr>
            <w:r>
              <w:rPr>
                <w:rFonts w:cs="Arial"/>
                <w:szCs w:val="24"/>
                <w:lang w:val="en-US"/>
              </w:rPr>
              <w:t>15 (100.0)</w:t>
            </w:r>
          </w:p>
        </w:tc>
      </w:tr>
      <w:tr w:rsidR="000069B7" w:rsidRPr="00B026C7" w14:paraId="2A9DACF8" w14:textId="77777777" w:rsidTr="004A495F">
        <w:trPr>
          <w:trHeight w:val="567"/>
        </w:trPr>
        <w:tc>
          <w:tcPr>
            <w:tcW w:w="3686" w:type="dxa"/>
            <w:tcBorders>
              <w:top w:val="single" w:sz="4" w:space="0" w:color="7F7F7F"/>
              <w:bottom w:val="single" w:sz="4" w:space="0" w:color="7F7F7F"/>
            </w:tcBorders>
            <w:shd w:val="clear" w:color="auto" w:fill="auto"/>
          </w:tcPr>
          <w:p w14:paraId="407B3E6F" w14:textId="77777777" w:rsidR="000069B7" w:rsidRPr="00B026C7" w:rsidRDefault="000069B7" w:rsidP="004A495F">
            <w:pPr>
              <w:spacing w:before="0" w:after="0"/>
              <w:rPr>
                <w:rFonts w:cs="Arial"/>
                <w:color w:val="202124"/>
                <w:szCs w:val="24"/>
                <w:shd w:val="clear" w:color="auto" w:fill="FFFFFF"/>
                <w:lang w:val="en-US"/>
              </w:rPr>
            </w:pPr>
            <w:r w:rsidRPr="00B026C7">
              <w:rPr>
                <w:rFonts w:cs="Arial"/>
                <w:color w:val="202124"/>
                <w:szCs w:val="24"/>
                <w:shd w:val="clear" w:color="auto" w:fill="FFFFFF"/>
                <w:lang w:val="en-US"/>
              </w:rPr>
              <w:t>Smoking history, n (%)</w:t>
            </w:r>
          </w:p>
        </w:tc>
        <w:tc>
          <w:tcPr>
            <w:tcW w:w="2693" w:type="dxa"/>
            <w:tcBorders>
              <w:top w:val="single" w:sz="4" w:space="0" w:color="7F7F7F"/>
              <w:bottom w:val="single" w:sz="4" w:space="0" w:color="7F7F7F"/>
            </w:tcBorders>
            <w:shd w:val="clear" w:color="auto" w:fill="auto"/>
          </w:tcPr>
          <w:p w14:paraId="5316EF95" w14:textId="77777777" w:rsidR="000069B7" w:rsidRPr="00B026C7" w:rsidRDefault="000069B7" w:rsidP="004A495F">
            <w:pPr>
              <w:spacing w:before="0" w:after="0"/>
              <w:jc w:val="center"/>
              <w:rPr>
                <w:rFonts w:cs="Arial"/>
                <w:szCs w:val="24"/>
                <w:lang w:val="en-US"/>
              </w:rPr>
            </w:pPr>
          </w:p>
        </w:tc>
        <w:tc>
          <w:tcPr>
            <w:tcW w:w="2693" w:type="dxa"/>
            <w:tcBorders>
              <w:top w:val="single" w:sz="4" w:space="0" w:color="7F7F7F"/>
              <w:bottom w:val="single" w:sz="4" w:space="0" w:color="7F7F7F"/>
            </w:tcBorders>
            <w:shd w:val="clear" w:color="auto" w:fill="auto"/>
          </w:tcPr>
          <w:p w14:paraId="31F1F701" w14:textId="77777777" w:rsidR="000069B7" w:rsidRPr="00B026C7" w:rsidRDefault="000069B7" w:rsidP="004A495F">
            <w:pPr>
              <w:spacing w:before="0" w:after="0"/>
              <w:jc w:val="center"/>
              <w:rPr>
                <w:rFonts w:cs="Arial"/>
                <w:szCs w:val="24"/>
                <w:lang w:val="en-US"/>
              </w:rPr>
            </w:pPr>
          </w:p>
        </w:tc>
      </w:tr>
      <w:tr w:rsidR="000069B7" w:rsidRPr="00B026C7" w14:paraId="568F17E9" w14:textId="77777777" w:rsidTr="004A495F">
        <w:trPr>
          <w:trHeight w:val="567"/>
        </w:trPr>
        <w:tc>
          <w:tcPr>
            <w:tcW w:w="3686" w:type="dxa"/>
            <w:tcBorders>
              <w:top w:val="single" w:sz="4" w:space="0" w:color="7F7F7F"/>
              <w:bottom w:val="single" w:sz="4" w:space="0" w:color="7F7F7F"/>
            </w:tcBorders>
            <w:shd w:val="clear" w:color="auto" w:fill="auto"/>
          </w:tcPr>
          <w:p w14:paraId="7E016422" w14:textId="77777777" w:rsidR="000069B7" w:rsidRPr="00B026C7" w:rsidRDefault="000069B7" w:rsidP="004A495F">
            <w:pPr>
              <w:spacing w:before="0" w:after="0"/>
              <w:ind w:left="321"/>
              <w:rPr>
                <w:rFonts w:cs="Arial"/>
                <w:color w:val="202124"/>
                <w:szCs w:val="24"/>
                <w:shd w:val="clear" w:color="auto" w:fill="FFFFFF"/>
                <w:lang w:val="en-US"/>
              </w:rPr>
            </w:pPr>
            <w:r w:rsidRPr="00B026C7">
              <w:rPr>
                <w:rFonts w:cs="Arial"/>
                <w:color w:val="202124"/>
                <w:szCs w:val="24"/>
                <w:shd w:val="clear" w:color="auto" w:fill="FFFFFF"/>
                <w:lang w:val="en-US"/>
              </w:rPr>
              <w:t>Yes</w:t>
            </w:r>
          </w:p>
        </w:tc>
        <w:tc>
          <w:tcPr>
            <w:tcW w:w="2693" w:type="dxa"/>
            <w:tcBorders>
              <w:top w:val="single" w:sz="4" w:space="0" w:color="7F7F7F"/>
              <w:bottom w:val="single" w:sz="4" w:space="0" w:color="7F7F7F"/>
            </w:tcBorders>
            <w:shd w:val="clear" w:color="auto" w:fill="auto"/>
          </w:tcPr>
          <w:p w14:paraId="166B557B" w14:textId="77777777" w:rsidR="000069B7" w:rsidRPr="00B026C7" w:rsidRDefault="000069B7" w:rsidP="004A495F">
            <w:pPr>
              <w:spacing w:before="0" w:after="0"/>
              <w:jc w:val="center"/>
              <w:rPr>
                <w:rFonts w:cs="Arial"/>
                <w:szCs w:val="24"/>
                <w:lang w:val="en-US"/>
              </w:rPr>
            </w:pPr>
            <w:r>
              <w:rPr>
                <w:rFonts w:cs="Arial"/>
                <w:szCs w:val="24"/>
                <w:lang w:val="en-US"/>
              </w:rPr>
              <w:t>4 (28.6)</w:t>
            </w:r>
          </w:p>
        </w:tc>
        <w:tc>
          <w:tcPr>
            <w:tcW w:w="2693" w:type="dxa"/>
            <w:tcBorders>
              <w:top w:val="single" w:sz="4" w:space="0" w:color="7F7F7F"/>
              <w:bottom w:val="single" w:sz="4" w:space="0" w:color="7F7F7F"/>
            </w:tcBorders>
            <w:shd w:val="clear" w:color="auto" w:fill="auto"/>
          </w:tcPr>
          <w:p w14:paraId="2EBAFD2B" w14:textId="77777777" w:rsidR="000069B7" w:rsidRPr="00B026C7" w:rsidRDefault="000069B7" w:rsidP="004A495F">
            <w:pPr>
              <w:spacing w:before="0" w:after="0"/>
              <w:jc w:val="center"/>
              <w:rPr>
                <w:rFonts w:cs="Arial"/>
                <w:szCs w:val="24"/>
                <w:lang w:val="en-US"/>
              </w:rPr>
            </w:pPr>
            <w:r>
              <w:rPr>
                <w:rFonts w:cs="Arial"/>
                <w:szCs w:val="24"/>
                <w:lang w:val="en-US"/>
              </w:rPr>
              <w:t>2 (13.3)</w:t>
            </w:r>
          </w:p>
        </w:tc>
      </w:tr>
      <w:tr w:rsidR="000069B7" w:rsidRPr="00B026C7" w14:paraId="65B91572" w14:textId="77777777" w:rsidTr="004A495F">
        <w:trPr>
          <w:trHeight w:val="567"/>
        </w:trPr>
        <w:tc>
          <w:tcPr>
            <w:tcW w:w="3686" w:type="dxa"/>
            <w:tcBorders>
              <w:top w:val="single" w:sz="4" w:space="0" w:color="7F7F7F"/>
              <w:bottom w:val="single" w:sz="4" w:space="0" w:color="7F7F7F"/>
            </w:tcBorders>
            <w:shd w:val="clear" w:color="auto" w:fill="auto"/>
          </w:tcPr>
          <w:p w14:paraId="4A9535D0" w14:textId="77777777" w:rsidR="000069B7" w:rsidRPr="00B026C7" w:rsidRDefault="000069B7" w:rsidP="004A495F">
            <w:pPr>
              <w:spacing w:before="0" w:after="0"/>
              <w:ind w:left="321"/>
              <w:rPr>
                <w:rFonts w:cs="Arial"/>
                <w:color w:val="202124"/>
                <w:szCs w:val="24"/>
                <w:shd w:val="clear" w:color="auto" w:fill="FFFFFF"/>
                <w:lang w:val="en-US"/>
              </w:rPr>
            </w:pPr>
            <w:r w:rsidRPr="00B026C7">
              <w:rPr>
                <w:rFonts w:cs="Arial"/>
                <w:color w:val="202124"/>
                <w:szCs w:val="24"/>
                <w:shd w:val="clear" w:color="auto" w:fill="FFFFFF"/>
                <w:lang w:val="en-US"/>
              </w:rPr>
              <w:t>No</w:t>
            </w:r>
          </w:p>
        </w:tc>
        <w:tc>
          <w:tcPr>
            <w:tcW w:w="2693" w:type="dxa"/>
            <w:tcBorders>
              <w:top w:val="single" w:sz="4" w:space="0" w:color="7F7F7F"/>
              <w:bottom w:val="single" w:sz="4" w:space="0" w:color="7F7F7F"/>
            </w:tcBorders>
            <w:shd w:val="clear" w:color="auto" w:fill="auto"/>
          </w:tcPr>
          <w:p w14:paraId="593E432E" w14:textId="77777777" w:rsidR="000069B7" w:rsidRPr="00B026C7" w:rsidRDefault="000069B7" w:rsidP="004A495F">
            <w:pPr>
              <w:spacing w:before="0" w:after="0"/>
              <w:jc w:val="center"/>
              <w:rPr>
                <w:rFonts w:cs="Arial"/>
                <w:szCs w:val="24"/>
                <w:lang w:val="en-US"/>
              </w:rPr>
            </w:pPr>
            <w:r>
              <w:rPr>
                <w:rFonts w:cs="Arial"/>
                <w:szCs w:val="24"/>
                <w:lang w:val="en-US"/>
              </w:rPr>
              <w:t>10 (71.4)</w:t>
            </w:r>
          </w:p>
        </w:tc>
        <w:tc>
          <w:tcPr>
            <w:tcW w:w="2693" w:type="dxa"/>
            <w:tcBorders>
              <w:top w:val="single" w:sz="4" w:space="0" w:color="7F7F7F"/>
              <w:bottom w:val="single" w:sz="4" w:space="0" w:color="7F7F7F"/>
            </w:tcBorders>
            <w:shd w:val="clear" w:color="auto" w:fill="auto"/>
          </w:tcPr>
          <w:p w14:paraId="44A414A7" w14:textId="77777777" w:rsidR="000069B7" w:rsidRPr="00B026C7" w:rsidRDefault="000069B7" w:rsidP="004A495F">
            <w:pPr>
              <w:spacing w:before="0" w:after="0"/>
              <w:jc w:val="center"/>
              <w:rPr>
                <w:rFonts w:cs="Arial"/>
                <w:szCs w:val="24"/>
                <w:lang w:val="en-US"/>
              </w:rPr>
            </w:pPr>
            <w:r>
              <w:rPr>
                <w:rFonts w:cs="Arial"/>
                <w:szCs w:val="24"/>
                <w:lang w:val="en-US"/>
              </w:rPr>
              <w:t>13 (86.7)</w:t>
            </w:r>
          </w:p>
        </w:tc>
      </w:tr>
      <w:tr w:rsidR="000069B7" w:rsidRPr="00B026C7" w14:paraId="772251A9" w14:textId="77777777" w:rsidTr="004A495F">
        <w:trPr>
          <w:trHeight w:val="567"/>
        </w:trPr>
        <w:tc>
          <w:tcPr>
            <w:tcW w:w="3686" w:type="dxa"/>
            <w:tcBorders>
              <w:top w:val="single" w:sz="4" w:space="0" w:color="7F7F7F"/>
              <w:bottom w:val="single" w:sz="4" w:space="0" w:color="7F7F7F"/>
            </w:tcBorders>
            <w:shd w:val="clear" w:color="auto" w:fill="auto"/>
          </w:tcPr>
          <w:p w14:paraId="08789AE6" w14:textId="77777777" w:rsidR="000069B7" w:rsidRPr="00B026C7" w:rsidRDefault="000069B7" w:rsidP="004A495F">
            <w:pPr>
              <w:spacing w:before="0" w:after="0"/>
              <w:rPr>
                <w:rFonts w:cs="Arial"/>
                <w:color w:val="202124"/>
                <w:szCs w:val="24"/>
                <w:shd w:val="clear" w:color="auto" w:fill="FFFFFF"/>
                <w:lang w:val="en-US"/>
              </w:rPr>
            </w:pPr>
            <w:r w:rsidRPr="00B026C7">
              <w:rPr>
                <w:rFonts w:cs="Arial"/>
                <w:color w:val="202124"/>
                <w:szCs w:val="24"/>
                <w:shd w:val="clear" w:color="auto" w:fill="FFFFFF"/>
                <w:lang w:val="en-US"/>
              </w:rPr>
              <w:lastRenderedPageBreak/>
              <w:t>Average cigarette consumption for smokers (cigarettes/day), median (range)</w:t>
            </w:r>
          </w:p>
        </w:tc>
        <w:tc>
          <w:tcPr>
            <w:tcW w:w="2693" w:type="dxa"/>
            <w:tcBorders>
              <w:top w:val="single" w:sz="4" w:space="0" w:color="7F7F7F"/>
              <w:bottom w:val="single" w:sz="4" w:space="0" w:color="7F7F7F"/>
            </w:tcBorders>
            <w:shd w:val="clear" w:color="auto" w:fill="auto"/>
          </w:tcPr>
          <w:p w14:paraId="15DB0CEC" w14:textId="77777777" w:rsidR="000069B7" w:rsidRPr="00B026C7" w:rsidRDefault="000069B7" w:rsidP="004A495F">
            <w:pPr>
              <w:spacing w:before="0" w:after="0"/>
              <w:jc w:val="center"/>
              <w:rPr>
                <w:rFonts w:cs="Arial"/>
                <w:szCs w:val="24"/>
                <w:lang w:val="en-US"/>
              </w:rPr>
            </w:pPr>
            <w:r>
              <w:rPr>
                <w:rFonts w:cs="Arial"/>
                <w:szCs w:val="24"/>
                <w:lang w:val="en-US"/>
              </w:rPr>
              <w:t>6 (5–8)</w:t>
            </w:r>
          </w:p>
        </w:tc>
        <w:tc>
          <w:tcPr>
            <w:tcW w:w="2693" w:type="dxa"/>
            <w:tcBorders>
              <w:top w:val="single" w:sz="4" w:space="0" w:color="7F7F7F"/>
              <w:bottom w:val="single" w:sz="4" w:space="0" w:color="7F7F7F"/>
            </w:tcBorders>
            <w:shd w:val="clear" w:color="auto" w:fill="auto"/>
          </w:tcPr>
          <w:p w14:paraId="0F8B8963" w14:textId="77777777" w:rsidR="000069B7" w:rsidRPr="00B026C7" w:rsidRDefault="000069B7" w:rsidP="004A495F">
            <w:pPr>
              <w:spacing w:before="0" w:after="0"/>
              <w:jc w:val="center"/>
              <w:rPr>
                <w:rFonts w:cs="Arial"/>
                <w:szCs w:val="24"/>
                <w:lang w:val="en-US"/>
              </w:rPr>
            </w:pPr>
            <w:r>
              <w:rPr>
                <w:rFonts w:cs="Arial"/>
                <w:szCs w:val="24"/>
                <w:lang w:val="en-US"/>
              </w:rPr>
              <w:t>9 (8–10)</w:t>
            </w:r>
          </w:p>
        </w:tc>
      </w:tr>
    </w:tbl>
    <w:p w14:paraId="7AA3B129" w14:textId="77777777" w:rsidR="000069B7" w:rsidRPr="00B026C7" w:rsidRDefault="000069B7" w:rsidP="000069B7">
      <w:pPr>
        <w:spacing w:line="480" w:lineRule="auto"/>
        <w:rPr>
          <w:rFonts w:cs="Arial"/>
          <w:szCs w:val="24"/>
          <w:lang w:val="en-US"/>
        </w:rPr>
      </w:pPr>
      <w:r w:rsidRPr="00B026C7">
        <w:rPr>
          <w:rFonts w:cs="Arial"/>
          <w:szCs w:val="24"/>
          <w:vertAlign w:val="superscript"/>
          <w:lang w:val="en-US"/>
        </w:rPr>
        <w:t>a</w:t>
      </w:r>
      <w:r w:rsidRPr="00B026C7">
        <w:rPr>
          <w:rFonts w:cs="Arial"/>
          <w:szCs w:val="24"/>
          <w:lang w:val="en-US"/>
        </w:rPr>
        <w:t>Stratification factor for randomization.</w:t>
      </w:r>
      <w:r>
        <w:rPr>
          <w:rFonts w:cs="Arial"/>
          <w:szCs w:val="24"/>
          <w:lang w:val="en-US"/>
        </w:rPr>
        <w:br/>
      </w:r>
      <w:r w:rsidRPr="00B026C7">
        <w:rPr>
          <w:rFonts w:cs="Arial"/>
          <w:szCs w:val="24"/>
          <w:vertAlign w:val="superscript"/>
          <w:lang w:val="en-US"/>
        </w:rPr>
        <w:t>b</w:t>
      </w:r>
      <w:r w:rsidRPr="00B026C7">
        <w:rPr>
          <w:rFonts w:cs="Arial"/>
          <w:szCs w:val="24"/>
          <w:lang w:val="en-US"/>
        </w:rPr>
        <w:t xml:space="preserve">For participants whose Day −1 assessments were omitted, screening body weight was used. </w:t>
      </w:r>
      <w:r>
        <w:rPr>
          <w:rFonts w:cs="Arial"/>
          <w:szCs w:val="24"/>
          <w:lang w:val="en-US"/>
        </w:rPr>
        <w:br/>
      </w:r>
      <w:r w:rsidRPr="00B026C7">
        <w:rPr>
          <w:rFonts w:cs="Arial"/>
          <w:szCs w:val="24"/>
          <w:lang w:val="en-US"/>
        </w:rPr>
        <w:t>BMI = body mass index. EU-tocilizumab = European Union-approved reference tocilizumab.</w:t>
      </w:r>
    </w:p>
    <w:p w14:paraId="74D059F8" w14:textId="77777777" w:rsidR="000069B7" w:rsidRDefault="000069B7" w:rsidP="000069B7">
      <w:pPr>
        <w:spacing w:before="0" w:after="160" w:line="259" w:lineRule="auto"/>
        <w:rPr>
          <w:rFonts w:eastAsia="Times New Roman"/>
          <w:b/>
          <w:bCs/>
          <w:szCs w:val="26"/>
          <w:lang w:val="en-US"/>
        </w:rPr>
      </w:pPr>
      <w:r>
        <w:br w:type="page"/>
      </w:r>
    </w:p>
    <w:p w14:paraId="78186478" w14:textId="77777777" w:rsidR="000069B7" w:rsidRPr="00B026C7" w:rsidRDefault="000069B7" w:rsidP="000069B7">
      <w:pPr>
        <w:pStyle w:val="Heading2"/>
        <w:rPr>
          <w:b w:val="0"/>
        </w:rPr>
      </w:pPr>
      <w:bookmarkStart w:id="9" w:name="_Toc130216892"/>
      <w:r>
        <w:lastRenderedPageBreak/>
        <w:t xml:space="preserve">Supplementary </w:t>
      </w:r>
      <w:r w:rsidRPr="00B026C7">
        <w:t xml:space="preserve">Table </w:t>
      </w:r>
      <w:r>
        <w:t>3</w:t>
      </w:r>
      <w:r w:rsidRPr="00B026C7">
        <w:t xml:space="preserve">. </w:t>
      </w:r>
      <w:r w:rsidRPr="00B026C7">
        <w:rPr>
          <w:b w:val="0"/>
          <w:bCs w:val="0"/>
        </w:rPr>
        <w:t>Summary of TEAEs (safety set</w:t>
      </w:r>
      <w:r>
        <w:rPr>
          <w:b w:val="0"/>
          <w:bCs w:val="0"/>
        </w:rPr>
        <w:t>; Part 1</w:t>
      </w:r>
      <w:r w:rsidRPr="00B026C7">
        <w:rPr>
          <w:b w:val="0"/>
          <w:bCs w:val="0"/>
        </w:rPr>
        <w:t>).</w:t>
      </w:r>
      <w:bookmarkEnd w:id="9"/>
    </w:p>
    <w:tbl>
      <w:tblPr>
        <w:tblW w:w="9072" w:type="dxa"/>
        <w:tblBorders>
          <w:top w:val="single" w:sz="4" w:space="0" w:color="7F7F7F"/>
          <w:bottom w:val="single" w:sz="4" w:space="0" w:color="7F7F7F"/>
        </w:tblBorders>
        <w:tblLook w:val="04A0" w:firstRow="1" w:lastRow="0" w:firstColumn="1" w:lastColumn="0" w:noHBand="0" w:noVBand="1"/>
      </w:tblPr>
      <w:tblGrid>
        <w:gridCol w:w="4674"/>
        <w:gridCol w:w="2199"/>
        <w:gridCol w:w="2199"/>
      </w:tblGrid>
      <w:tr w:rsidR="000069B7" w:rsidRPr="00B026C7" w14:paraId="302399A6" w14:textId="77777777" w:rsidTr="004A495F">
        <w:trPr>
          <w:trHeight w:val="567"/>
        </w:trPr>
        <w:tc>
          <w:tcPr>
            <w:tcW w:w="4674" w:type="dxa"/>
            <w:tcBorders>
              <w:bottom w:val="single" w:sz="4" w:space="0" w:color="7F7F7F"/>
            </w:tcBorders>
            <w:shd w:val="clear" w:color="auto" w:fill="auto"/>
          </w:tcPr>
          <w:p w14:paraId="5AD346A7" w14:textId="77777777" w:rsidR="000069B7" w:rsidRPr="00B026C7" w:rsidRDefault="000069B7" w:rsidP="004A495F">
            <w:pPr>
              <w:spacing w:before="0" w:after="0"/>
              <w:rPr>
                <w:rFonts w:cs="Arial"/>
                <w:b/>
                <w:bCs/>
                <w:lang w:val="en-US"/>
              </w:rPr>
            </w:pPr>
            <w:bookmarkStart w:id="10" w:name="_Hlk118647722"/>
          </w:p>
        </w:tc>
        <w:tc>
          <w:tcPr>
            <w:tcW w:w="2199" w:type="dxa"/>
            <w:tcBorders>
              <w:bottom w:val="single" w:sz="4" w:space="0" w:color="7F7F7F"/>
            </w:tcBorders>
            <w:shd w:val="clear" w:color="auto" w:fill="auto"/>
          </w:tcPr>
          <w:p w14:paraId="764A66A2" w14:textId="77777777" w:rsidR="000069B7" w:rsidRPr="00B026C7" w:rsidRDefault="000069B7" w:rsidP="004A495F">
            <w:pPr>
              <w:spacing w:before="0" w:after="0"/>
              <w:jc w:val="center"/>
              <w:rPr>
                <w:rFonts w:cs="Arial"/>
                <w:b/>
                <w:bCs/>
                <w:lang w:val="en-US"/>
              </w:rPr>
            </w:pPr>
            <w:r w:rsidRPr="00B026C7">
              <w:rPr>
                <w:rFonts w:cs="Arial"/>
                <w:b/>
                <w:bCs/>
                <w:lang w:val="en-US"/>
              </w:rPr>
              <w:t>CT-P47</w:t>
            </w:r>
          </w:p>
          <w:p w14:paraId="1F503942" w14:textId="77777777" w:rsidR="000069B7" w:rsidRPr="00B026C7" w:rsidRDefault="000069B7" w:rsidP="004A495F">
            <w:pPr>
              <w:spacing w:before="0" w:after="0"/>
              <w:jc w:val="center"/>
              <w:rPr>
                <w:rFonts w:cs="Arial"/>
                <w:b/>
                <w:bCs/>
                <w:lang w:val="en-US"/>
              </w:rPr>
            </w:pPr>
            <w:r w:rsidRPr="00B026C7">
              <w:rPr>
                <w:rFonts w:cs="Arial"/>
                <w:b/>
                <w:bCs/>
                <w:lang w:val="en-US"/>
              </w:rPr>
              <w:t>(N=14)</w:t>
            </w:r>
          </w:p>
        </w:tc>
        <w:tc>
          <w:tcPr>
            <w:tcW w:w="2199" w:type="dxa"/>
            <w:tcBorders>
              <w:bottom w:val="single" w:sz="4" w:space="0" w:color="7F7F7F"/>
            </w:tcBorders>
          </w:tcPr>
          <w:p w14:paraId="63B15BBC" w14:textId="77777777" w:rsidR="000069B7" w:rsidRPr="00B026C7" w:rsidRDefault="000069B7" w:rsidP="004A495F">
            <w:pPr>
              <w:spacing w:before="0" w:after="0"/>
              <w:jc w:val="center"/>
              <w:rPr>
                <w:rFonts w:cs="Arial"/>
                <w:b/>
                <w:bCs/>
                <w:lang w:val="en-US"/>
              </w:rPr>
            </w:pPr>
            <w:r w:rsidRPr="00B026C7">
              <w:rPr>
                <w:rFonts w:cs="Arial"/>
                <w:b/>
                <w:bCs/>
                <w:lang w:val="en-US"/>
              </w:rPr>
              <w:t>EU-tocilizumab</w:t>
            </w:r>
          </w:p>
          <w:p w14:paraId="2619356F" w14:textId="77777777" w:rsidR="000069B7" w:rsidRPr="00B026C7" w:rsidRDefault="000069B7" w:rsidP="004A495F">
            <w:pPr>
              <w:spacing w:before="0" w:after="0"/>
              <w:jc w:val="center"/>
              <w:rPr>
                <w:rFonts w:cs="Arial"/>
                <w:b/>
                <w:bCs/>
                <w:lang w:val="en-US"/>
              </w:rPr>
            </w:pPr>
            <w:r w:rsidRPr="00B026C7">
              <w:rPr>
                <w:rFonts w:cs="Arial"/>
                <w:b/>
                <w:bCs/>
                <w:lang w:val="en-US"/>
              </w:rPr>
              <w:t>(N=1</w:t>
            </w:r>
            <w:r>
              <w:rPr>
                <w:rFonts w:cs="Arial"/>
                <w:b/>
                <w:bCs/>
                <w:lang w:val="en-US"/>
              </w:rPr>
              <w:t>5</w:t>
            </w:r>
            <w:r w:rsidRPr="00B026C7">
              <w:rPr>
                <w:rFonts w:cs="Arial"/>
                <w:b/>
                <w:bCs/>
                <w:lang w:val="en-US"/>
              </w:rPr>
              <w:t>)</w:t>
            </w:r>
          </w:p>
        </w:tc>
      </w:tr>
      <w:tr w:rsidR="000069B7" w:rsidRPr="00B026C7" w14:paraId="330EDF16" w14:textId="77777777" w:rsidTr="004A495F">
        <w:trPr>
          <w:trHeight w:val="567"/>
        </w:trPr>
        <w:tc>
          <w:tcPr>
            <w:tcW w:w="4674" w:type="dxa"/>
            <w:tcBorders>
              <w:top w:val="single" w:sz="4" w:space="0" w:color="7F7F7F"/>
              <w:bottom w:val="single" w:sz="4" w:space="0" w:color="7F7F7F"/>
            </w:tcBorders>
            <w:shd w:val="clear" w:color="auto" w:fill="auto"/>
          </w:tcPr>
          <w:p w14:paraId="60CA433A" w14:textId="77777777" w:rsidR="000069B7" w:rsidRPr="00B026C7" w:rsidRDefault="000069B7" w:rsidP="004A495F">
            <w:pPr>
              <w:spacing w:before="0" w:after="0"/>
              <w:rPr>
                <w:rFonts w:cs="Arial"/>
                <w:lang w:val="en-US"/>
              </w:rPr>
            </w:pPr>
            <w:r w:rsidRPr="00B026C7">
              <w:rPr>
                <w:rFonts w:cs="Arial"/>
                <w:lang w:val="en-US"/>
              </w:rPr>
              <w:t>Total number of TEAEs</w:t>
            </w:r>
          </w:p>
        </w:tc>
        <w:tc>
          <w:tcPr>
            <w:tcW w:w="2199" w:type="dxa"/>
            <w:tcBorders>
              <w:top w:val="single" w:sz="4" w:space="0" w:color="7F7F7F"/>
              <w:bottom w:val="single" w:sz="4" w:space="0" w:color="7F7F7F"/>
            </w:tcBorders>
            <w:shd w:val="clear" w:color="auto" w:fill="auto"/>
          </w:tcPr>
          <w:p w14:paraId="4A8204AD" w14:textId="77777777" w:rsidR="000069B7" w:rsidRPr="00B026C7" w:rsidRDefault="000069B7" w:rsidP="004A495F">
            <w:pPr>
              <w:spacing w:before="0" w:after="0"/>
              <w:jc w:val="center"/>
              <w:rPr>
                <w:rFonts w:cs="Arial"/>
                <w:lang w:val="en-US"/>
              </w:rPr>
            </w:pPr>
            <w:r>
              <w:rPr>
                <w:rFonts w:cs="Arial"/>
                <w:lang w:val="en-US"/>
              </w:rPr>
              <w:t>6</w:t>
            </w:r>
          </w:p>
        </w:tc>
        <w:tc>
          <w:tcPr>
            <w:tcW w:w="2199" w:type="dxa"/>
            <w:tcBorders>
              <w:top w:val="single" w:sz="4" w:space="0" w:color="7F7F7F"/>
              <w:bottom w:val="single" w:sz="4" w:space="0" w:color="7F7F7F"/>
            </w:tcBorders>
          </w:tcPr>
          <w:p w14:paraId="78FA3D4E" w14:textId="77777777" w:rsidR="000069B7" w:rsidRPr="00B026C7" w:rsidRDefault="000069B7" w:rsidP="004A495F">
            <w:pPr>
              <w:spacing w:before="0" w:after="0"/>
              <w:jc w:val="center"/>
              <w:rPr>
                <w:rFonts w:cs="Arial"/>
                <w:lang w:val="en-US"/>
              </w:rPr>
            </w:pPr>
            <w:r>
              <w:rPr>
                <w:rFonts w:cs="Arial"/>
                <w:lang w:val="en-US"/>
              </w:rPr>
              <w:t>11</w:t>
            </w:r>
          </w:p>
        </w:tc>
      </w:tr>
      <w:tr w:rsidR="000069B7" w:rsidRPr="00B026C7" w14:paraId="1D04FFDF" w14:textId="77777777" w:rsidTr="004A495F">
        <w:trPr>
          <w:trHeight w:val="567"/>
        </w:trPr>
        <w:tc>
          <w:tcPr>
            <w:tcW w:w="4674" w:type="dxa"/>
            <w:tcBorders>
              <w:top w:val="single" w:sz="4" w:space="0" w:color="7F7F7F"/>
              <w:bottom w:val="single" w:sz="4" w:space="0" w:color="auto"/>
            </w:tcBorders>
            <w:shd w:val="clear" w:color="auto" w:fill="auto"/>
          </w:tcPr>
          <w:p w14:paraId="5C910B4F" w14:textId="77777777" w:rsidR="000069B7" w:rsidRPr="00B026C7" w:rsidRDefault="000069B7" w:rsidP="004A495F">
            <w:pPr>
              <w:spacing w:before="0" w:after="0"/>
              <w:rPr>
                <w:rFonts w:cs="Arial"/>
                <w:lang w:val="en-US"/>
              </w:rPr>
            </w:pPr>
            <w:r w:rsidRPr="00B026C7">
              <w:rPr>
                <w:rFonts w:cs="Arial"/>
                <w:lang w:val="en-US"/>
              </w:rPr>
              <w:t>Participants with ≥1 TEAE, n (%)</w:t>
            </w:r>
          </w:p>
        </w:tc>
        <w:tc>
          <w:tcPr>
            <w:tcW w:w="2199" w:type="dxa"/>
            <w:tcBorders>
              <w:top w:val="single" w:sz="4" w:space="0" w:color="7F7F7F"/>
              <w:bottom w:val="single" w:sz="4" w:space="0" w:color="auto"/>
            </w:tcBorders>
            <w:shd w:val="clear" w:color="auto" w:fill="auto"/>
          </w:tcPr>
          <w:p w14:paraId="436BB801" w14:textId="77777777" w:rsidR="000069B7" w:rsidRPr="00B026C7" w:rsidRDefault="000069B7" w:rsidP="004A495F">
            <w:pPr>
              <w:spacing w:before="0" w:after="0"/>
              <w:jc w:val="center"/>
              <w:rPr>
                <w:rFonts w:cs="Arial"/>
                <w:lang w:val="en-US"/>
              </w:rPr>
            </w:pPr>
            <w:r>
              <w:rPr>
                <w:rFonts w:cs="Arial"/>
                <w:lang w:val="en-US"/>
              </w:rPr>
              <w:t>5 (35.7)</w:t>
            </w:r>
          </w:p>
        </w:tc>
        <w:tc>
          <w:tcPr>
            <w:tcW w:w="2199" w:type="dxa"/>
            <w:tcBorders>
              <w:top w:val="single" w:sz="4" w:space="0" w:color="7F7F7F"/>
              <w:bottom w:val="single" w:sz="4" w:space="0" w:color="auto"/>
            </w:tcBorders>
          </w:tcPr>
          <w:p w14:paraId="167EE432" w14:textId="77777777" w:rsidR="000069B7" w:rsidRPr="00B026C7" w:rsidRDefault="000069B7" w:rsidP="004A495F">
            <w:pPr>
              <w:spacing w:before="0" w:after="0"/>
              <w:jc w:val="center"/>
              <w:rPr>
                <w:rFonts w:cs="Arial"/>
                <w:lang w:val="en-US"/>
              </w:rPr>
            </w:pPr>
            <w:r>
              <w:rPr>
                <w:rFonts w:cs="Arial"/>
                <w:lang w:val="en-US"/>
              </w:rPr>
              <w:t>7 (46.7)</w:t>
            </w:r>
          </w:p>
        </w:tc>
      </w:tr>
      <w:tr w:rsidR="000069B7" w:rsidRPr="00B026C7" w14:paraId="3ED21E2D" w14:textId="77777777" w:rsidTr="004A495F">
        <w:trPr>
          <w:trHeight w:val="567"/>
        </w:trPr>
        <w:tc>
          <w:tcPr>
            <w:tcW w:w="4674" w:type="dxa"/>
            <w:tcBorders>
              <w:top w:val="single" w:sz="4" w:space="0" w:color="auto"/>
              <w:bottom w:val="single" w:sz="4" w:space="0" w:color="auto"/>
            </w:tcBorders>
            <w:shd w:val="clear" w:color="auto" w:fill="auto"/>
          </w:tcPr>
          <w:p w14:paraId="63D8E035" w14:textId="77777777" w:rsidR="000069B7" w:rsidRPr="00B026C7" w:rsidRDefault="000069B7" w:rsidP="004A495F">
            <w:pPr>
              <w:spacing w:before="0" w:after="0"/>
              <w:ind w:left="321"/>
              <w:rPr>
                <w:rFonts w:cs="Arial"/>
                <w:lang w:val="en-US"/>
              </w:rPr>
            </w:pPr>
            <w:r w:rsidRPr="00B026C7">
              <w:rPr>
                <w:rFonts w:cs="Arial"/>
                <w:lang w:val="en-US"/>
              </w:rPr>
              <w:t>≥1 study drug-related TEAE</w:t>
            </w:r>
          </w:p>
        </w:tc>
        <w:tc>
          <w:tcPr>
            <w:tcW w:w="2199" w:type="dxa"/>
            <w:tcBorders>
              <w:top w:val="single" w:sz="4" w:space="0" w:color="auto"/>
              <w:bottom w:val="single" w:sz="4" w:space="0" w:color="auto"/>
            </w:tcBorders>
            <w:shd w:val="clear" w:color="auto" w:fill="auto"/>
          </w:tcPr>
          <w:p w14:paraId="121E3510" w14:textId="77777777" w:rsidR="000069B7" w:rsidRPr="00B026C7" w:rsidRDefault="000069B7" w:rsidP="004A495F">
            <w:pPr>
              <w:spacing w:before="0" w:after="0"/>
              <w:jc w:val="center"/>
              <w:rPr>
                <w:rFonts w:cs="Arial"/>
                <w:lang w:val="en-US"/>
              </w:rPr>
            </w:pPr>
            <w:r>
              <w:rPr>
                <w:rFonts w:cs="Arial"/>
                <w:lang w:val="en-US"/>
              </w:rPr>
              <w:t>5 (35.7)</w:t>
            </w:r>
          </w:p>
        </w:tc>
        <w:tc>
          <w:tcPr>
            <w:tcW w:w="2199" w:type="dxa"/>
            <w:tcBorders>
              <w:top w:val="single" w:sz="4" w:space="0" w:color="auto"/>
              <w:bottom w:val="single" w:sz="4" w:space="0" w:color="auto"/>
            </w:tcBorders>
          </w:tcPr>
          <w:p w14:paraId="2BE65831" w14:textId="77777777" w:rsidR="000069B7" w:rsidRPr="00B026C7" w:rsidRDefault="000069B7" w:rsidP="004A495F">
            <w:pPr>
              <w:spacing w:before="0" w:after="0"/>
              <w:jc w:val="center"/>
              <w:rPr>
                <w:rFonts w:cs="Arial"/>
                <w:lang w:val="en-US"/>
              </w:rPr>
            </w:pPr>
            <w:r>
              <w:rPr>
                <w:rFonts w:cs="Arial"/>
                <w:lang w:val="en-US"/>
              </w:rPr>
              <w:t>6 (40.0)</w:t>
            </w:r>
          </w:p>
        </w:tc>
      </w:tr>
      <w:tr w:rsidR="000069B7" w:rsidRPr="00B026C7" w14:paraId="69089221" w14:textId="77777777" w:rsidTr="004A495F">
        <w:trPr>
          <w:trHeight w:val="567"/>
        </w:trPr>
        <w:tc>
          <w:tcPr>
            <w:tcW w:w="4674" w:type="dxa"/>
            <w:tcBorders>
              <w:top w:val="single" w:sz="4" w:space="0" w:color="auto"/>
              <w:bottom w:val="single" w:sz="4" w:space="0" w:color="auto"/>
            </w:tcBorders>
            <w:shd w:val="clear" w:color="auto" w:fill="auto"/>
          </w:tcPr>
          <w:p w14:paraId="1DDC7E0A" w14:textId="77777777" w:rsidR="000069B7" w:rsidRPr="00B026C7" w:rsidDel="00B25125" w:rsidRDefault="000069B7" w:rsidP="004A495F">
            <w:pPr>
              <w:spacing w:before="0" w:after="0"/>
              <w:ind w:left="321"/>
              <w:rPr>
                <w:rFonts w:cs="Arial"/>
                <w:lang w:val="en-US"/>
              </w:rPr>
            </w:pPr>
            <w:r w:rsidRPr="00B026C7">
              <w:rPr>
                <w:rFonts w:cs="Arial"/>
                <w:lang w:val="en-US"/>
              </w:rPr>
              <w:t>≥1 grade 3 TEAE</w:t>
            </w:r>
          </w:p>
        </w:tc>
        <w:tc>
          <w:tcPr>
            <w:tcW w:w="2199" w:type="dxa"/>
            <w:tcBorders>
              <w:top w:val="single" w:sz="4" w:space="0" w:color="auto"/>
              <w:bottom w:val="single" w:sz="4" w:space="0" w:color="auto"/>
            </w:tcBorders>
            <w:shd w:val="clear" w:color="auto" w:fill="auto"/>
          </w:tcPr>
          <w:p w14:paraId="2EDC095F" w14:textId="77777777" w:rsidR="000069B7" w:rsidRPr="000B34AC" w:rsidRDefault="000069B7" w:rsidP="004A495F">
            <w:pPr>
              <w:spacing w:before="0" w:after="0"/>
              <w:jc w:val="center"/>
              <w:rPr>
                <w:rFonts w:cs="Arial"/>
                <w:vertAlign w:val="superscript"/>
                <w:lang w:val="en-US"/>
              </w:rPr>
            </w:pPr>
            <w:r>
              <w:rPr>
                <w:rFonts w:cs="Arial"/>
                <w:lang w:val="en-US"/>
              </w:rPr>
              <w:t>1 (7.1)</w:t>
            </w:r>
            <w:r>
              <w:rPr>
                <w:rFonts w:cs="Arial"/>
                <w:vertAlign w:val="superscript"/>
                <w:lang w:val="en-US"/>
              </w:rPr>
              <w:t>a</w:t>
            </w:r>
          </w:p>
        </w:tc>
        <w:tc>
          <w:tcPr>
            <w:tcW w:w="2199" w:type="dxa"/>
            <w:tcBorders>
              <w:top w:val="single" w:sz="4" w:space="0" w:color="auto"/>
              <w:bottom w:val="single" w:sz="4" w:space="0" w:color="auto"/>
            </w:tcBorders>
          </w:tcPr>
          <w:p w14:paraId="4A603CC8" w14:textId="77777777" w:rsidR="000069B7" w:rsidRPr="00B026C7" w:rsidRDefault="000069B7" w:rsidP="004A495F">
            <w:pPr>
              <w:spacing w:before="0" w:after="0"/>
              <w:jc w:val="center"/>
              <w:rPr>
                <w:rFonts w:cs="Arial"/>
                <w:lang w:val="en-US"/>
              </w:rPr>
            </w:pPr>
            <w:r>
              <w:rPr>
                <w:rFonts w:cs="Arial"/>
                <w:lang w:val="en-US"/>
              </w:rPr>
              <w:t>0</w:t>
            </w:r>
          </w:p>
        </w:tc>
      </w:tr>
      <w:tr w:rsidR="000069B7" w:rsidRPr="00B026C7" w14:paraId="09D7FD80" w14:textId="77777777" w:rsidTr="004A495F">
        <w:trPr>
          <w:trHeight w:val="567"/>
        </w:trPr>
        <w:tc>
          <w:tcPr>
            <w:tcW w:w="4674" w:type="dxa"/>
            <w:tcBorders>
              <w:top w:val="single" w:sz="4" w:space="0" w:color="auto"/>
              <w:bottom w:val="single" w:sz="4" w:space="0" w:color="7F7F7F"/>
            </w:tcBorders>
            <w:shd w:val="clear" w:color="auto" w:fill="auto"/>
          </w:tcPr>
          <w:p w14:paraId="08DAF527" w14:textId="77777777" w:rsidR="000069B7" w:rsidRPr="00B026C7" w:rsidDel="00B25125" w:rsidRDefault="000069B7" w:rsidP="004A495F">
            <w:pPr>
              <w:spacing w:before="0" w:after="0"/>
              <w:ind w:left="321"/>
              <w:rPr>
                <w:rFonts w:cs="Arial"/>
                <w:lang w:val="en-US"/>
              </w:rPr>
            </w:pPr>
            <w:r w:rsidRPr="00B026C7">
              <w:rPr>
                <w:rFonts w:cs="Arial"/>
                <w:lang w:val="en-US"/>
              </w:rPr>
              <w:t>≥1 grade 4 TEAE</w:t>
            </w:r>
          </w:p>
        </w:tc>
        <w:tc>
          <w:tcPr>
            <w:tcW w:w="2199" w:type="dxa"/>
            <w:tcBorders>
              <w:top w:val="single" w:sz="4" w:space="0" w:color="auto"/>
              <w:bottom w:val="single" w:sz="4" w:space="0" w:color="7F7F7F"/>
            </w:tcBorders>
            <w:shd w:val="clear" w:color="auto" w:fill="auto"/>
          </w:tcPr>
          <w:p w14:paraId="52FB81A1" w14:textId="77777777" w:rsidR="000069B7" w:rsidRPr="00B026C7" w:rsidRDefault="000069B7" w:rsidP="004A495F">
            <w:pPr>
              <w:spacing w:before="0" w:after="0"/>
              <w:jc w:val="center"/>
              <w:rPr>
                <w:rFonts w:cs="Arial"/>
                <w:lang w:val="en-US"/>
              </w:rPr>
            </w:pPr>
            <w:r>
              <w:rPr>
                <w:rFonts w:cs="Arial"/>
                <w:lang w:val="en-US"/>
              </w:rPr>
              <w:t>0</w:t>
            </w:r>
          </w:p>
        </w:tc>
        <w:tc>
          <w:tcPr>
            <w:tcW w:w="2199" w:type="dxa"/>
            <w:tcBorders>
              <w:top w:val="single" w:sz="4" w:space="0" w:color="auto"/>
              <w:bottom w:val="single" w:sz="4" w:space="0" w:color="7F7F7F"/>
            </w:tcBorders>
          </w:tcPr>
          <w:p w14:paraId="15A8DAA1" w14:textId="77777777" w:rsidR="000069B7" w:rsidRPr="000B34AC" w:rsidRDefault="000069B7" w:rsidP="004A495F">
            <w:pPr>
              <w:spacing w:before="0" w:after="0"/>
              <w:jc w:val="center"/>
              <w:rPr>
                <w:rFonts w:cs="Arial"/>
                <w:vertAlign w:val="superscript"/>
                <w:lang w:val="en-US"/>
              </w:rPr>
            </w:pPr>
            <w:r>
              <w:rPr>
                <w:rFonts w:cs="Arial"/>
                <w:lang w:val="en-US"/>
              </w:rPr>
              <w:t>2 (13.3)</w:t>
            </w:r>
            <w:r>
              <w:rPr>
                <w:rFonts w:cs="Arial"/>
                <w:vertAlign w:val="superscript"/>
                <w:lang w:val="en-US"/>
              </w:rPr>
              <w:t>b</w:t>
            </w:r>
          </w:p>
        </w:tc>
      </w:tr>
      <w:tr w:rsidR="000069B7" w:rsidRPr="00B026C7" w14:paraId="09787DA8" w14:textId="77777777" w:rsidTr="004A495F">
        <w:trPr>
          <w:trHeight w:val="567"/>
        </w:trPr>
        <w:tc>
          <w:tcPr>
            <w:tcW w:w="4674" w:type="dxa"/>
            <w:tcBorders>
              <w:top w:val="single" w:sz="4" w:space="0" w:color="7F7F7F"/>
              <w:bottom w:val="single" w:sz="4" w:space="0" w:color="7F7F7F"/>
            </w:tcBorders>
            <w:shd w:val="clear" w:color="auto" w:fill="auto"/>
          </w:tcPr>
          <w:p w14:paraId="3E24D504" w14:textId="77777777" w:rsidR="000069B7" w:rsidRPr="00B026C7" w:rsidRDefault="000069B7" w:rsidP="004A495F">
            <w:pPr>
              <w:spacing w:before="0" w:after="0"/>
              <w:rPr>
                <w:rFonts w:cs="Arial"/>
                <w:lang w:val="en-US"/>
              </w:rPr>
            </w:pPr>
            <w:r w:rsidRPr="00B026C7">
              <w:rPr>
                <w:rFonts w:cs="Arial"/>
                <w:lang w:val="en-US"/>
              </w:rPr>
              <w:t>Participants with ≥1 TESAE, n (%)</w:t>
            </w:r>
          </w:p>
        </w:tc>
        <w:tc>
          <w:tcPr>
            <w:tcW w:w="2199" w:type="dxa"/>
            <w:tcBorders>
              <w:top w:val="single" w:sz="4" w:space="0" w:color="7F7F7F"/>
              <w:bottom w:val="single" w:sz="4" w:space="0" w:color="7F7F7F"/>
            </w:tcBorders>
            <w:shd w:val="clear" w:color="auto" w:fill="auto"/>
          </w:tcPr>
          <w:p w14:paraId="260CD92A" w14:textId="77777777" w:rsidR="000069B7" w:rsidRPr="00B026C7" w:rsidRDefault="000069B7" w:rsidP="004A495F">
            <w:pPr>
              <w:spacing w:before="0" w:after="0"/>
              <w:jc w:val="center"/>
              <w:rPr>
                <w:rFonts w:cs="Arial"/>
                <w:lang w:val="en-US"/>
              </w:rPr>
            </w:pPr>
            <w:r>
              <w:rPr>
                <w:rFonts w:cs="Arial"/>
                <w:lang w:val="en-US"/>
              </w:rPr>
              <w:t>0</w:t>
            </w:r>
          </w:p>
        </w:tc>
        <w:tc>
          <w:tcPr>
            <w:tcW w:w="2199" w:type="dxa"/>
            <w:tcBorders>
              <w:top w:val="single" w:sz="4" w:space="0" w:color="7F7F7F"/>
              <w:bottom w:val="single" w:sz="4" w:space="0" w:color="7F7F7F"/>
            </w:tcBorders>
          </w:tcPr>
          <w:p w14:paraId="55F3EA83" w14:textId="77777777" w:rsidR="000069B7" w:rsidRPr="00B026C7" w:rsidRDefault="000069B7" w:rsidP="004A495F">
            <w:pPr>
              <w:spacing w:before="0" w:after="0"/>
              <w:jc w:val="center"/>
              <w:rPr>
                <w:rFonts w:cs="Arial"/>
                <w:lang w:val="en-US"/>
              </w:rPr>
            </w:pPr>
            <w:r>
              <w:rPr>
                <w:rFonts w:cs="Arial"/>
                <w:lang w:val="en-US"/>
              </w:rPr>
              <w:t>0</w:t>
            </w:r>
          </w:p>
        </w:tc>
      </w:tr>
      <w:tr w:rsidR="000069B7" w:rsidRPr="00B026C7" w14:paraId="1ECC7D9D" w14:textId="77777777" w:rsidTr="004A495F">
        <w:trPr>
          <w:trHeight w:val="567"/>
        </w:trPr>
        <w:tc>
          <w:tcPr>
            <w:tcW w:w="4674" w:type="dxa"/>
            <w:tcBorders>
              <w:top w:val="single" w:sz="4" w:space="0" w:color="7F7F7F"/>
              <w:bottom w:val="single" w:sz="4" w:space="0" w:color="7F7F7F"/>
            </w:tcBorders>
            <w:shd w:val="clear" w:color="auto" w:fill="auto"/>
          </w:tcPr>
          <w:p w14:paraId="6E79563E" w14:textId="77777777" w:rsidR="000069B7" w:rsidRPr="00B026C7" w:rsidDel="00B25125" w:rsidRDefault="000069B7" w:rsidP="004A495F">
            <w:pPr>
              <w:spacing w:before="0" w:after="0"/>
              <w:rPr>
                <w:rFonts w:cs="Arial"/>
                <w:lang w:val="en-US"/>
              </w:rPr>
            </w:pPr>
            <w:r w:rsidRPr="00B026C7">
              <w:rPr>
                <w:rFonts w:cs="Arial"/>
                <w:lang w:val="en-US"/>
              </w:rPr>
              <w:t>Participants with ≥1 TEAE leading to study drug discontinuation, n (%)</w:t>
            </w:r>
          </w:p>
        </w:tc>
        <w:tc>
          <w:tcPr>
            <w:tcW w:w="2199" w:type="dxa"/>
            <w:tcBorders>
              <w:top w:val="single" w:sz="4" w:space="0" w:color="7F7F7F"/>
              <w:bottom w:val="single" w:sz="4" w:space="0" w:color="7F7F7F"/>
            </w:tcBorders>
            <w:shd w:val="clear" w:color="auto" w:fill="auto"/>
          </w:tcPr>
          <w:p w14:paraId="3FEE7BEA" w14:textId="77777777" w:rsidR="000069B7" w:rsidRPr="00B026C7" w:rsidRDefault="000069B7" w:rsidP="004A495F">
            <w:pPr>
              <w:spacing w:before="0" w:after="0"/>
              <w:jc w:val="center"/>
              <w:rPr>
                <w:rFonts w:cs="Arial"/>
                <w:lang w:val="en-US"/>
              </w:rPr>
            </w:pPr>
            <w:r>
              <w:rPr>
                <w:rFonts w:cs="Arial"/>
                <w:lang w:val="en-US"/>
              </w:rPr>
              <w:t>0</w:t>
            </w:r>
          </w:p>
        </w:tc>
        <w:tc>
          <w:tcPr>
            <w:tcW w:w="2199" w:type="dxa"/>
            <w:tcBorders>
              <w:top w:val="single" w:sz="4" w:space="0" w:color="7F7F7F"/>
              <w:bottom w:val="single" w:sz="4" w:space="0" w:color="7F7F7F"/>
            </w:tcBorders>
          </w:tcPr>
          <w:p w14:paraId="3B148F5C" w14:textId="77777777" w:rsidR="000069B7" w:rsidRPr="00B026C7" w:rsidRDefault="000069B7" w:rsidP="004A495F">
            <w:pPr>
              <w:spacing w:before="0" w:after="0"/>
              <w:jc w:val="center"/>
              <w:rPr>
                <w:rFonts w:cs="Arial"/>
                <w:lang w:val="en-US"/>
              </w:rPr>
            </w:pPr>
            <w:r>
              <w:rPr>
                <w:rFonts w:cs="Arial"/>
                <w:lang w:val="en-US"/>
              </w:rPr>
              <w:t>0</w:t>
            </w:r>
          </w:p>
        </w:tc>
      </w:tr>
      <w:tr w:rsidR="000069B7" w:rsidRPr="00B026C7" w14:paraId="42FB27FF" w14:textId="77777777" w:rsidTr="004A495F">
        <w:trPr>
          <w:trHeight w:val="567"/>
        </w:trPr>
        <w:tc>
          <w:tcPr>
            <w:tcW w:w="4674" w:type="dxa"/>
            <w:tcBorders>
              <w:top w:val="single" w:sz="4" w:space="0" w:color="7F7F7F"/>
              <w:bottom w:val="single" w:sz="4" w:space="0" w:color="7F7F7F"/>
            </w:tcBorders>
            <w:shd w:val="clear" w:color="auto" w:fill="auto"/>
          </w:tcPr>
          <w:p w14:paraId="25FBA490" w14:textId="77777777" w:rsidR="000069B7" w:rsidRPr="00B026C7" w:rsidDel="00B25125" w:rsidRDefault="000069B7" w:rsidP="004A495F">
            <w:pPr>
              <w:spacing w:before="0" w:after="0"/>
              <w:rPr>
                <w:rFonts w:cs="Arial"/>
                <w:lang w:val="en-US"/>
              </w:rPr>
            </w:pPr>
            <w:r w:rsidRPr="00B026C7">
              <w:rPr>
                <w:rFonts w:cs="Arial"/>
                <w:lang w:val="en-US"/>
              </w:rPr>
              <w:t>Participants with ≥1 TEAE leading to death, n (%)</w:t>
            </w:r>
          </w:p>
        </w:tc>
        <w:tc>
          <w:tcPr>
            <w:tcW w:w="2199" w:type="dxa"/>
            <w:tcBorders>
              <w:top w:val="single" w:sz="4" w:space="0" w:color="7F7F7F"/>
              <w:bottom w:val="single" w:sz="4" w:space="0" w:color="7F7F7F"/>
            </w:tcBorders>
            <w:shd w:val="clear" w:color="auto" w:fill="auto"/>
          </w:tcPr>
          <w:p w14:paraId="41E4E874" w14:textId="77777777" w:rsidR="000069B7" w:rsidRPr="00B026C7" w:rsidRDefault="000069B7" w:rsidP="004A495F">
            <w:pPr>
              <w:spacing w:before="0" w:after="0"/>
              <w:jc w:val="center"/>
              <w:rPr>
                <w:rFonts w:cs="Arial"/>
                <w:lang w:val="en-US"/>
              </w:rPr>
            </w:pPr>
            <w:r>
              <w:rPr>
                <w:rFonts w:cs="Arial"/>
                <w:lang w:val="en-US"/>
              </w:rPr>
              <w:t>0</w:t>
            </w:r>
          </w:p>
        </w:tc>
        <w:tc>
          <w:tcPr>
            <w:tcW w:w="2199" w:type="dxa"/>
            <w:tcBorders>
              <w:top w:val="single" w:sz="4" w:space="0" w:color="7F7F7F"/>
              <w:bottom w:val="single" w:sz="4" w:space="0" w:color="7F7F7F"/>
            </w:tcBorders>
          </w:tcPr>
          <w:p w14:paraId="05B67034" w14:textId="77777777" w:rsidR="000069B7" w:rsidRPr="00B026C7" w:rsidRDefault="000069B7" w:rsidP="004A495F">
            <w:pPr>
              <w:spacing w:before="0" w:after="0"/>
              <w:jc w:val="center"/>
              <w:rPr>
                <w:rFonts w:cs="Arial"/>
                <w:lang w:val="en-US"/>
              </w:rPr>
            </w:pPr>
            <w:r>
              <w:rPr>
                <w:rFonts w:cs="Arial"/>
                <w:lang w:val="en-US"/>
              </w:rPr>
              <w:t>0</w:t>
            </w:r>
          </w:p>
        </w:tc>
      </w:tr>
      <w:tr w:rsidR="000069B7" w:rsidRPr="00B026C7" w14:paraId="76657913" w14:textId="77777777" w:rsidTr="004A495F">
        <w:trPr>
          <w:trHeight w:val="567"/>
        </w:trPr>
        <w:tc>
          <w:tcPr>
            <w:tcW w:w="4674" w:type="dxa"/>
            <w:tcBorders>
              <w:top w:val="single" w:sz="4" w:space="0" w:color="7F7F7F"/>
              <w:bottom w:val="single" w:sz="4" w:space="0" w:color="7F7F7F"/>
            </w:tcBorders>
            <w:shd w:val="clear" w:color="auto" w:fill="auto"/>
          </w:tcPr>
          <w:p w14:paraId="383A48D0" w14:textId="77777777" w:rsidR="000069B7" w:rsidRPr="00B026C7" w:rsidRDefault="000069B7" w:rsidP="004A495F">
            <w:pPr>
              <w:spacing w:before="0" w:after="0"/>
              <w:rPr>
                <w:rFonts w:cs="Arial"/>
                <w:lang w:val="en-US"/>
              </w:rPr>
            </w:pPr>
            <w:r w:rsidRPr="00B026C7">
              <w:rPr>
                <w:rFonts w:cs="Arial"/>
                <w:lang w:val="en-US"/>
              </w:rPr>
              <w:t>Participants with ≥1 TEAESI, n (%)</w:t>
            </w:r>
          </w:p>
        </w:tc>
        <w:tc>
          <w:tcPr>
            <w:tcW w:w="2199" w:type="dxa"/>
            <w:tcBorders>
              <w:top w:val="single" w:sz="4" w:space="0" w:color="7F7F7F"/>
              <w:bottom w:val="single" w:sz="4" w:space="0" w:color="7F7F7F"/>
            </w:tcBorders>
            <w:shd w:val="clear" w:color="auto" w:fill="auto"/>
          </w:tcPr>
          <w:p w14:paraId="2F0831F9" w14:textId="77777777" w:rsidR="000069B7" w:rsidRPr="00B026C7" w:rsidRDefault="000069B7" w:rsidP="004A495F">
            <w:pPr>
              <w:spacing w:before="0" w:after="0"/>
              <w:jc w:val="center"/>
              <w:rPr>
                <w:rFonts w:cs="Arial"/>
                <w:lang w:val="en-US"/>
              </w:rPr>
            </w:pPr>
          </w:p>
        </w:tc>
        <w:tc>
          <w:tcPr>
            <w:tcW w:w="2199" w:type="dxa"/>
            <w:tcBorders>
              <w:top w:val="single" w:sz="4" w:space="0" w:color="7F7F7F"/>
              <w:bottom w:val="single" w:sz="4" w:space="0" w:color="7F7F7F"/>
            </w:tcBorders>
          </w:tcPr>
          <w:p w14:paraId="6871F233" w14:textId="77777777" w:rsidR="000069B7" w:rsidRPr="00B026C7" w:rsidRDefault="000069B7" w:rsidP="004A495F">
            <w:pPr>
              <w:spacing w:before="0" w:after="0"/>
              <w:jc w:val="center"/>
              <w:rPr>
                <w:rFonts w:cs="Arial"/>
                <w:lang w:val="en-US"/>
              </w:rPr>
            </w:pPr>
          </w:p>
        </w:tc>
      </w:tr>
      <w:tr w:rsidR="000069B7" w:rsidRPr="00B026C7" w14:paraId="553E5A9E" w14:textId="77777777" w:rsidTr="004A495F">
        <w:trPr>
          <w:trHeight w:val="567"/>
        </w:trPr>
        <w:tc>
          <w:tcPr>
            <w:tcW w:w="4674" w:type="dxa"/>
            <w:tcBorders>
              <w:top w:val="single" w:sz="4" w:space="0" w:color="7F7F7F"/>
              <w:bottom w:val="single" w:sz="4" w:space="0" w:color="7F7F7F"/>
            </w:tcBorders>
            <w:shd w:val="clear" w:color="auto" w:fill="auto"/>
          </w:tcPr>
          <w:p w14:paraId="2DE2B2FB" w14:textId="77777777" w:rsidR="000069B7" w:rsidRPr="00B026C7" w:rsidRDefault="000069B7" w:rsidP="004A495F">
            <w:pPr>
              <w:spacing w:before="0" w:after="0"/>
              <w:ind w:left="321"/>
              <w:rPr>
                <w:rFonts w:cs="Arial"/>
                <w:vertAlign w:val="superscript"/>
                <w:lang w:val="en-US"/>
              </w:rPr>
            </w:pPr>
            <w:r w:rsidRPr="00B026C7">
              <w:rPr>
                <w:rFonts w:cs="Arial"/>
                <w:lang w:val="en-US"/>
              </w:rPr>
              <w:t>Infection</w:t>
            </w:r>
            <w:r>
              <w:rPr>
                <w:rFonts w:cs="Arial"/>
                <w:vertAlign w:val="superscript"/>
                <w:lang w:val="en-US"/>
              </w:rPr>
              <w:t>c</w:t>
            </w:r>
          </w:p>
        </w:tc>
        <w:tc>
          <w:tcPr>
            <w:tcW w:w="2199" w:type="dxa"/>
            <w:tcBorders>
              <w:top w:val="single" w:sz="4" w:space="0" w:color="7F7F7F"/>
              <w:bottom w:val="single" w:sz="4" w:space="0" w:color="7F7F7F"/>
            </w:tcBorders>
            <w:shd w:val="clear" w:color="auto" w:fill="auto"/>
          </w:tcPr>
          <w:p w14:paraId="6CF9225E" w14:textId="77777777" w:rsidR="000069B7" w:rsidRPr="00B026C7" w:rsidRDefault="000069B7" w:rsidP="004A495F">
            <w:pPr>
              <w:spacing w:before="0" w:after="0"/>
              <w:jc w:val="center"/>
              <w:rPr>
                <w:rFonts w:cs="Arial"/>
                <w:lang w:val="en-US"/>
              </w:rPr>
            </w:pPr>
            <w:r>
              <w:rPr>
                <w:rFonts w:cs="Arial"/>
                <w:lang w:val="en-US"/>
              </w:rPr>
              <w:t>0</w:t>
            </w:r>
          </w:p>
        </w:tc>
        <w:tc>
          <w:tcPr>
            <w:tcW w:w="2199" w:type="dxa"/>
            <w:tcBorders>
              <w:top w:val="single" w:sz="4" w:space="0" w:color="7F7F7F"/>
              <w:bottom w:val="single" w:sz="4" w:space="0" w:color="7F7F7F"/>
            </w:tcBorders>
          </w:tcPr>
          <w:p w14:paraId="2CA87286" w14:textId="77777777" w:rsidR="000069B7" w:rsidRPr="00B026C7" w:rsidRDefault="000069B7" w:rsidP="004A495F">
            <w:pPr>
              <w:spacing w:before="0" w:after="0"/>
              <w:jc w:val="center"/>
              <w:rPr>
                <w:rFonts w:cs="Arial"/>
                <w:lang w:val="en-US"/>
              </w:rPr>
            </w:pPr>
            <w:r>
              <w:rPr>
                <w:rFonts w:cs="Arial"/>
                <w:lang w:val="en-US"/>
              </w:rPr>
              <w:t>3 (20.0)</w:t>
            </w:r>
          </w:p>
        </w:tc>
      </w:tr>
      <w:tr w:rsidR="000069B7" w:rsidRPr="00B026C7" w14:paraId="528FA49C" w14:textId="77777777" w:rsidTr="004A495F">
        <w:trPr>
          <w:trHeight w:val="567"/>
        </w:trPr>
        <w:tc>
          <w:tcPr>
            <w:tcW w:w="4674" w:type="dxa"/>
            <w:tcBorders>
              <w:top w:val="single" w:sz="4" w:space="0" w:color="7F7F7F"/>
              <w:bottom w:val="single" w:sz="4" w:space="0" w:color="7F7F7F"/>
            </w:tcBorders>
            <w:shd w:val="clear" w:color="auto" w:fill="auto"/>
          </w:tcPr>
          <w:p w14:paraId="5427345E" w14:textId="77777777" w:rsidR="000069B7" w:rsidRPr="00B026C7" w:rsidRDefault="000069B7" w:rsidP="004A495F">
            <w:pPr>
              <w:spacing w:before="0" w:after="0"/>
              <w:ind w:left="604"/>
              <w:rPr>
                <w:rFonts w:cs="Arial"/>
                <w:lang w:val="en-US"/>
              </w:rPr>
            </w:pPr>
            <w:r w:rsidRPr="00B026C7">
              <w:rPr>
                <w:rFonts w:cs="Arial"/>
                <w:lang w:val="en-US"/>
              </w:rPr>
              <w:t>Study drug-related</w:t>
            </w:r>
          </w:p>
        </w:tc>
        <w:tc>
          <w:tcPr>
            <w:tcW w:w="2199" w:type="dxa"/>
            <w:tcBorders>
              <w:top w:val="single" w:sz="4" w:space="0" w:color="7F7F7F"/>
              <w:bottom w:val="single" w:sz="4" w:space="0" w:color="7F7F7F"/>
            </w:tcBorders>
            <w:shd w:val="clear" w:color="auto" w:fill="auto"/>
          </w:tcPr>
          <w:p w14:paraId="7F10D33C" w14:textId="77777777" w:rsidR="000069B7" w:rsidRPr="00B026C7" w:rsidRDefault="000069B7" w:rsidP="004A495F">
            <w:pPr>
              <w:spacing w:before="0" w:after="0"/>
              <w:jc w:val="center"/>
              <w:rPr>
                <w:rFonts w:cs="Arial"/>
                <w:lang w:val="en-US"/>
              </w:rPr>
            </w:pPr>
            <w:r>
              <w:rPr>
                <w:rFonts w:cs="Arial"/>
                <w:lang w:val="en-US"/>
              </w:rPr>
              <w:t>0</w:t>
            </w:r>
          </w:p>
        </w:tc>
        <w:tc>
          <w:tcPr>
            <w:tcW w:w="2199" w:type="dxa"/>
            <w:tcBorders>
              <w:top w:val="single" w:sz="4" w:space="0" w:color="7F7F7F"/>
              <w:bottom w:val="single" w:sz="4" w:space="0" w:color="7F7F7F"/>
            </w:tcBorders>
          </w:tcPr>
          <w:p w14:paraId="4384A3E0" w14:textId="77777777" w:rsidR="000069B7" w:rsidRPr="00B026C7" w:rsidRDefault="000069B7" w:rsidP="004A495F">
            <w:pPr>
              <w:spacing w:before="0" w:after="0"/>
              <w:jc w:val="center"/>
              <w:rPr>
                <w:rFonts w:cs="Arial"/>
                <w:lang w:val="en-US"/>
              </w:rPr>
            </w:pPr>
            <w:r>
              <w:rPr>
                <w:rFonts w:cs="Arial"/>
                <w:lang w:val="en-US"/>
              </w:rPr>
              <w:t>2 (13.3)</w:t>
            </w:r>
          </w:p>
        </w:tc>
      </w:tr>
      <w:tr w:rsidR="000069B7" w:rsidRPr="00B026C7" w14:paraId="3059AA48" w14:textId="77777777" w:rsidTr="004A495F">
        <w:trPr>
          <w:trHeight w:val="567"/>
        </w:trPr>
        <w:tc>
          <w:tcPr>
            <w:tcW w:w="4674" w:type="dxa"/>
            <w:tcBorders>
              <w:top w:val="single" w:sz="4" w:space="0" w:color="7F7F7F"/>
              <w:bottom w:val="single" w:sz="4" w:space="0" w:color="7F7F7F"/>
            </w:tcBorders>
            <w:shd w:val="clear" w:color="auto" w:fill="auto"/>
          </w:tcPr>
          <w:p w14:paraId="6BAAE583" w14:textId="77777777" w:rsidR="000069B7" w:rsidRPr="00B026C7" w:rsidRDefault="000069B7" w:rsidP="004A495F">
            <w:pPr>
              <w:spacing w:before="0" w:after="0"/>
              <w:ind w:left="321"/>
              <w:rPr>
                <w:rFonts w:cs="Arial"/>
                <w:b/>
                <w:bCs/>
                <w:vertAlign w:val="superscript"/>
                <w:lang w:val="en-US"/>
              </w:rPr>
            </w:pPr>
            <w:r w:rsidRPr="00B026C7">
              <w:rPr>
                <w:rFonts w:cs="Arial"/>
                <w:lang w:val="en-US"/>
              </w:rPr>
              <w:t>Injection-site reaction</w:t>
            </w:r>
            <w:r w:rsidRPr="00B026C7">
              <w:rPr>
                <w:rFonts w:cs="Arial"/>
                <w:vertAlign w:val="superscript"/>
                <w:lang w:val="en-US"/>
              </w:rPr>
              <w:t>c</w:t>
            </w:r>
          </w:p>
        </w:tc>
        <w:tc>
          <w:tcPr>
            <w:tcW w:w="2199" w:type="dxa"/>
            <w:tcBorders>
              <w:top w:val="single" w:sz="4" w:space="0" w:color="7F7F7F"/>
              <w:bottom w:val="single" w:sz="4" w:space="0" w:color="7F7F7F"/>
            </w:tcBorders>
            <w:shd w:val="clear" w:color="auto" w:fill="auto"/>
          </w:tcPr>
          <w:p w14:paraId="1633C190" w14:textId="77777777" w:rsidR="000069B7" w:rsidRPr="00B026C7" w:rsidRDefault="000069B7" w:rsidP="004A495F">
            <w:pPr>
              <w:spacing w:before="0" w:after="0"/>
              <w:jc w:val="center"/>
              <w:rPr>
                <w:rFonts w:cs="Arial"/>
                <w:lang w:val="en-US"/>
              </w:rPr>
            </w:pPr>
            <w:r>
              <w:rPr>
                <w:rFonts w:cs="Arial"/>
                <w:lang w:val="en-US"/>
              </w:rPr>
              <w:t>1 (7.1)</w:t>
            </w:r>
          </w:p>
        </w:tc>
        <w:tc>
          <w:tcPr>
            <w:tcW w:w="2199" w:type="dxa"/>
            <w:tcBorders>
              <w:top w:val="single" w:sz="4" w:space="0" w:color="7F7F7F"/>
              <w:bottom w:val="single" w:sz="4" w:space="0" w:color="7F7F7F"/>
            </w:tcBorders>
          </w:tcPr>
          <w:p w14:paraId="5A95653D" w14:textId="77777777" w:rsidR="000069B7" w:rsidRPr="00B026C7" w:rsidRDefault="000069B7" w:rsidP="004A495F">
            <w:pPr>
              <w:spacing w:before="0" w:after="0"/>
              <w:jc w:val="center"/>
              <w:rPr>
                <w:rFonts w:cs="Arial"/>
                <w:lang w:val="en-US"/>
              </w:rPr>
            </w:pPr>
            <w:r>
              <w:rPr>
                <w:rFonts w:cs="Arial"/>
                <w:lang w:val="en-US"/>
              </w:rPr>
              <w:t>0</w:t>
            </w:r>
          </w:p>
        </w:tc>
      </w:tr>
      <w:tr w:rsidR="000069B7" w:rsidRPr="00B026C7" w14:paraId="6D65ED44" w14:textId="77777777" w:rsidTr="004A495F">
        <w:trPr>
          <w:trHeight w:val="567"/>
        </w:trPr>
        <w:tc>
          <w:tcPr>
            <w:tcW w:w="4674" w:type="dxa"/>
            <w:tcBorders>
              <w:top w:val="single" w:sz="4" w:space="0" w:color="7F7F7F"/>
              <w:bottom w:val="single" w:sz="4" w:space="0" w:color="7F7F7F"/>
            </w:tcBorders>
            <w:shd w:val="clear" w:color="auto" w:fill="auto"/>
          </w:tcPr>
          <w:p w14:paraId="7AE64CD1" w14:textId="77777777" w:rsidR="000069B7" w:rsidRPr="00B026C7" w:rsidRDefault="000069B7" w:rsidP="004A495F">
            <w:pPr>
              <w:spacing w:before="0" w:after="0"/>
              <w:ind w:left="604"/>
              <w:rPr>
                <w:rFonts w:cs="Arial"/>
                <w:lang w:val="en-US"/>
              </w:rPr>
            </w:pPr>
            <w:r w:rsidRPr="00B026C7">
              <w:rPr>
                <w:rFonts w:cs="Arial"/>
                <w:lang w:val="en-US"/>
              </w:rPr>
              <w:t>Study drug-related</w:t>
            </w:r>
          </w:p>
        </w:tc>
        <w:tc>
          <w:tcPr>
            <w:tcW w:w="2199" w:type="dxa"/>
            <w:tcBorders>
              <w:top w:val="single" w:sz="4" w:space="0" w:color="7F7F7F"/>
              <w:bottom w:val="single" w:sz="4" w:space="0" w:color="7F7F7F"/>
            </w:tcBorders>
            <w:shd w:val="clear" w:color="auto" w:fill="auto"/>
          </w:tcPr>
          <w:p w14:paraId="701DE4C2" w14:textId="77777777" w:rsidR="000069B7" w:rsidRPr="00B026C7" w:rsidRDefault="000069B7" w:rsidP="004A495F">
            <w:pPr>
              <w:spacing w:before="0" w:after="0"/>
              <w:jc w:val="center"/>
              <w:rPr>
                <w:rFonts w:cs="Arial"/>
                <w:lang w:val="en-US"/>
              </w:rPr>
            </w:pPr>
            <w:r>
              <w:rPr>
                <w:rFonts w:cs="Arial"/>
                <w:lang w:val="en-US"/>
              </w:rPr>
              <w:t>1 (7.1)</w:t>
            </w:r>
          </w:p>
        </w:tc>
        <w:tc>
          <w:tcPr>
            <w:tcW w:w="2199" w:type="dxa"/>
            <w:tcBorders>
              <w:top w:val="single" w:sz="4" w:space="0" w:color="7F7F7F"/>
              <w:bottom w:val="single" w:sz="4" w:space="0" w:color="7F7F7F"/>
            </w:tcBorders>
          </w:tcPr>
          <w:p w14:paraId="45DDE9FA" w14:textId="77777777" w:rsidR="000069B7" w:rsidRPr="00B026C7" w:rsidRDefault="000069B7" w:rsidP="004A495F">
            <w:pPr>
              <w:spacing w:before="0" w:after="0"/>
              <w:jc w:val="center"/>
              <w:rPr>
                <w:rFonts w:cs="Arial"/>
                <w:lang w:val="en-US"/>
              </w:rPr>
            </w:pPr>
            <w:r>
              <w:rPr>
                <w:rFonts w:cs="Arial"/>
                <w:lang w:val="en-US"/>
              </w:rPr>
              <w:t>0</w:t>
            </w:r>
          </w:p>
        </w:tc>
      </w:tr>
      <w:tr w:rsidR="000069B7" w:rsidRPr="00B026C7" w14:paraId="4E3A56FF" w14:textId="77777777" w:rsidTr="004A495F">
        <w:trPr>
          <w:trHeight w:val="567"/>
        </w:trPr>
        <w:tc>
          <w:tcPr>
            <w:tcW w:w="4674" w:type="dxa"/>
            <w:tcBorders>
              <w:top w:val="single" w:sz="4" w:space="0" w:color="7F7F7F"/>
              <w:bottom w:val="single" w:sz="4" w:space="0" w:color="7F7F7F"/>
            </w:tcBorders>
            <w:shd w:val="clear" w:color="auto" w:fill="auto"/>
          </w:tcPr>
          <w:p w14:paraId="7A4C348C" w14:textId="77777777" w:rsidR="000069B7" w:rsidRPr="00B026C7" w:rsidRDefault="000069B7" w:rsidP="004A495F">
            <w:pPr>
              <w:spacing w:before="0" w:after="0"/>
              <w:ind w:left="321"/>
              <w:rPr>
                <w:rFonts w:cs="Arial"/>
                <w:b/>
                <w:bCs/>
                <w:vertAlign w:val="superscript"/>
                <w:lang w:val="en-US"/>
              </w:rPr>
            </w:pPr>
            <w:r w:rsidRPr="00B026C7">
              <w:rPr>
                <w:rFonts w:cs="Arial"/>
                <w:lang w:val="en-US"/>
              </w:rPr>
              <w:t>Hypersensitivity (including anaphylaxis)</w:t>
            </w:r>
          </w:p>
        </w:tc>
        <w:tc>
          <w:tcPr>
            <w:tcW w:w="2199" w:type="dxa"/>
            <w:tcBorders>
              <w:top w:val="single" w:sz="4" w:space="0" w:color="7F7F7F"/>
              <w:bottom w:val="single" w:sz="4" w:space="0" w:color="7F7F7F"/>
            </w:tcBorders>
            <w:shd w:val="clear" w:color="auto" w:fill="auto"/>
          </w:tcPr>
          <w:p w14:paraId="5888DFF6" w14:textId="77777777" w:rsidR="000069B7" w:rsidRPr="00B026C7" w:rsidRDefault="000069B7" w:rsidP="004A495F">
            <w:pPr>
              <w:spacing w:before="0" w:after="0"/>
              <w:jc w:val="center"/>
              <w:rPr>
                <w:rFonts w:cs="Arial"/>
                <w:lang w:val="en-US"/>
              </w:rPr>
            </w:pPr>
            <w:r>
              <w:rPr>
                <w:rFonts w:cs="Arial"/>
                <w:lang w:val="en-US"/>
              </w:rPr>
              <w:t>0</w:t>
            </w:r>
          </w:p>
        </w:tc>
        <w:tc>
          <w:tcPr>
            <w:tcW w:w="2199" w:type="dxa"/>
            <w:tcBorders>
              <w:top w:val="single" w:sz="4" w:space="0" w:color="7F7F7F"/>
              <w:bottom w:val="single" w:sz="4" w:space="0" w:color="7F7F7F"/>
            </w:tcBorders>
          </w:tcPr>
          <w:p w14:paraId="1604B903" w14:textId="77777777" w:rsidR="000069B7" w:rsidRPr="00B026C7" w:rsidRDefault="000069B7" w:rsidP="004A495F">
            <w:pPr>
              <w:spacing w:before="0" w:after="0"/>
              <w:jc w:val="center"/>
              <w:rPr>
                <w:rFonts w:cs="Arial"/>
                <w:lang w:val="en-US"/>
              </w:rPr>
            </w:pPr>
            <w:r>
              <w:rPr>
                <w:rFonts w:cs="Arial"/>
                <w:lang w:val="en-US"/>
              </w:rPr>
              <w:t>1 (6.7)</w:t>
            </w:r>
          </w:p>
        </w:tc>
      </w:tr>
      <w:tr w:rsidR="000069B7" w:rsidRPr="00B026C7" w14:paraId="371D1592" w14:textId="77777777" w:rsidTr="004A495F">
        <w:trPr>
          <w:trHeight w:val="567"/>
        </w:trPr>
        <w:tc>
          <w:tcPr>
            <w:tcW w:w="4674" w:type="dxa"/>
            <w:tcBorders>
              <w:top w:val="single" w:sz="4" w:space="0" w:color="7F7F7F"/>
              <w:bottom w:val="single" w:sz="4" w:space="0" w:color="7F7F7F"/>
            </w:tcBorders>
            <w:shd w:val="clear" w:color="auto" w:fill="auto"/>
          </w:tcPr>
          <w:p w14:paraId="2F28433D" w14:textId="77777777" w:rsidR="000069B7" w:rsidRPr="00B026C7" w:rsidRDefault="000069B7" w:rsidP="004A495F">
            <w:pPr>
              <w:spacing w:before="0" w:after="0"/>
              <w:ind w:left="604"/>
              <w:rPr>
                <w:rFonts w:cs="Arial"/>
                <w:lang w:val="en-US"/>
              </w:rPr>
            </w:pPr>
            <w:r w:rsidRPr="00B026C7">
              <w:rPr>
                <w:rFonts w:cs="Arial"/>
                <w:lang w:val="en-US"/>
              </w:rPr>
              <w:t>Study drug-related</w:t>
            </w:r>
          </w:p>
        </w:tc>
        <w:tc>
          <w:tcPr>
            <w:tcW w:w="2199" w:type="dxa"/>
            <w:tcBorders>
              <w:top w:val="single" w:sz="4" w:space="0" w:color="7F7F7F"/>
              <w:bottom w:val="single" w:sz="4" w:space="0" w:color="7F7F7F"/>
            </w:tcBorders>
            <w:shd w:val="clear" w:color="auto" w:fill="auto"/>
          </w:tcPr>
          <w:p w14:paraId="36A84364" w14:textId="77777777" w:rsidR="000069B7" w:rsidRPr="00B026C7" w:rsidRDefault="000069B7" w:rsidP="004A495F">
            <w:pPr>
              <w:spacing w:before="0" w:after="0"/>
              <w:jc w:val="center"/>
              <w:rPr>
                <w:rFonts w:cs="Arial"/>
                <w:lang w:val="en-US"/>
              </w:rPr>
            </w:pPr>
            <w:r>
              <w:rPr>
                <w:rFonts w:cs="Arial"/>
                <w:lang w:val="en-US"/>
              </w:rPr>
              <w:t>0</w:t>
            </w:r>
          </w:p>
        </w:tc>
        <w:tc>
          <w:tcPr>
            <w:tcW w:w="2199" w:type="dxa"/>
            <w:tcBorders>
              <w:top w:val="single" w:sz="4" w:space="0" w:color="7F7F7F"/>
              <w:bottom w:val="single" w:sz="4" w:space="0" w:color="7F7F7F"/>
            </w:tcBorders>
          </w:tcPr>
          <w:p w14:paraId="702E3110" w14:textId="77777777" w:rsidR="000069B7" w:rsidRPr="00B026C7" w:rsidRDefault="000069B7" w:rsidP="004A495F">
            <w:pPr>
              <w:spacing w:before="0" w:after="0"/>
              <w:jc w:val="center"/>
              <w:rPr>
                <w:rFonts w:cs="Arial"/>
                <w:lang w:val="en-US"/>
              </w:rPr>
            </w:pPr>
            <w:r>
              <w:rPr>
                <w:rFonts w:cs="Arial"/>
                <w:lang w:val="en-US"/>
              </w:rPr>
              <w:t>1 (6.7)</w:t>
            </w:r>
          </w:p>
        </w:tc>
      </w:tr>
      <w:tr w:rsidR="000069B7" w:rsidRPr="00B026C7" w14:paraId="7AE55117" w14:textId="77777777" w:rsidTr="004A495F">
        <w:trPr>
          <w:trHeight w:val="567"/>
        </w:trPr>
        <w:tc>
          <w:tcPr>
            <w:tcW w:w="4674" w:type="dxa"/>
            <w:tcBorders>
              <w:top w:val="single" w:sz="4" w:space="0" w:color="7F7F7F"/>
              <w:bottom w:val="single" w:sz="4" w:space="0" w:color="7F7F7F"/>
            </w:tcBorders>
            <w:shd w:val="clear" w:color="auto" w:fill="auto"/>
          </w:tcPr>
          <w:p w14:paraId="71D14519" w14:textId="77777777" w:rsidR="000069B7" w:rsidRPr="00B026C7" w:rsidRDefault="000069B7" w:rsidP="004A495F">
            <w:pPr>
              <w:spacing w:before="0" w:after="0"/>
              <w:ind w:left="321"/>
              <w:rPr>
                <w:rFonts w:cs="Arial"/>
                <w:lang w:val="en-US"/>
              </w:rPr>
            </w:pPr>
            <w:r w:rsidRPr="00B026C7">
              <w:rPr>
                <w:rFonts w:cs="Arial"/>
                <w:lang w:val="en-US"/>
              </w:rPr>
              <w:t>Demyelinating disorder</w:t>
            </w:r>
          </w:p>
        </w:tc>
        <w:tc>
          <w:tcPr>
            <w:tcW w:w="2199" w:type="dxa"/>
            <w:tcBorders>
              <w:top w:val="single" w:sz="4" w:space="0" w:color="7F7F7F"/>
              <w:bottom w:val="single" w:sz="4" w:space="0" w:color="7F7F7F"/>
            </w:tcBorders>
            <w:shd w:val="clear" w:color="auto" w:fill="auto"/>
          </w:tcPr>
          <w:p w14:paraId="0454BFBB" w14:textId="77777777" w:rsidR="000069B7" w:rsidRPr="00B026C7" w:rsidRDefault="000069B7" w:rsidP="004A495F">
            <w:pPr>
              <w:spacing w:before="0" w:after="0"/>
              <w:jc w:val="center"/>
              <w:rPr>
                <w:rFonts w:cs="Arial"/>
                <w:lang w:val="en-US"/>
              </w:rPr>
            </w:pPr>
            <w:r>
              <w:rPr>
                <w:rFonts w:cs="Arial"/>
                <w:lang w:val="en-US"/>
              </w:rPr>
              <w:t>0</w:t>
            </w:r>
          </w:p>
        </w:tc>
        <w:tc>
          <w:tcPr>
            <w:tcW w:w="2199" w:type="dxa"/>
            <w:tcBorders>
              <w:top w:val="single" w:sz="4" w:space="0" w:color="7F7F7F"/>
              <w:bottom w:val="single" w:sz="4" w:space="0" w:color="7F7F7F"/>
            </w:tcBorders>
          </w:tcPr>
          <w:p w14:paraId="424C0EEC" w14:textId="77777777" w:rsidR="000069B7" w:rsidRPr="00B026C7" w:rsidRDefault="000069B7" w:rsidP="004A495F">
            <w:pPr>
              <w:spacing w:before="0" w:after="0"/>
              <w:jc w:val="center"/>
              <w:rPr>
                <w:rFonts w:cs="Arial"/>
                <w:lang w:val="en-US"/>
              </w:rPr>
            </w:pPr>
            <w:r>
              <w:rPr>
                <w:rFonts w:cs="Arial"/>
                <w:lang w:val="en-US"/>
              </w:rPr>
              <w:t>0</w:t>
            </w:r>
          </w:p>
        </w:tc>
      </w:tr>
      <w:tr w:rsidR="000069B7" w:rsidRPr="00B026C7" w14:paraId="216CBCF2" w14:textId="77777777" w:rsidTr="004A495F">
        <w:trPr>
          <w:trHeight w:val="567"/>
        </w:trPr>
        <w:tc>
          <w:tcPr>
            <w:tcW w:w="4674" w:type="dxa"/>
            <w:tcBorders>
              <w:top w:val="single" w:sz="4" w:space="0" w:color="7F7F7F"/>
              <w:bottom w:val="single" w:sz="4" w:space="0" w:color="7F7F7F"/>
            </w:tcBorders>
            <w:shd w:val="clear" w:color="auto" w:fill="auto"/>
          </w:tcPr>
          <w:p w14:paraId="4A64EBFF" w14:textId="77777777" w:rsidR="000069B7" w:rsidRPr="00B026C7" w:rsidRDefault="000069B7" w:rsidP="004A495F">
            <w:pPr>
              <w:spacing w:before="0" w:after="0"/>
              <w:ind w:left="321"/>
              <w:rPr>
                <w:rFonts w:cs="Arial"/>
                <w:b/>
                <w:bCs/>
                <w:lang w:val="en-US"/>
              </w:rPr>
            </w:pPr>
            <w:r w:rsidRPr="00B026C7">
              <w:rPr>
                <w:rFonts w:cs="Arial"/>
                <w:lang w:val="en-US"/>
              </w:rPr>
              <w:t>Gastrointestinal perforation</w:t>
            </w:r>
          </w:p>
        </w:tc>
        <w:tc>
          <w:tcPr>
            <w:tcW w:w="2199" w:type="dxa"/>
            <w:tcBorders>
              <w:top w:val="single" w:sz="4" w:space="0" w:color="7F7F7F"/>
              <w:bottom w:val="single" w:sz="4" w:space="0" w:color="7F7F7F"/>
            </w:tcBorders>
            <w:shd w:val="clear" w:color="auto" w:fill="auto"/>
          </w:tcPr>
          <w:p w14:paraId="1CBE6D3B" w14:textId="77777777" w:rsidR="000069B7" w:rsidRPr="00B026C7" w:rsidRDefault="000069B7" w:rsidP="004A495F">
            <w:pPr>
              <w:spacing w:before="0" w:after="0"/>
              <w:jc w:val="center"/>
              <w:rPr>
                <w:rFonts w:cs="Arial"/>
                <w:lang w:val="en-US"/>
              </w:rPr>
            </w:pPr>
            <w:r>
              <w:rPr>
                <w:rFonts w:cs="Arial"/>
                <w:lang w:val="en-US"/>
              </w:rPr>
              <w:t>0</w:t>
            </w:r>
          </w:p>
        </w:tc>
        <w:tc>
          <w:tcPr>
            <w:tcW w:w="2199" w:type="dxa"/>
            <w:tcBorders>
              <w:top w:val="single" w:sz="4" w:space="0" w:color="7F7F7F"/>
              <w:bottom w:val="single" w:sz="4" w:space="0" w:color="7F7F7F"/>
            </w:tcBorders>
          </w:tcPr>
          <w:p w14:paraId="507130DF" w14:textId="77777777" w:rsidR="000069B7" w:rsidRPr="00B026C7" w:rsidRDefault="000069B7" w:rsidP="004A495F">
            <w:pPr>
              <w:spacing w:before="0" w:after="0"/>
              <w:jc w:val="center"/>
              <w:rPr>
                <w:rFonts w:cs="Arial"/>
                <w:lang w:val="en-US"/>
              </w:rPr>
            </w:pPr>
            <w:r>
              <w:rPr>
                <w:rFonts w:cs="Arial"/>
                <w:lang w:val="en-US"/>
              </w:rPr>
              <w:t>0</w:t>
            </w:r>
          </w:p>
        </w:tc>
      </w:tr>
      <w:tr w:rsidR="000069B7" w:rsidRPr="00B026C7" w14:paraId="6AF28686" w14:textId="77777777" w:rsidTr="004A495F">
        <w:trPr>
          <w:trHeight w:val="567"/>
        </w:trPr>
        <w:tc>
          <w:tcPr>
            <w:tcW w:w="4674" w:type="dxa"/>
            <w:tcBorders>
              <w:top w:val="single" w:sz="4" w:space="0" w:color="7F7F7F"/>
              <w:bottom w:val="single" w:sz="4" w:space="0" w:color="7F7F7F"/>
            </w:tcBorders>
            <w:shd w:val="clear" w:color="auto" w:fill="auto"/>
          </w:tcPr>
          <w:p w14:paraId="639952E6" w14:textId="77777777" w:rsidR="000069B7" w:rsidRPr="00B026C7" w:rsidRDefault="000069B7" w:rsidP="004A495F">
            <w:pPr>
              <w:spacing w:before="0" w:after="0"/>
              <w:ind w:left="321"/>
              <w:rPr>
                <w:rFonts w:cs="Arial"/>
                <w:lang w:val="en-US"/>
              </w:rPr>
            </w:pPr>
            <w:r w:rsidRPr="00B026C7">
              <w:rPr>
                <w:rFonts w:cs="Arial"/>
                <w:lang w:val="en-US"/>
              </w:rPr>
              <w:t>Hemorrhage</w:t>
            </w:r>
          </w:p>
        </w:tc>
        <w:tc>
          <w:tcPr>
            <w:tcW w:w="2199" w:type="dxa"/>
            <w:tcBorders>
              <w:top w:val="single" w:sz="4" w:space="0" w:color="7F7F7F"/>
              <w:bottom w:val="single" w:sz="4" w:space="0" w:color="7F7F7F"/>
            </w:tcBorders>
            <w:shd w:val="clear" w:color="auto" w:fill="auto"/>
          </w:tcPr>
          <w:p w14:paraId="0C0E2A3C" w14:textId="77777777" w:rsidR="000069B7" w:rsidRDefault="000069B7" w:rsidP="004A495F">
            <w:pPr>
              <w:spacing w:before="0" w:after="0"/>
              <w:jc w:val="center"/>
              <w:rPr>
                <w:rFonts w:cs="Arial"/>
                <w:lang w:val="en-US"/>
              </w:rPr>
            </w:pPr>
            <w:r>
              <w:rPr>
                <w:rFonts w:cs="Arial"/>
                <w:lang w:val="en-US"/>
              </w:rPr>
              <w:t>0</w:t>
            </w:r>
          </w:p>
        </w:tc>
        <w:tc>
          <w:tcPr>
            <w:tcW w:w="2199" w:type="dxa"/>
            <w:tcBorders>
              <w:top w:val="single" w:sz="4" w:space="0" w:color="7F7F7F"/>
              <w:bottom w:val="single" w:sz="4" w:space="0" w:color="7F7F7F"/>
            </w:tcBorders>
          </w:tcPr>
          <w:p w14:paraId="1676E9C2" w14:textId="77777777" w:rsidR="000069B7" w:rsidRDefault="000069B7" w:rsidP="004A495F">
            <w:pPr>
              <w:spacing w:before="0" w:after="0"/>
              <w:jc w:val="center"/>
              <w:rPr>
                <w:rFonts w:cs="Arial"/>
                <w:lang w:val="en-US"/>
              </w:rPr>
            </w:pPr>
            <w:r>
              <w:rPr>
                <w:rFonts w:cs="Arial"/>
                <w:lang w:val="en-US"/>
              </w:rPr>
              <w:t>0</w:t>
            </w:r>
          </w:p>
        </w:tc>
      </w:tr>
      <w:tr w:rsidR="000069B7" w:rsidRPr="00B026C7" w14:paraId="158B1759" w14:textId="77777777" w:rsidTr="004A495F">
        <w:trPr>
          <w:trHeight w:val="567"/>
        </w:trPr>
        <w:tc>
          <w:tcPr>
            <w:tcW w:w="4674" w:type="dxa"/>
            <w:tcBorders>
              <w:top w:val="single" w:sz="4" w:space="0" w:color="7F7F7F"/>
              <w:bottom w:val="single" w:sz="4" w:space="0" w:color="7F7F7F"/>
            </w:tcBorders>
            <w:shd w:val="clear" w:color="auto" w:fill="auto"/>
          </w:tcPr>
          <w:p w14:paraId="751FB4B8" w14:textId="77777777" w:rsidR="000069B7" w:rsidRPr="00B026C7" w:rsidRDefault="000069B7" w:rsidP="004A495F">
            <w:pPr>
              <w:spacing w:before="0" w:after="0"/>
              <w:ind w:left="321"/>
              <w:rPr>
                <w:rFonts w:cs="Arial"/>
                <w:b/>
                <w:bCs/>
                <w:vertAlign w:val="superscript"/>
                <w:lang w:val="en-US"/>
              </w:rPr>
            </w:pPr>
            <w:r w:rsidRPr="00B026C7">
              <w:rPr>
                <w:rFonts w:cs="Arial"/>
                <w:lang w:val="en-US"/>
              </w:rPr>
              <w:t>Hepatic event</w:t>
            </w:r>
          </w:p>
        </w:tc>
        <w:tc>
          <w:tcPr>
            <w:tcW w:w="2199" w:type="dxa"/>
            <w:tcBorders>
              <w:top w:val="single" w:sz="4" w:space="0" w:color="7F7F7F"/>
              <w:bottom w:val="single" w:sz="4" w:space="0" w:color="7F7F7F"/>
            </w:tcBorders>
            <w:shd w:val="clear" w:color="auto" w:fill="auto"/>
          </w:tcPr>
          <w:p w14:paraId="5C64E25D" w14:textId="77777777" w:rsidR="000069B7" w:rsidRPr="00B026C7" w:rsidRDefault="000069B7" w:rsidP="004A495F">
            <w:pPr>
              <w:spacing w:before="0" w:after="0"/>
              <w:jc w:val="center"/>
              <w:rPr>
                <w:rFonts w:cs="Arial"/>
                <w:lang w:val="en-US"/>
              </w:rPr>
            </w:pPr>
            <w:r>
              <w:rPr>
                <w:rFonts w:cs="Arial"/>
                <w:lang w:val="en-US"/>
              </w:rPr>
              <w:t>0</w:t>
            </w:r>
          </w:p>
        </w:tc>
        <w:tc>
          <w:tcPr>
            <w:tcW w:w="2199" w:type="dxa"/>
            <w:tcBorders>
              <w:top w:val="single" w:sz="4" w:space="0" w:color="7F7F7F"/>
              <w:bottom w:val="single" w:sz="4" w:space="0" w:color="7F7F7F"/>
            </w:tcBorders>
          </w:tcPr>
          <w:p w14:paraId="254CFCCD" w14:textId="77777777" w:rsidR="000069B7" w:rsidRPr="00B026C7" w:rsidRDefault="000069B7" w:rsidP="004A495F">
            <w:pPr>
              <w:spacing w:before="0" w:after="0"/>
              <w:jc w:val="center"/>
              <w:rPr>
                <w:rFonts w:cs="Arial"/>
                <w:lang w:val="en-US"/>
              </w:rPr>
            </w:pPr>
            <w:r>
              <w:rPr>
                <w:rFonts w:cs="Arial"/>
                <w:lang w:val="en-US"/>
              </w:rPr>
              <w:t>0</w:t>
            </w:r>
          </w:p>
        </w:tc>
      </w:tr>
      <w:tr w:rsidR="000069B7" w:rsidRPr="00B026C7" w14:paraId="39AC00B2" w14:textId="77777777" w:rsidTr="004A495F">
        <w:trPr>
          <w:trHeight w:val="567"/>
        </w:trPr>
        <w:tc>
          <w:tcPr>
            <w:tcW w:w="4674" w:type="dxa"/>
            <w:tcBorders>
              <w:top w:val="single" w:sz="4" w:space="0" w:color="7F7F7F"/>
              <w:bottom w:val="single" w:sz="4" w:space="0" w:color="7F7F7F"/>
            </w:tcBorders>
            <w:shd w:val="clear" w:color="auto" w:fill="auto"/>
          </w:tcPr>
          <w:p w14:paraId="140B60C4" w14:textId="77777777" w:rsidR="000069B7" w:rsidRPr="00B026C7" w:rsidRDefault="000069B7" w:rsidP="004A495F">
            <w:pPr>
              <w:spacing w:before="0" w:after="0"/>
              <w:ind w:left="321"/>
              <w:rPr>
                <w:rFonts w:cs="Arial"/>
                <w:b/>
                <w:bCs/>
                <w:lang w:val="en-US"/>
              </w:rPr>
            </w:pPr>
            <w:r w:rsidRPr="00B026C7">
              <w:rPr>
                <w:rFonts w:cs="Arial"/>
                <w:lang w:val="en-US"/>
              </w:rPr>
              <w:t xml:space="preserve">Malignancy </w:t>
            </w:r>
          </w:p>
        </w:tc>
        <w:tc>
          <w:tcPr>
            <w:tcW w:w="2199" w:type="dxa"/>
            <w:tcBorders>
              <w:top w:val="single" w:sz="4" w:space="0" w:color="7F7F7F"/>
              <w:bottom w:val="single" w:sz="4" w:space="0" w:color="7F7F7F"/>
            </w:tcBorders>
            <w:shd w:val="clear" w:color="auto" w:fill="auto"/>
          </w:tcPr>
          <w:p w14:paraId="138BF1DC" w14:textId="77777777" w:rsidR="000069B7" w:rsidRPr="00B026C7" w:rsidRDefault="000069B7" w:rsidP="004A495F">
            <w:pPr>
              <w:spacing w:before="0" w:after="0"/>
              <w:jc w:val="center"/>
              <w:rPr>
                <w:rFonts w:cs="Arial"/>
                <w:lang w:val="en-US"/>
              </w:rPr>
            </w:pPr>
            <w:r>
              <w:rPr>
                <w:rFonts w:cs="Arial"/>
                <w:lang w:val="en-US"/>
              </w:rPr>
              <w:t>0</w:t>
            </w:r>
          </w:p>
        </w:tc>
        <w:tc>
          <w:tcPr>
            <w:tcW w:w="2199" w:type="dxa"/>
            <w:tcBorders>
              <w:top w:val="single" w:sz="4" w:space="0" w:color="7F7F7F"/>
              <w:bottom w:val="single" w:sz="4" w:space="0" w:color="7F7F7F"/>
            </w:tcBorders>
          </w:tcPr>
          <w:p w14:paraId="7ACA304D" w14:textId="77777777" w:rsidR="000069B7" w:rsidRPr="00B026C7" w:rsidRDefault="000069B7" w:rsidP="004A495F">
            <w:pPr>
              <w:spacing w:before="0" w:after="0"/>
              <w:jc w:val="center"/>
              <w:rPr>
                <w:rFonts w:cs="Arial"/>
                <w:lang w:val="en-US"/>
              </w:rPr>
            </w:pPr>
            <w:r>
              <w:rPr>
                <w:rFonts w:cs="Arial"/>
                <w:lang w:val="en-US"/>
              </w:rPr>
              <w:t>0</w:t>
            </w:r>
          </w:p>
        </w:tc>
      </w:tr>
    </w:tbl>
    <w:bookmarkEnd w:id="10"/>
    <w:p w14:paraId="16A376EC" w14:textId="77777777" w:rsidR="000069B7" w:rsidRDefault="000069B7" w:rsidP="000069B7">
      <w:pPr>
        <w:spacing w:line="480" w:lineRule="auto"/>
        <w:rPr>
          <w:rFonts w:cs="Arial"/>
          <w:szCs w:val="24"/>
          <w:lang w:val="en-US"/>
        </w:rPr>
      </w:pPr>
      <w:r w:rsidRPr="00B026C7">
        <w:rPr>
          <w:rFonts w:cs="Arial"/>
          <w:szCs w:val="24"/>
          <w:vertAlign w:val="superscript"/>
          <w:lang w:val="en-US"/>
        </w:rPr>
        <w:lastRenderedPageBreak/>
        <w:t>a</w:t>
      </w:r>
      <w:r>
        <w:rPr>
          <w:rFonts w:cs="Arial"/>
          <w:szCs w:val="24"/>
          <w:lang w:val="en-US"/>
        </w:rPr>
        <w:t>TEAE of blood creatine phosphokinase increased, reported based on local laboratory assessments. The parameter recovered to normal range without any treatment.</w:t>
      </w:r>
    </w:p>
    <w:p w14:paraId="1815EF70" w14:textId="77777777" w:rsidR="000069B7" w:rsidRPr="00560EBB" w:rsidRDefault="000069B7" w:rsidP="000069B7">
      <w:pPr>
        <w:spacing w:line="480" w:lineRule="auto"/>
        <w:rPr>
          <w:rFonts w:cs="Arial"/>
          <w:szCs w:val="24"/>
          <w:lang w:val="en-US"/>
        </w:rPr>
      </w:pPr>
      <w:r>
        <w:rPr>
          <w:rFonts w:cs="Arial"/>
          <w:szCs w:val="24"/>
          <w:vertAlign w:val="superscript"/>
          <w:lang w:val="en-US"/>
        </w:rPr>
        <w:t>b</w:t>
      </w:r>
      <w:r>
        <w:rPr>
          <w:rFonts w:cs="Arial"/>
          <w:szCs w:val="24"/>
          <w:lang w:val="en-US"/>
        </w:rPr>
        <w:t>One TEAE each of neutropenia and hypertriglyceridemia, reported based on local laboratory assessments. The parameters recovered to normal range without any treatment.</w:t>
      </w:r>
    </w:p>
    <w:p w14:paraId="1C8F5BE7" w14:textId="77777777" w:rsidR="000069B7" w:rsidRPr="003F608A" w:rsidRDefault="000069B7" w:rsidP="000069B7">
      <w:pPr>
        <w:spacing w:line="480" w:lineRule="auto"/>
        <w:rPr>
          <w:lang w:val="en-US"/>
        </w:rPr>
      </w:pPr>
      <w:r>
        <w:rPr>
          <w:vertAlign w:val="superscript"/>
          <w:lang w:val="en-US"/>
        </w:rPr>
        <w:t>c</w:t>
      </w:r>
      <w:r>
        <w:rPr>
          <w:lang w:val="en-US"/>
        </w:rPr>
        <w:t>All grade 1 in intensity.</w:t>
      </w:r>
    </w:p>
    <w:p w14:paraId="42C579F2" w14:textId="77777777" w:rsidR="000069B7" w:rsidRDefault="000069B7" w:rsidP="000069B7">
      <w:pPr>
        <w:spacing w:line="480" w:lineRule="auto"/>
      </w:pPr>
      <w:r w:rsidRPr="00B026C7">
        <w:rPr>
          <w:lang w:val="en-US"/>
        </w:rPr>
        <w:t xml:space="preserve">EU-tocilizumab = European Union-approved reference tocilizumab. TEAE = treatment-emergent adverse event. TEAESI = treatment-emergent adverse event of special interest. TESAE = treatment-emergent serious adverse event. </w:t>
      </w:r>
    </w:p>
    <w:p w14:paraId="2CE40844" w14:textId="77777777" w:rsidR="000069B7" w:rsidRDefault="000069B7" w:rsidP="000069B7">
      <w:pPr>
        <w:spacing w:before="0" w:after="160" w:line="259" w:lineRule="auto"/>
        <w:rPr>
          <w:rFonts w:eastAsia="Times New Roman"/>
          <w:b/>
          <w:bCs/>
          <w:szCs w:val="26"/>
          <w:lang w:val="en-US"/>
        </w:rPr>
      </w:pPr>
      <w:r>
        <w:br w:type="page"/>
      </w:r>
    </w:p>
    <w:p w14:paraId="431DD9E4" w14:textId="5ADEAAC7" w:rsidR="000069B7" w:rsidRPr="00B026C7" w:rsidRDefault="000069B7" w:rsidP="000069B7">
      <w:pPr>
        <w:pStyle w:val="Heading2"/>
      </w:pPr>
      <w:bookmarkStart w:id="11" w:name="_Toc130216893"/>
      <w:r w:rsidRPr="00B026C7">
        <w:lastRenderedPageBreak/>
        <w:t xml:space="preserve">Supplementary Table </w:t>
      </w:r>
      <w:r>
        <w:t>4</w:t>
      </w:r>
      <w:r w:rsidRPr="00B026C7">
        <w:t xml:space="preserve">. </w:t>
      </w:r>
      <w:r w:rsidRPr="00B026C7">
        <w:rPr>
          <w:b w:val="0"/>
          <w:bCs w:val="0"/>
        </w:rPr>
        <w:t>Summary of immunogenicity results (safety set</w:t>
      </w:r>
      <w:r>
        <w:rPr>
          <w:b w:val="0"/>
          <w:bCs w:val="0"/>
        </w:rPr>
        <w:t>; Part 2</w:t>
      </w:r>
      <w:r w:rsidRPr="00B026C7">
        <w:rPr>
          <w:b w:val="0"/>
          <w:bCs w:val="0"/>
        </w:rPr>
        <w:t>).</w:t>
      </w:r>
      <w:bookmarkEnd w:id="11"/>
      <w:r w:rsidRPr="00B026C7">
        <w:rPr>
          <w:b w:val="0"/>
          <w:bCs w:val="0"/>
        </w:rPr>
        <w:t xml:space="preserve"> </w:t>
      </w:r>
    </w:p>
    <w:tbl>
      <w:tblPr>
        <w:tblW w:w="4708" w:type="pct"/>
        <w:tblBorders>
          <w:top w:val="single" w:sz="4" w:space="0" w:color="7F7F7F"/>
          <w:bottom w:val="single" w:sz="4" w:space="0" w:color="7F7F7F"/>
        </w:tblBorders>
        <w:tblLook w:val="04A0" w:firstRow="1" w:lastRow="0" w:firstColumn="1" w:lastColumn="0" w:noHBand="0" w:noVBand="1"/>
      </w:tblPr>
      <w:tblGrid>
        <w:gridCol w:w="4394"/>
        <w:gridCol w:w="2126"/>
        <w:gridCol w:w="1983"/>
      </w:tblGrid>
      <w:tr w:rsidR="000069B7" w:rsidRPr="00B026C7" w14:paraId="128876C8" w14:textId="77777777" w:rsidTr="004A495F">
        <w:trPr>
          <w:trHeight w:val="567"/>
        </w:trPr>
        <w:tc>
          <w:tcPr>
            <w:tcW w:w="2584" w:type="pct"/>
            <w:tcBorders>
              <w:bottom w:val="single" w:sz="4" w:space="0" w:color="7F7F7F"/>
            </w:tcBorders>
            <w:shd w:val="clear" w:color="auto" w:fill="auto"/>
          </w:tcPr>
          <w:p w14:paraId="6B3CDAB7" w14:textId="77777777" w:rsidR="000069B7" w:rsidRPr="00B026C7" w:rsidRDefault="000069B7" w:rsidP="004A495F">
            <w:pPr>
              <w:spacing w:before="0" w:after="0"/>
              <w:rPr>
                <w:rFonts w:cs="Arial"/>
                <w:b/>
                <w:bCs/>
                <w:sz w:val="20"/>
                <w:szCs w:val="20"/>
                <w:lang w:val="en-US"/>
              </w:rPr>
            </w:pPr>
            <w:bookmarkStart w:id="12" w:name="_Hlk118722553"/>
            <w:bookmarkStart w:id="13" w:name="_Hlk118651744"/>
          </w:p>
        </w:tc>
        <w:tc>
          <w:tcPr>
            <w:tcW w:w="1250" w:type="pct"/>
            <w:tcBorders>
              <w:bottom w:val="single" w:sz="4" w:space="0" w:color="7F7F7F"/>
            </w:tcBorders>
            <w:shd w:val="clear" w:color="auto" w:fill="auto"/>
            <w:vAlign w:val="center"/>
          </w:tcPr>
          <w:p w14:paraId="189F84FC" w14:textId="77777777" w:rsidR="000069B7" w:rsidRPr="00B026C7" w:rsidRDefault="000069B7" w:rsidP="004A495F">
            <w:pPr>
              <w:spacing w:before="0" w:after="0"/>
              <w:jc w:val="center"/>
              <w:rPr>
                <w:rFonts w:cs="Arial"/>
                <w:b/>
                <w:bCs/>
                <w:szCs w:val="24"/>
                <w:lang w:val="en-US"/>
              </w:rPr>
            </w:pPr>
            <w:r w:rsidRPr="00B026C7">
              <w:rPr>
                <w:rFonts w:cs="Arial"/>
                <w:b/>
                <w:bCs/>
                <w:szCs w:val="24"/>
                <w:lang w:val="en-US"/>
              </w:rPr>
              <w:t>CT-P47</w:t>
            </w:r>
            <w:r w:rsidRPr="00B026C7">
              <w:rPr>
                <w:rFonts w:cs="Arial"/>
                <w:b/>
                <w:bCs/>
                <w:szCs w:val="24"/>
                <w:lang w:val="en-US"/>
              </w:rPr>
              <w:br/>
              <w:t>(N=144)</w:t>
            </w:r>
          </w:p>
        </w:tc>
        <w:tc>
          <w:tcPr>
            <w:tcW w:w="1166" w:type="pct"/>
            <w:tcBorders>
              <w:bottom w:val="single" w:sz="4" w:space="0" w:color="7F7F7F"/>
            </w:tcBorders>
          </w:tcPr>
          <w:p w14:paraId="3ABD7D9B" w14:textId="77777777" w:rsidR="000069B7" w:rsidRPr="00B026C7" w:rsidRDefault="000069B7" w:rsidP="004A495F">
            <w:pPr>
              <w:spacing w:before="0" w:after="0"/>
              <w:jc w:val="center"/>
              <w:rPr>
                <w:rFonts w:cs="Arial"/>
                <w:b/>
                <w:bCs/>
                <w:szCs w:val="24"/>
                <w:lang w:val="en-US"/>
              </w:rPr>
            </w:pPr>
            <w:r w:rsidRPr="00B026C7">
              <w:rPr>
                <w:rFonts w:cs="Arial"/>
                <w:b/>
                <w:bCs/>
                <w:szCs w:val="24"/>
                <w:lang w:val="en-US"/>
              </w:rPr>
              <w:t>EU-tocilizumab</w:t>
            </w:r>
            <w:r w:rsidRPr="00B026C7">
              <w:rPr>
                <w:rFonts w:cs="Arial"/>
                <w:b/>
                <w:bCs/>
                <w:szCs w:val="24"/>
                <w:lang w:val="en-US"/>
              </w:rPr>
              <w:br/>
              <w:t>(N=140)</w:t>
            </w:r>
          </w:p>
        </w:tc>
      </w:tr>
      <w:bookmarkEnd w:id="12"/>
      <w:tr w:rsidR="000069B7" w:rsidRPr="00B026C7" w14:paraId="4075425B" w14:textId="77777777" w:rsidTr="004A495F">
        <w:trPr>
          <w:trHeight w:val="567"/>
        </w:trPr>
        <w:tc>
          <w:tcPr>
            <w:tcW w:w="2584" w:type="pct"/>
            <w:tcBorders>
              <w:top w:val="single" w:sz="4" w:space="0" w:color="7F7F7F"/>
              <w:bottom w:val="nil"/>
            </w:tcBorders>
            <w:shd w:val="clear" w:color="auto" w:fill="auto"/>
          </w:tcPr>
          <w:p w14:paraId="18419779" w14:textId="77777777" w:rsidR="000069B7" w:rsidRPr="00B026C7" w:rsidRDefault="000069B7" w:rsidP="004A495F">
            <w:pPr>
              <w:spacing w:before="0" w:after="0"/>
              <w:rPr>
                <w:rFonts w:cs="Arial"/>
                <w:szCs w:val="24"/>
                <w:lang w:val="en-US"/>
              </w:rPr>
            </w:pPr>
            <w:r w:rsidRPr="00B026C7">
              <w:rPr>
                <w:rFonts w:cs="Arial"/>
                <w:szCs w:val="24"/>
                <w:lang w:val="en-US"/>
              </w:rPr>
              <w:t>Participants with ≥1 positive post-baseline ADA result, n (%)</w:t>
            </w:r>
          </w:p>
        </w:tc>
        <w:tc>
          <w:tcPr>
            <w:tcW w:w="1250" w:type="pct"/>
            <w:tcBorders>
              <w:top w:val="single" w:sz="4" w:space="0" w:color="7F7F7F"/>
              <w:bottom w:val="nil"/>
            </w:tcBorders>
            <w:shd w:val="clear" w:color="auto" w:fill="auto"/>
            <w:vAlign w:val="center"/>
          </w:tcPr>
          <w:p w14:paraId="275CB501" w14:textId="77777777" w:rsidR="000069B7" w:rsidRPr="00B026C7" w:rsidRDefault="000069B7" w:rsidP="004A495F">
            <w:pPr>
              <w:spacing w:before="0" w:after="0"/>
              <w:jc w:val="center"/>
              <w:rPr>
                <w:rFonts w:cs="Arial"/>
                <w:szCs w:val="24"/>
                <w:lang w:val="en-US"/>
              </w:rPr>
            </w:pPr>
            <w:r w:rsidRPr="00B026C7">
              <w:rPr>
                <w:rFonts w:cs="Arial"/>
                <w:szCs w:val="24"/>
                <w:lang w:val="en-US"/>
              </w:rPr>
              <w:t>20 (13.9)</w:t>
            </w:r>
          </w:p>
        </w:tc>
        <w:tc>
          <w:tcPr>
            <w:tcW w:w="1166" w:type="pct"/>
            <w:tcBorders>
              <w:top w:val="single" w:sz="4" w:space="0" w:color="7F7F7F"/>
              <w:bottom w:val="nil"/>
            </w:tcBorders>
            <w:vAlign w:val="center"/>
          </w:tcPr>
          <w:p w14:paraId="2A98BC1C" w14:textId="77777777" w:rsidR="000069B7" w:rsidRPr="00B026C7" w:rsidRDefault="000069B7" w:rsidP="004A495F">
            <w:pPr>
              <w:spacing w:before="0" w:after="0"/>
              <w:jc w:val="center"/>
              <w:rPr>
                <w:rFonts w:cs="Arial"/>
                <w:szCs w:val="24"/>
                <w:lang w:val="en-US"/>
              </w:rPr>
            </w:pPr>
            <w:r w:rsidRPr="00B026C7">
              <w:rPr>
                <w:rFonts w:cs="Arial"/>
                <w:szCs w:val="24"/>
                <w:lang w:val="en-US"/>
              </w:rPr>
              <w:t>29 (20.7)</w:t>
            </w:r>
          </w:p>
        </w:tc>
      </w:tr>
      <w:tr w:rsidR="000069B7" w:rsidRPr="00B026C7" w14:paraId="44D73C82" w14:textId="77777777" w:rsidTr="004A495F">
        <w:trPr>
          <w:trHeight w:val="567"/>
        </w:trPr>
        <w:tc>
          <w:tcPr>
            <w:tcW w:w="2584" w:type="pct"/>
            <w:tcBorders>
              <w:top w:val="single" w:sz="4" w:space="0" w:color="7F7F7F"/>
              <w:bottom w:val="single" w:sz="4" w:space="0" w:color="7F7F7F"/>
            </w:tcBorders>
            <w:shd w:val="clear" w:color="auto" w:fill="auto"/>
          </w:tcPr>
          <w:p w14:paraId="6D7F8222" w14:textId="77777777" w:rsidR="000069B7" w:rsidRPr="00B026C7" w:rsidRDefault="000069B7" w:rsidP="004A495F">
            <w:pPr>
              <w:spacing w:before="0" w:after="0"/>
              <w:rPr>
                <w:rFonts w:cs="Arial"/>
                <w:b/>
                <w:bCs/>
                <w:szCs w:val="24"/>
                <w:lang w:val="en-US"/>
              </w:rPr>
            </w:pPr>
            <w:r w:rsidRPr="00B026C7">
              <w:rPr>
                <w:rFonts w:cs="Arial"/>
                <w:szCs w:val="24"/>
                <w:lang w:val="en-US"/>
              </w:rPr>
              <w:t>Participants with ≥1 positive post-baseline NAb result, n (%)</w:t>
            </w:r>
          </w:p>
        </w:tc>
        <w:tc>
          <w:tcPr>
            <w:tcW w:w="1250" w:type="pct"/>
            <w:tcBorders>
              <w:top w:val="single" w:sz="4" w:space="0" w:color="7F7F7F"/>
              <w:bottom w:val="single" w:sz="4" w:space="0" w:color="7F7F7F"/>
            </w:tcBorders>
            <w:shd w:val="clear" w:color="auto" w:fill="auto"/>
            <w:vAlign w:val="center"/>
          </w:tcPr>
          <w:p w14:paraId="4FB053D4" w14:textId="77777777" w:rsidR="000069B7" w:rsidRPr="00B026C7" w:rsidRDefault="000069B7" w:rsidP="004A495F">
            <w:pPr>
              <w:spacing w:before="0" w:after="0"/>
              <w:jc w:val="center"/>
              <w:rPr>
                <w:rFonts w:cs="Arial"/>
                <w:szCs w:val="24"/>
                <w:lang w:val="en-US"/>
              </w:rPr>
            </w:pPr>
            <w:r w:rsidRPr="00B026C7">
              <w:rPr>
                <w:rFonts w:cs="Arial"/>
                <w:szCs w:val="24"/>
                <w:lang w:val="en-US"/>
              </w:rPr>
              <w:t>17 (11.8)</w:t>
            </w:r>
          </w:p>
        </w:tc>
        <w:tc>
          <w:tcPr>
            <w:tcW w:w="1166" w:type="pct"/>
            <w:tcBorders>
              <w:top w:val="single" w:sz="4" w:space="0" w:color="7F7F7F"/>
              <w:bottom w:val="single" w:sz="4" w:space="0" w:color="7F7F7F"/>
            </w:tcBorders>
            <w:vAlign w:val="center"/>
          </w:tcPr>
          <w:p w14:paraId="3A8CC10F" w14:textId="77777777" w:rsidR="000069B7" w:rsidRPr="00B026C7" w:rsidRDefault="000069B7" w:rsidP="004A495F">
            <w:pPr>
              <w:spacing w:before="0" w:after="0"/>
              <w:jc w:val="center"/>
              <w:rPr>
                <w:rFonts w:cs="Arial"/>
                <w:szCs w:val="24"/>
                <w:lang w:val="en-US"/>
              </w:rPr>
            </w:pPr>
            <w:r w:rsidRPr="00B026C7">
              <w:rPr>
                <w:rFonts w:cs="Arial"/>
                <w:szCs w:val="24"/>
                <w:lang w:val="en-US"/>
              </w:rPr>
              <w:t>20 (14.3)</w:t>
            </w:r>
          </w:p>
        </w:tc>
      </w:tr>
      <w:tr w:rsidR="000069B7" w:rsidRPr="00B026C7" w14:paraId="6F453AD0" w14:textId="77777777" w:rsidTr="004A495F">
        <w:trPr>
          <w:trHeight w:val="567"/>
        </w:trPr>
        <w:tc>
          <w:tcPr>
            <w:tcW w:w="2584" w:type="pct"/>
            <w:tcBorders>
              <w:top w:val="single" w:sz="4" w:space="0" w:color="7F7F7F"/>
              <w:bottom w:val="single" w:sz="4" w:space="0" w:color="auto"/>
            </w:tcBorders>
            <w:shd w:val="clear" w:color="auto" w:fill="auto"/>
            <w:vAlign w:val="center"/>
          </w:tcPr>
          <w:p w14:paraId="10391BD3" w14:textId="77777777" w:rsidR="000069B7" w:rsidRPr="00B026C7" w:rsidRDefault="000069B7" w:rsidP="004A495F">
            <w:pPr>
              <w:spacing w:before="0" w:after="0"/>
              <w:rPr>
                <w:rFonts w:cs="Arial"/>
                <w:szCs w:val="24"/>
                <w:lang w:val="en-US"/>
              </w:rPr>
            </w:pPr>
            <w:r w:rsidRPr="00B026C7">
              <w:rPr>
                <w:rFonts w:cs="Arial"/>
                <w:szCs w:val="24"/>
                <w:lang w:val="en-US"/>
              </w:rPr>
              <w:t>Participants with a positive ADA result, n (%)</w:t>
            </w:r>
          </w:p>
        </w:tc>
        <w:tc>
          <w:tcPr>
            <w:tcW w:w="1250" w:type="pct"/>
            <w:tcBorders>
              <w:top w:val="single" w:sz="4" w:space="0" w:color="7F7F7F"/>
              <w:bottom w:val="single" w:sz="4" w:space="0" w:color="auto"/>
            </w:tcBorders>
            <w:shd w:val="clear" w:color="auto" w:fill="auto"/>
            <w:vAlign w:val="center"/>
          </w:tcPr>
          <w:p w14:paraId="79ED23E6" w14:textId="77777777" w:rsidR="000069B7" w:rsidRPr="00B026C7" w:rsidRDefault="000069B7" w:rsidP="004A495F">
            <w:pPr>
              <w:spacing w:before="0" w:after="0"/>
              <w:jc w:val="center"/>
              <w:rPr>
                <w:rFonts w:cs="Arial"/>
                <w:szCs w:val="24"/>
                <w:lang w:val="en-US"/>
              </w:rPr>
            </w:pPr>
          </w:p>
        </w:tc>
        <w:tc>
          <w:tcPr>
            <w:tcW w:w="1166" w:type="pct"/>
            <w:tcBorders>
              <w:top w:val="single" w:sz="4" w:space="0" w:color="7F7F7F"/>
              <w:bottom w:val="single" w:sz="4" w:space="0" w:color="auto"/>
            </w:tcBorders>
            <w:vAlign w:val="center"/>
          </w:tcPr>
          <w:p w14:paraId="19871BE1" w14:textId="77777777" w:rsidR="000069B7" w:rsidRPr="00B026C7" w:rsidRDefault="000069B7" w:rsidP="004A495F">
            <w:pPr>
              <w:spacing w:before="0" w:after="0"/>
              <w:jc w:val="center"/>
              <w:rPr>
                <w:rFonts w:cs="Arial"/>
                <w:szCs w:val="24"/>
                <w:lang w:val="en-US"/>
              </w:rPr>
            </w:pPr>
          </w:p>
        </w:tc>
      </w:tr>
      <w:tr w:rsidR="000069B7" w:rsidRPr="00B026C7" w14:paraId="6E388555" w14:textId="77777777" w:rsidTr="004A495F">
        <w:trPr>
          <w:trHeight w:val="567"/>
        </w:trPr>
        <w:tc>
          <w:tcPr>
            <w:tcW w:w="2584" w:type="pct"/>
            <w:tcBorders>
              <w:top w:val="single" w:sz="4" w:space="0" w:color="auto"/>
              <w:bottom w:val="single" w:sz="4" w:space="0" w:color="auto"/>
            </w:tcBorders>
            <w:shd w:val="clear" w:color="auto" w:fill="auto"/>
            <w:vAlign w:val="center"/>
          </w:tcPr>
          <w:p w14:paraId="4DEE209E" w14:textId="77777777" w:rsidR="000069B7" w:rsidRPr="00B026C7" w:rsidRDefault="000069B7" w:rsidP="004A495F">
            <w:pPr>
              <w:spacing w:before="0" w:after="0"/>
              <w:ind w:left="321"/>
              <w:rPr>
                <w:rFonts w:cs="Arial"/>
                <w:szCs w:val="24"/>
                <w:lang w:val="en-US"/>
              </w:rPr>
            </w:pPr>
            <w:r w:rsidRPr="00B026C7">
              <w:rPr>
                <w:rFonts w:cs="Arial"/>
                <w:szCs w:val="24"/>
                <w:lang w:val="en-US"/>
              </w:rPr>
              <w:t>Baseline</w:t>
            </w:r>
          </w:p>
        </w:tc>
        <w:tc>
          <w:tcPr>
            <w:tcW w:w="1250" w:type="pct"/>
            <w:tcBorders>
              <w:top w:val="single" w:sz="4" w:space="0" w:color="auto"/>
              <w:bottom w:val="single" w:sz="4" w:space="0" w:color="auto"/>
            </w:tcBorders>
            <w:shd w:val="clear" w:color="auto" w:fill="auto"/>
            <w:vAlign w:val="center"/>
          </w:tcPr>
          <w:p w14:paraId="43662C55" w14:textId="77777777" w:rsidR="000069B7" w:rsidRPr="00B026C7" w:rsidRDefault="000069B7" w:rsidP="004A495F">
            <w:pPr>
              <w:spacing w:before="0" w:after="0"/>
              <w:jc w:val="center"/>
              <w:rPr>
                <w:rFonts w:cs="Arial"/>
                <w:szCs w:val="24"/>
                <w:lang w:val="en-US"/>
              </w:rPr>
            </w:pPr>
            <w:r w:rsidRPr="00B026C7">
              <w:rPr>
                <w:rFonts w:cs="Arial"/>
                <w:szCs w:val="24"/>
                <w:lang w:val="en-US"/>
              </w:rPr>
              <w:t>1 (0.7)</w:t>
            </w:r>
          </w:p>
        </w:tc>
        <w:tc>
          <w:tcPr>
            <w:tcW w:w="1166" w:type="pct"/>
            <w:tcBorders>
              <w:top w:val="single" w:sz="4" w:space="0" w:color="auto"/>
              <w:bottom w:val="single" w:sz="4" w:space="0" w:color="auto"/>
            </w:tcBorders>
            <w:vAlign w:val="center"/>
          </w:tcPr>
          <w:p w14:paraId="41BF980A" w14:textId="77777777" w:rsidR="000069B7" w:rsidRPr="00B026C7" w:rsidRDefault="000069B7" w:rsidP="004A495F">
            <w:pPr>
              <w:spacing w:before="0" w:after="0"/>
              <w:jc w:val="center"/>
              <w:rPr>
                <w:rFonts w:cs="Arial"/>
                <w:szCs w:val="24"/>
                <w:lang w:val="en-US"/>
              </w:rPr>
            </w:pPr>
            <w:r w:rsidRPr="00B026C7">
              <w:rPr>
                <w:rFonts w:cs="Arial"/>
                <w:szCs w:val="24"/>
                <w:lang w:val="en-US"/>
              </w:rPr>
              <w:t>1 (0.7)</w:t>
            </w:r>
          </w:p>
        </w:tc>
      </w:tr>
      <w:tr w:rsidR="000069B7" w:rsidRPr="00B026C7" w14:paraId="70E277B4" w14:textId="77777777" w:rsidTr="004A495F">
        <w:trPr>
          <w:trHeight w:val="567"/>
        </w:trPr>
        <w:tc>
          <w:tcPr>
            <w:tcW w:w="2584" w:type="pct"/>
            <w:tcBorders>
              <w:top w:val="single" w:sz="4" w:space="0" w:color="auto"/>
              <w:bottom w:val="single" w:sz="4" w:space="0" w:color="auto"/>
            </w:tcBorders>
            <w:shd w:val="clear" w:color="auto" w:fill="auto"/>
            <w:vAlign w:val="center"/>
          </w:tcPr>
          <w:p w14:paraId="095FF595" w14:textId="77777777" w:rsidR="000069B7" w:rsidRPr="00B026C7" w:rsidRDefault="000069B7" w:rsidP="004A495F">
            <w:pPr>
              <w:spacing w:before="0" w:after="0"/>
              <w:ind w:left="321"/>
              <w:rPr>
                <w:rFonts w:cs="Arial"/>
                <w:szCs w:val="24"/>
                <w:lang w:val="en-US"/>
              </w:rPr>
            </w:pPr>
            <w:r w:rsidRPr="00B026C7">
              <w:rPr>
                <w:rFonts w:cs="Arial"/>
                <w:szCs w:val="24"/>
                <w:lang w:val="en-US"/>
              </w:rPr>
              <w:t>Day 13</w:t>
            </w:r>
          </w:p>
        </w:tc>
        <w:tc>
          <w:tcPr>
            <w:tcW w:w="1250" w:type="pct"/>
            <w:tcBorders>
              <w:top w:val="single" w:sz="4" w:space="0" w:color="auto"/>
              <w:bottom w:val="single" w:sz="4" w:space="0" w:color="auto"/>
            </w:tcBorders>
            <w:shd w:val="clear" w:color="auto" w:fill="auto"/>
            <w:vAlign w:val="center"/>
          </w:tcPr>
          <w:p w14:paraId="415D1797" w14:textId="77777777" w:rsidR="000069B7" w:rsidRPr="00B026C7" w:rsidRDefault="000069B7" w:rsidP="004A495F">
            <w:pPr>
              <w:spacing w:before="0" w:after="0"/>
              <w:jc w:val="center"/>
              <w:rPr>
                <w:rFonts w:cs="Arial"/>
                <w:szCs w:val="24"/>
                <w:lang w:val="en-US"/>
              </w:rPr>
            </w:pPr>
            <w:r w:rsidRPr="00B026C7">
              <w:rPr>
                <w:rFonts w:cs="Arial"/>
                <w:szCs w:val="24"/>
                <w:lang w:val="en-US"/>
              </w:rPr>
              <w:t>0</w:t>
            </w:r>
          </w:p>
        </w:tc>
        <w:tc>
          <w:tcPr>
            <w:tcW w:w="1166" w:type="pct"/>
            <w:tcBorders>
              <w:top w:val="single" w:sz="4" w:space="0" w:color="auto"/>
              <w:bottom w:val="single" w:sz="4" w:space="0" w:color="auto"/>
            </w:tcBorders>
            <w:vAlign w:val="center"/>
          </w:tcPr>
          <w:p w14:paraId="2B5EDA1E" w14:textId="77777777" w:rsidR="000069B7" w:rsidRPr="00B026C7" w:rsidRDefault="000069B7" w:rsidP="004A495F">
            <w:pPr>
              <w:spacing w:before="0" w:after="0"/>
              <w:jc w:val="center"/>
              <w:rPr>
                <w:rFonts w:cs="Arial"/>
                <w:szCs w:val="24"/>
                <w:lang w:val="en-US"/>
              </w:rPr>
            </w:pPr>
            <w:r w:rsidRPr="00B026C7">
              <w:rPr>
                <w:rFonts w:cs="Arial"/>
                <w:szCs w:val="24"/>
                <w:lang w:val="en-US"/>
              </w:rPr>
              <w:t>4 (2.9)</w:t>
            </w:r>
          </w:p>
        </w:tc>
      </w:tr>
      <w:tr w:rsidR="000069B7" w:rsidRPr="00B026C7" w14:paraId="49A3EE47" w14:textId="77777777" w:rsidTr="004A495F">
        <w:trPr>
          <w:trHeight w:val="567"/>
        </w:trPr>
        <w:tc>
          <w:tcPr>
            <w:tcW w:w="2584" w:type="pct"/>
            <w:tcBorders>
              <w:top w:val="single" w:sz="4" w:space="0" w:color="auto"/>
              <w:bottom w:val="single" w:sz="4" w:space="0" w:color="auto"/>
            </w:tcBorders>
            <w:shd w:val="clear" w:color="auto" w:fill="auto"/>
            <w:vAlign w:val="center"/>
          </w:tcPr>
          <w:p w14:paraId="3B17272E" w14:textId="77777777" w:rsidR="000069B7" w:rsidRPr="00B026C7" w:rsidRDefault="000069B7" w:rsidP="004A495F">
            <w:pPr>
              <w:spacing w:before="0" w:after="0"/>
              <w:ind w:left="321"/>
              <w:rPr>
                <w:rFonts w:cs="Arial"/>
                <w:szCs w:val="24"/>
                <w:lang w:val="en-US"/>
              </w:rPr>
            </w:pPr>
            <w:r w:rsidRPr="00B026C7">
              <w:rPr>
                <w:rFonts w:cs="Arial"/>
                <w:szCs w:val="24"/>
                <w:lang w:val="en-US"/>
              </w:rPr>
              <w:t>Day 43</w:t>
            </w:r>
          </w:p>
        </w:tc>
        <w:tc>
          <w:tcPr>
            <w:tcW w:w="1250" w:type="pct"/>
            <w:tcBorders>
              <w:top w:val="single" w:sz="4" w:space="0" w:color="auto"/>
              <w:bottom w:val="single" w:sz="4" w:space="0" w:color="auto"/>
            </w:tcBorders>
            <w:shd w:val="clear" w:color="auto" w:fill="auto"/>
            <w:vAlign w:val="center"/>
          </w:tcPr>
          <w:p w14:paraId="0246F40B" w14:textId="77777777" w:rsidR="000069B7" w:rsidRPr="00B026C7" w:rsidRDefault="000069B7" w:rsidP="004A495F">
            <w:pPr>
              <w:spacing w:before="0" w:after="0"/>
              <w:jc w:val="center"/>
              <w:rPr>
                <w:rFonts w:cs="Arial"/>
                <w:szCs w:val="24"/>
                <w:lang w:val="en-US"/>
              </w:rPr>
            </w:pPr>
            <w:r w:rsidRPr="00B026C7">
              <w:rPr>
                <w:rFonts w:cs="Arial"/>
                <w:szCs w:val="24"/>
                <w:lang w:val="en-US"/>
              </w:rPr>
              <w:t>20 (13.9)</w:t>
            </w:r>
          </w:p>
        </w:tc>
        <w:tc>
          <w:tcPr>
            <w:tcW w:w="1166" w:type="pct"/>
            <w:tcBorders>
              <w:top w:val="single" w:sz="4" w:space="0" w:color="auto"/>
              <w:bottom w:val="single" w:sz="4" w:space="0" w:color="auto"/>
            </w:tcBorders>
            <w:vAlign w:val="center"/>
          </w:tcPr>
          <w:p w14:paraId="770D05C9" w14:textId="77777777" w:rsidR="000069B7" w:rsidRPr="00B026C7" w:rsidRDefault="000069B7" w:rsidP="004A495F">
            <w:pPr>
              <w:spacing w:before="0" w:after="0"/>
              <w:jc w:val="center"/>
              <w:rPr>
                <w:rFonts w:cs="Arial"/>
                <w:szCs w:val="24"/>
                <w:lang w:val="en-US"/>
              </w:rPr>
            </w:pPr>
            <w:r w:rsidRPr="00B026C7">
              <w:rPr>
                <w:rFonts w:cs="Arial"/>
                <w:szCs w:val="24"/>
                <w:lang w:val="en-US"/>
              </w:rPr>
              <w:t>28 (20.0)</w:t>
            </w:r>
          </w:p>
        </w:tc>
      </w:tr>
      <w:tr w:rsidR="000069B7" w:rsidRPr="00B026C7" w14:paraId="78A0AAE3" w14:textId="77777777" w:rsidTr="004A495F">
        <w:trPr>
          <w:trHeight w:val="567"/>
        </w:trPr>
        <w:tc>
          <w:tcPr>
            <w:tcW w:w="2584" w:type="pct"/>
            <w:tcBorders>
              <w:top w:val="single" w:sz="4" w:space="0" w:color="auto"/>
              <w:bottom w:val="single" w:sz="4" w:space="0" w:color="auto"/>
            </w:tcBorders>
            <w:shd w:val="clear" w:color="auto" w:fill="auto"/>
            <w:vAlign w:val="center"/>
          </w:tcPr>
          <w:p w14:paraId="30F8E6BF" w14:textId="77777777" w:rsidR="000069B7" w:rsidRPr="00B026C7" w:rsidRDefault="000069B7" w:rsidP="004A495F">
            <w:pPr>
              <w:spacing w:before="0" w:after="0"/>
              <w:rPr>
                <w:rFonts w:cs="Arial"/>
                <w:szCs w:val="24"/>
                <w:lang w:val="en-US"/>
              </w:rPr>
            </w:pPr>
            <w:r w:rsidRPr="00B026C7">
              <w:rPr>
                <w:rFonts w:cs="Arial"/>
                <w:szCs w:val="24"/>
                <w:lang w:val="en-US"/>
              </w:rPr>
              <w:t>Participants with a positive NAb result, n (%)</w:t>
            </w:r>
          </w:p>
        </w:tc>
        <w:tc>
          <w:tcPr>
            <w:tcW w:w="1250" w:type="pct"/>
            <w:tcBorders>
              <w:top w:val="single" w:sz="4" w:space="0" w:color="auto"/>
              <w:bottom w:val="single" w:sz="4" w:space="0" w:color="auto"/>
            </w:tcBorders>
            <w:shd w:val="clear" w:color="auto" w:fill="auto"/>
            <w:vAlign w:val="center"/>
          </w:tcPr>
          <w:p w14:paraId="57B8F5C4" w14:textId="77777777" w:rsidR="000069B7" w:rsidRPr="00B026C7" w:rsidRDefault="000069B7" w:rsidP="004A495F">
            <w:pPr>
              <w:spacing w:before="0" w:after="0"/>
              <w:jc w:val="center"/>
              <w:rPr>
                <w:rFonts w:cs="Arial"/>
                <w:szCs w:val="24"/>
                <w:lang w:val="en-US"/>
              </w:rPr>
            </w:pPr>
          </w:p>
        </w:tc>
        <w:tc>
          <w:tcPr>
            <w:tcW w:w="1166" w:type="pct"/>
            <w:tcBorders>
              <w:top w:val="single" w:sz="4" w:space="0" w:color="auto"/>
              <w:bottom w:val="single" w:sz="4" w:space="0" w:color="auto"/>
            </w:tcBorders>
            <w:vAlign w:val="center"/>
          </w:tcPr>
          <w:p w14:paraId="6DB94BDF" w14:textId="77777777" w:rsidR="000069B7" w:rsidRPr="00B026C7" w:rsidRDefault="000069B7" w:rsidP="004A495F">
            <w:pPr>
              <w:spacing w:before="0" w:after="0"/>
              <w:jc w:val="center"/>
              <w:rPr>
                <w:rFonts w:cs="Arial"/>
                <w:szCs w:val="24"/>
                <w:lang w:val="en-US"/>
              </w:rPr>
            </w:pPr>
          </w:p>
        </w:tc>
      </w:tr>
      <w:tr w:rsidR="000069B7" w:rsidRPr="00B026C7" w14:paraId="744962CF" w14:textId="77777777" w:rsidTr="004A495F">
        <w:trPr>
          <w:trHeight w:val="567"/>
        </w:trPr>
        <w:tc>
          <w:tcPr>
            <w:tcW w:w="2584" w:type="pct"/>
            <w:tcBorders>
              <w:top w:val="single" w:sz="4" w:space="0" w:color="auto"/>
              <w:bottom w:val="single" w:sz="4" w:space="0" w:color="auto"/>
            </w:tcBorders>
            <w:shd w:val="clear" w:color="auto" w:fill="auto"/>
            <w:vAlign w:val="center"/>
          </w:tcPr>
          <w:p w14:paraId="46C8B07D" w14:textId="77777777" w:rsidR="000069B7" w:rsidRPr="00B026C7" w:rsidRDefault="000069B7" w:rsidP="004A495F">
            <w:pPr>
              <w:spacing w:before="0" w:after="0"/>
              <w:ind w:left="321"/>
              <w:rPr>
                <w:rFonts w:cs="Arial"/>
                <w:szCs w:val="24"/>
                <w:lang w:val="en-US"/>
              </w:rPr>
            </w:pPr>
            <w:r w:rsidRPr="00B026C7">
              <w:rPr>
                <w:rFonts w:cs="Arial"/>
                <w:szCs w:val="24"/>
                <w:lang w:val="en-US"/>
              </w:rPr>
              <w:t>Baseline</w:t>
            </w:r>
          </w:p>
        </w:tc>
        <w:tc>
          <w:tcPr>
            <w:tcW w:w="1250" w:type="pct"/>
            <w:tcBorders>
              <w:top w:val="single" w:sz="4" w:space="0" w:color="auto"/>
              <w:bottom w:val="single" w:sz="4" w:space="0" w:color="auto"/>
            </w:tcBorders>
            <w:shd w:val="clear" w:color="auto" w:fill="auto"/>
            <w:vAlign w:val="center"/>
          </w:tcPr>
          <w:p w14:paraId="1C278627" w14:textId="77777777" w:rsidR="000069B7" w:rsidRPr="00B026C7" w:rsidRDefault="000069B7" w:rsidP="004A495F">
            <w:pPr>
              <w:spacing w:before="0" w:after="0"/>
              <w:jc w:val="center"/>
              <w:rPr>
                <w:rFonts w:cs="Arial"/>
                <w:szCs w:val="24"/>
                <w:lang w:val="en-US"/>
              </w:rPr>
            </w:pPr>
            <w:r w:rsidRPr="00B026C7">
              <w:rPr>
                <w:rFonts w:cs="Arial"/>
                <w:szCs w:val="24"/>
                <w:lang w:val="en-US"/>
              </w:rPr>
              <w:t>0</w:t>
            </w:r>
          </w:p>
        </w:tc>
        <w:tc>
          <w:tcPr>
            <w:tcW w:w="1166" w:type="pct"/>
            <w:tcBorders>
              <w:top w:val="single" w:sz="4" w:space="0" w:color="auto"/>
              <w:bottom w:val="single" w:sz="4" w:space="0" w:color="auto"/>
            </w:tcBorders>
            <w:vAlign w:val="center"/>
          </w:tcPr>
          <w:p w14:paraId="3352385F" w14:textId="77777777" w:rsidR="000069B7" w:rsidRPr="00B026C7" w:rsidRDefault="000069B7" w:rsidP="004A495F">
            <w:pPr>
              <w:spacing w:before="0" w:after="0"/>
              <w:jc w:val="center"/>
              <w:rPr>
                <w:rFonts w:cs="Arial"/>
                <w:szCs w:val="24"/>
                <w:lang w:val="en-US"/>
              </w:rPr>
            </w:pPr>
            <w:r w:rsidRPr="00B026C7">
              <w:rPr>
                <w:rFonts w:cs="Arial"/>
                <w:szCs w:val="24"/>
                <w:lang w:val="en-US"/>
              </w:rPr>
              <w:t>0</w:t>
            </w:r>
          </w:p>
        </w:tc>
      </w:tr>
      <w:tr w:rsidR="000069B7" w:rsidRPr="00B026C7" w14:paraId="072C0D5A" w14:textId="77777777" w:rsidTr="004A495F">
        <w:trPr>
          <w:trHeight w:val="567"/>
        </w:trPr>
        <w:tc>
          <w:tcPr>
            <w:tcW w:w="2584" w:type="pct"/>
            <w:tcBorders>
              <w:top w:val="single" w:sz="4" w:space="0" w:color="auto"/>
              <w:bottom w:val="single" w:sz="4" w:space="0" w:color="auto"/>
            </w:tcBorders>
            <w:shd w:val="clear" w:color="auto" w:fill="auto"/>
            <w:vAlign w:val="center"/>
          </w:tcPr>
          <w:p w14:paraId="3E609849" w14:textId="77777777" w:rsidR="000069B7" w:rsidRPr="00B026C7" w:rsidDel="00B25125" w:rsidRDefault="000069B7" w:rsidP="004A495F">
            <w:pPr>
              <w:spacing w:before="0" w:after="0"/>
              <w:ind w:left="321"/>
              <w:rPr>
                <w:rFonts w:cs="Arial"/>
                <w:szCs w:val="24"/>
                <w:lang w:val="en-US"/>
              </w:rPr>
            </w:pPr>
            <w:r w:rsidRPr="00B026C7">
              <w:rPr>
                <w:rFonts w:cs="Arial"/>
                <w:szCs w:val="24"/>
                <w:lang w:val="en-US"/>
              </w:rPr>
              <w:t>Day 13</w:t>
            </w:r>
          </w:p>
        </w:tc>
        <w:tc>
          <w:tcPr>
            <w:tcW w:w="1250" w:type="pct"/>
            <w:tcBorders>
              <w:top w:val="single" w:sz="4" w:space="0" w:color="auto"/>
              <w:bottom w:val="single" w:sz="4" w:space="0" w:color="auto"/>
            </w:tcBorders>
            <w:shd w:val="clear" w:color="auto" w:fill="auto"/>
            <w:vAlign w:val="center"/>
          </w:tcPr>
          <w:p w14:paraId="1ABEF061" w14:textId="77777777" w:rsidR="000069B7" w:rsidRPr="00B026C7" w:rsidRDefault="000069B7" w:rsidP="004A495F">
            <w:pPr>
              <w:spacing w:before="0" w:after="0"/>
              <w:jc w:val="center"/>
              <w:rPr>
                <w:rFonts w:cs="Arial"/>
                <w:szCs w:val="24"/>
                <w:lang w:val="en-US"/>
              </w:rPr>
            </w:pPr>
            <w:r w:rsidRPr="00B026C7">
              <w:rPr>
                <w:rFonts w:cs="Arial"/>
                <w:szCs w:val="24"/>
                <w:lang w:val="en-US"/>
              </w:rPr>
              <w:t>0</w:t>
            </w:r>
          </w:p>
        </w:tc>
        <w:tc>
          <w:tcPr>
            <w:tcW w:w="1166" w:type="pct"/>
            <w:tcBorders>
              <w:top w:val="single" w:sz="4" w:space="0" w:color="auto"/>
              <w:bottom w:val="single" w:sz="4" w:space="0" w:color="auto"/>
            </w:tcBorders>
            <w:vAlign w:val="center"/>
          </w:tcPr>
          <w:p w14:paraId="2A187422" w14:textId="77777777" w:rsidR="000069B7" w:rsidRPr="00B026C7" w:rsidRDefault="000069B7" w:rsidP="004A495F">
            <w:pPr>
              <w:spacing w:before="0" w:after="0"/>
              <w:jc w:val="center"/>
              <w:rPr>
                <w:rFonts w:cs="Arial"/>
                <w:szCs w:val="24"/>
                <w:lang w:val="en-US"/>
              </w:rPr>
            </w:pPr>
            <w:r w:rsidRPr="00B026C7">
              <w:rPr>
                <w:rFonts w:cs="Arial"/>
                <w:szCs w:val="24"/>
                <w:lang w:val="en-US"/>
              </w:rPr>
              <w:t>1 (0.7)</w:t>
            </w:r>
          </w:p>
        </w:tc>
      </w:tr>
      <w:tr w:rsidR="000069B7" w:rsidRPr="00B026C7" w14:paraId="20BCDE2A" w14:textId="77777777" w:rsidTr="004A495F">
        <w:trPr>
          <w:trHeight w:val="567"/>
        </w:trPr>
        <w:tc>
          <w:tcPr>
            <w:tcW w:w="2584" w:type="pct"/>
            <w:tcBorders>
              <w:top w:val="single" w:sz="4" w:space="0" w:color="auto"/>
              <w:bottom w:val="single" w:sz="4" w:space="0" w:color="auto"/>
            </w:tcBorders>
            <w:shd w:val="clear" w:color="auto" w:fill="auto"/>
            <w:vAlign w:val="center"/>
          </w:tcPr>
          <w:p w14:paraId="4008F6BC" w14:textId="77777777" w:rsidR="000069B7" w:rsidRPr="00B026C7" w:rsidDel="00B25125" w:rsidRDefault="000069B7" w:rsidP="004A495F">
            <w:pPr>
              <w:spacing w:before="0" w:after="0"/>
              <w:ind w:left="321"/>
              <w:rPr>
                <w:rFonts w:cs="Arial"/>
                <w:szCs w:val="24"/>
                <w:lang w:val="en-US"/>
              </w:rPr>
            </w:pPr>
            <w:r w:rsidRPr="00B026C7">
              <w:rPr>
                <w:rFonts w:cs="Arial"/>
                <w:szCs w:val="24"/>
                <w:lang w:val="en-US"/>
              </w:rPr>
              <w:t>Day 43</w:t>
            </w:r>
          </w:p>
        </w:tc>
        <w:tc>
          <w:tcPr>
            <w:tcW w:w="1250" w:type="pct"/>
            <w:tcBorders>
              <w:top w:val="single" w:sz="4" w:space="0" w:color="auto"/>
              <w:bottom w:val="single" w:sz="4" w:space="0" w:color="auto"/>
            </w:tcBorders>
            <w:shd w:val="clear" w:color="auto" w:fill="auto"/>
            <w:vAlign w:val="center"/>
          </w:tcPr>
          <w:p w14:paraId="32EE5740" w14:textId="77777777" w:rsidR="000069B7" w:rsidRPr="00B026C7" w:rsidRDefault="000069B7" w:rsidP="004A495F">
            <w:pPr>
              <w:spacing w:before="0" w:after="0"/>
              <w:jc w:val="center"/>
              <w:rPr>
                <w:rFonts w:cs="Arial"/>
                <w:szCs w:val="24"/>
                <w:lang w:val="en-US"/>
              </w:rPr>
            </w:pPr>
            <w:r w:rsidRPr="00B026C7">
              <w:rPr>
                <w:rFonts w:cs="Arial"/>
                <w:szCs w:val="24"/>
                <w:lang w:val="en-US"/>
              </w:rPr>
              <w:t>17 (11.8)</w:t>
            </w:r>
          </w:p>
        </w:tc>
        <w:tc>
          <w:tcPr>
            <w:tcW w:w="1166" w:type="pct"/>
            <w:tcBorders>
              <w:top w:val="single" w:sz="4" w:space="0" w:color="auto"/>
              <w:bottom w:val="single" w:sz="4" w:space="0" w:color="auto"/>
            </w:tcBorders>
            <w:vAlign w:val="center"/>
          </w:tcPr>
          <w:p w14:paraId="7C95FAA1" w14:textId="77777777" w:rsidR="000069B7" w:rsidRPr="00B026C7" w:rsidRDefault="000069B7" w:rsidP="004A495F">
            <w:pPr>
              <w:spacing w:before="0" w:after="0"/>
              <w:jc w:val="center"/>
              <w:rPr>
                <w:rFonts w:cs="Arial"/>
                <w:szCs w:val="24"/>
                <w:lang w:val="en-US"/>
              </w:rPr>
            </w:pPr>
            <w:r w:rsidRPr="00B026C7">
              <w:rPr>
                <w:rFonts w:cs="Arial"/>
                <w:szCs w:val="24"/>
                <w:lang w:val="en-US"/>
              </w:rPr>
              <w:t>19 (13.6)</w:t>
            </w:r>
          </w:p>
        </w:tc>
      </w:tr>
    </w:tbl>
    <w:bookmarkEnd w:id="13"/>
    <w:p w14:paraId="08A3A57D" w14:textId="77777777" w:rsidR="000069B7" w:rsidRPr="00B026C7" w:rsidRDefault="000069B7" w:rsidP="000069B7">
      <w:pPr>
        <w:spacing w:line="480" w:lineRule="auto"/>
        <w:rPr>
          <w:lang w:val="en-US"/>
        </w:rPr>
      </w:pPr>
      <w:r w:rsidRPr="00B026C7">
        <w:rPr>
          <w:lang w:val="en-US"/>
        </w:rPr>
        <w:t xml:space="preserve">ADA = anti-drug antibody. </w:t>
      </w:r>
      <w:r w:rsidRPr="00B026C7">
        <w:rPr>
          <w:rFonts w:cs="Arial"/>
          <w:szCs w:val="24"/>
          <w:lang w:val="en-US"/>
        </w:rPr>
        <w:t xml:space="preserve">EU-tocilizumab = European Union-approved reference tocilizumab. </w:t>
      </w:r>
      <w:r w:rsidRPr="00B026C7">
        <w:rPr>
          <w:lang w:val="en-US"/>
        </w:rPr>
        <w:t xml:space="preserve">NAb = neutralizing antibody. </w:t>
      </w:r>
    </w:p>
    <w:p w14:paraId="091050AE" w14:textId="77777777" w:rsidR="000069B7" w:rsidRPr="00B026C7" w:rsidRDefault="000069B7" w:rsidP="000069B7">
      <w:pPr>
        <w:spacing w:before="0" w:after="160" w:line="259" w:lineRule="auto"/>
        <w:rPr>
          <w:b/>
          <w:bCs/>
          <w:lang w:val="en-US"/>
        </w:rPr>
      </w:pPr>
      <w:r w:rsidRPr="00B026C7">
        <w:rPr>
          <w:b/>
          <w:bCs/>
          <w:lang w:val="en-US"/>
        </w:rPr>
        <w:br w:type="page"/>
      </w:r>
    </w:p>
    <w:p w14:paraId="51F3D364" w14:textId="77777777" w:rsidR="000069B7" w:rsidRPr="00B026C7" w:rsidRDefault="000069B7" w:rsidP="000069B7">
      <w:pPr>
        <w:pStyle w:val="Heading2"/>
        <w:rPr>
          <w:b w:val="0"/>
          <w:bCs w:val="0"/>
        </w:rPr>
      </w:pPr>
      <w:bookmarkStart w:id="14" w:name="_Toc130216894"/>
      <w:r w:rsidRPr="00B026C7">
        <w:lastRenderedPageBreak/>
        <w:t xml:space="preserve">Supplementary Figure 1. </w:t>
      </w:r>
      <w:r w:rsidRPr="00B026C7">
        <w:rPr>
          <w:b w:val="0"/>
          <w:bCs w:val="0"/>
        </w:rPr>
        <w:t>Mean (SD) serum concentrations by ADA status (PK set</w:t>
      </w:r>
      <w:r>
        <w:rPr>
          <w:b w:val="0"/>
          <w:bCs w:val="0"/>
        </w:rPr>
        <w:t>; Part 2</w:t>
      </w:r>
      <w:r w:rsidRPr="00B026C7">
        <w:rPr>
          <w:b w:val="0"/>
          <w:bCs w:val="0"/>
        </w:rPr>
        <w:t>).</w:t>
      </w:r>
      <w:bookmarkEnd w:id="14"/>
    </w:p>
    <w:p w14:paraId="1201754E" w14:textId="77777777" w:rsidR="000069B7" w:rsidRDefault="000069B7" w:rsidP="000069B7">
      <w:pPr>
        <w:rPr>
          <w:rFonts w:eastAsia="Times New Roman"/>
          <w:b/>
          <w:bCs/>
          <w:noProof/>
          <w:szCs w:val="26"/>
          <w:lang w:val="en-US"/>
        </w:rPr>
      </w:pPr>
      <w:r>
        <w:rPr>
          <w:rFonts w:eastAsia="Times New Roman"/>
          <w:b/>
          <w:bCs/>
          <w:noProof/>
          <w:szCs w:val="26"/>
          <w:lang w:val="en-US"/>
        </w:rPr>
        <w:drawing>
          <wp:inline distT="0" distB="0" distL="0" distR="0" wp14:anchorId="401F3CBD" wp14:editId="0969F9A0">
            <wp:extent cx="5734050" cy="2379980"/>
            <wp:effectExtent l="0" t="0" r="0" b="127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4050" cy="2379980"/>
                    </a:xfrm>
                    <a:prstGeom prst="rect">
                      <a:avLst/>
                    </a:prstGeom>
                  </pic:spPr>
                </pic:pic>
              </a:graphicData>
            </a:graphic>
          </wp:inline>
        </w:drawing>
      </w:r>
    </w:p>
    <w:p w14:paraId="5CFDD9DF" w14:textId="77777777" w:rsidR="000069B7" w:rsidRPr="00B026C7" w:rsidRDefault="000069B7" w:rsidP="000069B7">
      <w:pPr>
        <w:rPr>
          <w:lang w:val="en-US"/>
        </w:rPr>
        <w:sectPr w:rsidR="000069B7" w:rsidRPr="00B026C7" w:rsidSect="00D34BA9">
          <w:headerReference w:type="default" r:id="rId6"/>
          <w:footerReference w:type="default" r:id="rId7"/>
          <w:pgSz w:w="11910" w:h="16840"/>
          <w:pgMar w:top="1440" w:right="1440" w:bottom="1440" w:left="1440" w:header="708" w:footer="708" w:gutter="0"/>
          <w:cols w:space="708"/>
          <w:docGrid w:linePitch="360"/>
        </w:sectPr>
      </w:pPr>
      <w:r w:rsidRPr="00B026C7">
        <w:rPr>
          <w:lang w:val="en-US"/>
        </w:rPr>
        <w:t>ADA = anti-drug antibody.</w:t>
      </w:r>
      <w:r>
        <w:rPr>
          <w:lang w:val="en-US"/>
        </w:rPr>
        <w:t xml:space="preserve"> </w:t>
      </w:r>
      <w:r w:rsidRPr="00B026C7">
        <w:rPr>
          <w:rFonts w:cs="Arial"/>
          <w:szCs w:val="24"/>
          <w:lang w:val="en-US"/>
        </w:rPr>
        <w:t>EU-tocilizumab = European Union-approved reference tocilizumab</w:t>
      </w:r>
      <w:r>
        <w:rPr>
          <w:rFonts w:cs="Arial"/>
          <w:szCs w:val="24"/>
          <w:lang w:val="en-US"/>
        </w:rPr>
        <w:t xml:space="preserve">. </w:t>
      </w:r>
      <w:r w:rsidRPr="00B026C7">
        <w:rPr>
          <w:lang w:val="en-US"/>
        </w:rPr>
        <w:t>PK = pharmacokinetic. SD = standard deviation.</w:t>
      </w:r>
    </w:p>
    <w:p w14:paraId="119C241E" w14:textId="697CB8DB" w:rsidR="000069B7" w:rsidRPr="00B026C7" w:rsidRDefault="000069B7" w:rsidP="000069B7">
      <w:pPr>
        <w:pStyle w:val="Heading2"/>
      </w:pPr>
      <w:bookmarkStart w:id="15" w:name="_Toc130216895"/>
      <w:r w:rsidRPr="00B026C7">
        <w:lastRenderedPageBreak/>
        <w:t xml:space="preserve">Supplementary Table </w:t>
      </w:r>
      <w:r>
        <w:t>5</w:t>
      </w:r>
      <w:r w:rsidRPr="00B026C7">
        <w:t xml:space="preserve">. </w:t>
      </w:r>
      <w:r w:rsidRPr="00B026C7">
        <w:rPr>
          <w:b w:val="0"/>
          <w:bCs w:val="0"/>
        </w:rPr>
        <w:t xml:space="preserve">Summary of </w:t>
      </w:r>
      <w:r>
        <w:rPr>
          <w:b w:val="0"/>
          <w:bCs w:val="0"/>
        </w:rPr>
        <w:t>PK</w:t>
      </w:r>
      <w:r w:rsidRPr="00B026C7">
        <w:rPr>
          <w:b w:val="0"/>
          <w:bCs w:val="0"/>
        </w:rPr>
        <w:t xml:space="preserve"> </w:t>
      </w:r>
      <w:r>
        <w:rPr>
          <w:b w:val="0"/>
          <w:bCs w:val="0"/>
        </w:rPr>
        <w:t>variables</w:t>
      </w:r>
      <w:r w:rsidRPr="00B026C7">
        <w:rPr>
          <w:b w:val="0"/>
          <w:bCs w:val="0"/>
        </w:rPr>
        <w:t xml:space="preserve"> by ADA status (PK set</w:t>
      </w:r>
      <w:r>
        <w:rPr>
          <w:b w:val="0"/>
          <w:bCs w:val="0"/>
        </w:rPr>
        <w:t>; Part 2</w:t>
      </w:r>
      <w:r w:rsidRPr="00B026C7">
        <w:rPr>
          <w:b w:val="0"/>
          <w:bCs w:val="0"/>
        </w:rPr>
        <w:t>).</w:t>
      </w:r>
      <w:bookmarkEnd w:id="15"/>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572"/>
        <w:gridCol w:w="2464"/>
        <w:gridCol w:w="2464"/>
        <w:gridCol w:w="2464"/>
        <w:gridCol w:w="2464"/>
      </w:tblGrid>
      <w:tr w:rsidR="000069B7" w:rsidRPr="00B026C7" w14:paraId="737F614D" w14:textId="77777777" w:rsidTr="004A495F">
        <w:trPr>
          <w:trHeight w:val="526"/>
        </w:trPr>
        <w:tc>
          <w:tcPr>
            <w:tcW w:w="3572" w:type="dxa"/>
            <w:vMerge w:val="restart"/>
            <w:shd w:val="clear" w:color="auto" w:fill="auto"/>
            <w:vAlign w:val="center"/>
          </w:tcPr>
          <w:p w14:paraId="2E226027" w14:textId="77777777" w:rsidR="000069B7" w:rsidRPr="00B026C7" w:rsidRDefault="000069B7" w:rsidP="004A495F">
            <w:pPr>
              <w:spacing w:after="0"/>
              <w:rPr>
                <w:rFonts w:eastAsia="Times New Roman" w:cs="Arial"/>
                <w:b/>
                <w:bCs/>
                <w:color w:val="000000"/>
                <w:szCs w:val="24"/>
                <w:lang w:val="en-US" w:eastAsia="en-GB"/>
              </w:rPr>
            </w:pPr>
          </w:p>
        </w:tc>
        <w:tc>
          <w:tcPr>
            <w:tcW w:w="4928" w:type="dxa"/>
            <w:gridSpan w:val="2"/>
            <w:shd w:val="clear" w:color="auto" w:fill="auto"/>
            <w:vAlign w:val="center"/>
          </w:tcPr>
          <w:p w14:paraId="77CF760E" w14:textId="77777777" w:rsidR="000069B7" w:rsidRPr="00B026C7" w:rsidRDefault="000069B7" w:rsidP="004A495F">
            <w:pPr>
              <w:spacing w:after="0"/>
              <w:jc w:val="center"/>
              <w:rPr>
                <w:rFonts w:eastAsia="Times New Roman" w:cs="Arial"/>
                <w:b/>
                <w:bCs/>
                <w:szCs w:val="24"/>
                <w:lang w:val="en-US" w:eastAsia="en-GB"/>
              </w:rPr>
            </w:pPr>
            <w:r w:rsidRPr="00B026C7">
              <w:rPr>
                <w:rFonts w:eastAsia="Times New Roman" w:cs="Arial"/>
                <w:b/>
                <w:bCs/>
                <w:szCs w:val="24"/>
                <w:lang w:val="en-US" w:eastAsia="en-GB"/>
              </w:rPr>
              <w:t>ADA positive</w:t>
            </w:r>
          </w:p>
        </w:tc>
        <w:tc>
          <w:tcPr>
            <w:tcW w:w="4928" w:type="dxa"/>
            <w:gridSpan w:val="2"/>
            <w:shd w:val="clear" w:color="auto" w:fill="auto"/>
            <w:vAlign w:val="center"/>
          </w:tcPr>
          <w:p w14:paraId="6CF0F8A2" w14:textId="77777777" w:rsidR="000069B7" w:rsidRPr="00B026C7" w:rsidRDefault="000069B7" w:rsidP="004A495F">
            <w:pPr>
              <w:spacing w:after="0"/>
              <w:jc w:val="center"/>
              <w:rPr>
                <w:rFonts w:eastAsia="Times New Roman" w:cs="Arial"/>
                <w:b/>
                <w:bCs/>
                <w:szCs w:val="24"/>
                <w:lang w:val="en-US" w:eastAsia="en-GB"/>
              </w:rPr>
            </w:pPr>
            <w:r w:rsidRPr="00B026C7">
              <w:rPr>
                <w:rFonts w:eastAsia="Times New Roman" w:cs="Arial"/>
                <w:b/>
                <w:bCs/>
                <w:szCs w:val="24"/>
                <w:lang w:val="en-US" w:eastAsia="en-GB"/>
              </w:rPr>
              <w:t>ADA negative</w:t>
            </w:r>
          </w:p>
        </w:tc>
      </w:tr>
      <w:tr w:rsidR="000069B7" w:rsidRPr="00B026C7" w14:paraId="39869FBA" w14:textId="77777777" w:rsidTr="004A495F">
        <w:trPr>
          <w:trHeight w:val="526"/>
        </w:trPr>
        <w:tc>
          <w:tcPr>
            <w:tcW w:w="3572" w:type="dxa"/>
            <w:vMerge/>
            <w:shd w:val="clear" w:color="auto" w:fill="auto"/>
            <w:vAlign w:val="center"/>
            <w:hideMark/>
          </w:tcPr>
          <w:p w14:paraId="78C4A9F3" w14:textId="77777777" w:rsidR="000069B7" w:rsidRPr="00B026C7" w:rsidRDefault="000069B7" w:rsidP="004A495F">
            <w:pPr>
              <w:spacing w:after="0"/>
              <w:rPr>
                <w:rFonts w:eastAsia="Times New Roman" w:cs="Arial"/>
                <w:color w:val="000000"/>
                <w:szCs w:val="24"/>
                <w:lang w:val="en-US" w:eastAsia="en-GB"/>
              </w:rPr>
            </w:pPr>
          </w:p>
        </w:tc>
        <w:tc>
          <w:tcPr>
            <w:tcW w:w="2464" w:type="dxa"/>
            <w:shd w:val="clear" w:color="auto" w:fill="auto"/>
            <w:hideMark/>
          </w:tcPr>
          <w:p w14:paraId="2BB8CD88" w14:textId="77777777" w:rsidR="000069B7" w:rsidRPr="00B026C7" w:rsidRDefault="000069B7" w:rsidP="004A495F">
            <w:pPr>
              <w:spacing w:after="0"/>
              <w:jc w:val="center"/>
              <w:rPr>
                <w:rFonts w:eastAsia="Times New Roman" w:cs="Arial"/>
                <w:b/>
                <w:bCs/>
                <w:szCs w:val="24"/>
                <w:lang w:val="en-US" w:eastAsia="en-GB"/>
              </w:rPr>
            </w:pPr>
            <w:r w:rsidRPr="00B026C7">
              <w:rPr>
                <w:rFonts w:eastAsia="Times New Roman" w:cs="Arial"/>
                <w:b/>
                <w:bCs/>
                <w:szCs w:val="24"/>
                <w:lang w:val="en-US" w:eastAsia="en-GB"/>
              </w:rPr>
              <w:t xml:space="preserve">CT-P47 </w:t>
            </w:r>
            <w:r w:rsidRPr="00B026C7">
              <w:rPr>
                <w:rFonts w:eastAsia="Times New Roman" w:cs="Arial"/>
                <w:b/>
                <w:bCs/>
                <w:szCs w:val="24"/>
                <w:lang w:val="en-US" w:eastAsia="en-GB"/>
              </w:rPr>
              <w:br/>
              <w:t>(N=20)</w:t>
            </w:r>
          </w:p>
        </w:tc>
        <w:tc>
          <w:tcPr>
            <w:tcW w:w="2464" w:type="dxa"/>
            <w:shd w:val="clear" w:color="auto" w:fill="auto"/>
            <w:hideMark/>
          </w:tcPr>
          <w:p w14:paraId="6BB1B6CA" w14:textId="77777777" w:rsidR="000069B7" w:rsidRPr="00B026C7" w:rsidRDefault="000069B7" w:rsidP="004A495F">
            <w:pPr>
              <w:spacing w:after="0"/>
              <w:jc w:val="center"/>
              <w:rPr>
                <w:rFonts w:eastAsia="Times New Roman" w:cs="Arial"/>
                <w:b/>
                <w:bCs/>
                <w:szCs w:val="24"/>
                <w:lang w:val="en-US" w:eastAsia="en-GB"/>
              </w:rPr>
            </w:pPr>
            <w:r w:rsidRPr="00B026C7">
              <w:rPr>
                <w:rFonts w:eastAsia="Times New Roman" w:cs="Arial"/>
                <w:b/>
                <w:bCs/>
                <w:szCs w:val="24"/>
                <w:lang w:val="en-US" w:eastAsia="en-GB"/>
              </w:rPr>
              <w:t>EU-tocilizumab</w:t>
            </w:r>
            <w:r w:rsidRPr="00B026C7">
              <w:rPr>
                <w:rFonts w:eastAsia="Times New Roman" w:cs="Arial"/>
                <w:b/>
                <w:bCs/>
                <w:szCs w:val="24"/>
                <w:lang w:val="en-US" w:eastAsia="en-GB"/>
              </w:rPr>
              <w:br/>
              <w:t xml:space="preserve"> (N=29)</w:t>
            </w:r>
          </w:p>
        </w:tc>
        <w:tc>
          <w:tcPr>
            <w:tcW w:w="2464" w:type="dxa"/>
            <w:shd w:val="clear" w:color="auto" w:fill="auto"/>
            <w:hideMark/>
          </w:tcPr>
          <w:p w14:paraId="1BBE622A" w14:textId="77777777" w:rsidR="000069B7" w:rsidRPr="00B026C7" w:rsidRDefault="000069B7" w:rsidP="004A495F">
            <w:pPr>
              <w:spacing w:after="0"/>
              <w:jc w:val="center"/>
              <w:rPr>
                <w:rFonts w:eastAsia="Times New Roman" w:cs="Arial"/>
                <w:b/>
                <w:bCs/>
                <w:szCs w:val="24"/>
                <w:lang w:val="en-US" w:eastAsia="en-GB"/>
              </w:rPr>
            </w:pPr>
            <w:r w:rsidRPr="00B026C7">
              <w:rPr>
                <w:rFonts w:eastAsia="Times New Roman" w:cs="Arial"/>
                <w:b/>
                <w:bCs/>
                <w:szCs w:val="24"/>
                <w:lang w:val="en-US" w:eastAsia="en-GB"/>
              </w:rPr>
              <w:t xml:space="preserve">CT-P47 </w:t>
            </w:r>
            <w:r w:rsidRPr="00B026C7">
              <w:rPr>
                <w:rFonts w:eastAsia="Times New Roman" w:cs="Arial"/>
                <w:b/>
                <w:bCs/>
                <w:szCs w:val="24"/>
                <w:lang w:val="en-US" w:eastAsia="en-GB"/>
              </w:rPr>
              <w:br/>
              <w:t>(N=124)</w:t>
            </w:r>
          </w:p>
        </w:tc>
        <w:tc>
          <w:tcPr>
            <w:tcW w:w="2464" w:type="dxa"/>
            <w:shd w:val="clear" w:color="auto" w:fill="auto"/>
            <w:hideMark/>
          </w:tcPr>
          <w:p w14:paraId="71C8A59E" w14:textId="77777777" w:rsidR="000069B7" w:rsidRPr="00B026C7" w:rsidRDefault="000069B7" w:rsidP="004A495F">
            <w:pPr>
              <w:spacing w:after="0"/>
              <w:jc w:val="center"/>
              <w:rPr>
                <w:rFonts w:eastAsia="Times New Roman" w:cs="Arial"/>
                <w:b/>
                <w:bCs/>
                <w:szCs w:val="24"/>
                <w:lang w:val="en-US" w:eastAsia="en-GB"/>
              </w:rPr>
            </w:pPr>
            <w:r w:rsidRPr="00B026C7">
              <w:rPr>
                <w:rFonts w:eastAsia="Times New Roman" w:cs="Arial"/>
                <w:b/>
                <w:bCs/>
                <w:szCs w:val="24"/>
                <w:lang w:val="en-US" w:eastAsia="en-GB"/>
              </w:rPr>
              <w:t xml:space="preserve">EU-tocilizumab </w:t>
            </w:r>
            <w:r w:rsidRPr="00B026C7">
              <w:rPr>
                <w:rFonts w:eastAsia="Times New Roman" w:cs="Arial"/>
                <w:b/>
                <w:bCs/>
                <w:szCs w:val="24"/>
                <w:lang w:val="en-US" w:eastAsia="en-GB"/>
              </w:rPr>
              <w:br/>
              <w:t>(N=111)</w:t>
            </w:r>
          </w:p>
        </w:tc>
      </w:tr>
      <w:tr w:rsidR="000069B7" w:rsidRPr="00B026C7" w14:paraId="16740DD3" w14:textId="77777777" w:rsidTr="004A495F">
        <w:trPr>
          <w:trHeight w:val="511"/>
        </w:trPr>
        <w:tc>
          <w:tcPr>
            <w:tcW w:w="3572" w:type="dxa"/>
            <w:shd w:val="clear" w:color="auto" w:fill="auto"/>
            <w:vAlign w:val="center"/>
            <w:hideMark/>
          </w:tcPr>
          <w:p w14:paraId="7CAA69D3" w14:textId="77777777" w:rsidR="000069B7" w:rsidRPr="00B026C7" w:rsidRDefault="000069B7" w:rsidP="004A495F">
            <w:pPr>
              <w:spacing w:after="0"/>
              <w:rPr>
                <w:rFonts w:eastAsia="Times New Roman" w:cs="Arial"/>
                <w:color w:val="000000"/>
                <w:szCs w:val="24"/>
                <w:vertAlign w:val="superscript"/>
                <w:lang w:val="en-US" w:eastAsia="en-GB"/>
              </w:rPr>
            </w:pPr>
            <w:r w:rsidRPr="00B026C7">
              <w:rPr>
                <w:rFonts w:eastAsia="Times New Roman" w:cs="Arial"/>
                <w:szCs w:val="24"/>
                <w:lang w:val="en-US" w:eastAsia="en-GB"/>
              </w:rPr>
              <w:t>AUC</w:t>
            </w:r>
            <w:r w:rsidRPr="00B026C7">
              <w:rPr>
                <w:rFonts w:eastAsia="Times New Roman" w:cs="Arial"/>
                <w:szCs w:val="24"/>
                <w:vertAlign w:val="subscript"/>
                <w:lang w:val="en-US" w:eastAsia="en-GB"/>
              </w:rPr>
              <w:t>0</w:t>
            </w:r>
            <w:r w:rsidRPr="00B026C7">
              <w:rPr>
                <w:vertAlign w:val="subscript"/>
                <w:lang w:val="en-US"/>
              </w:rPr>
              <w:t>–</w:t>
            </w:r>
            <w:r w:rsidRPr="00B026C7">
              <w:rPr>
                <w:rFonts w:eastAsia="Times New Roman" w:cs="Arial"/>
                <w:szCs w:val="24"/>
                <w:vertAlign w:val="subscript"/>
                <w:lang w:val="en-US" w:eastAsia="en-GB"/>
              </w:rPr>
              <w:t>inf</w:t>
            </w:r>
            <w:r w:rsidRPr="00B026C7">
              <w:rPr>
                <w:rFonts w:eastAsia="Times New Roman" w:cs="Arial"/>
                <w:szCs w:val="24"/>
                <w:lang w:val="en-US" w:eastAsia="en-GB"/>
              </w:rPr>
              <w:t xml:space="preserve"> (day*μg/mL)</w:t>
            </w:r>
          </w:p>
        </w:tc>
        <w:tc>
          <w:tcPr>
            <w:tcW w:w="2464" w:type="dxa"/>
            <w:shd w:val="clear" w:color="auto" w:fill="auto"/>
            <w:vAlign w:val="center"/>
            <w:hideMark/>
          </w:tcPr>
          <w:p w14:paraId="30AAB9E4"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20AA2B95"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3B56BF1B"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09EE4FB2"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r>
      <w:tr w:rsidR="000069B7" w:rsidRPr="00B026C7" w14:paraId="32419334" w14:textId="77777777" w:rsidTr="004A495F">
        <w:trPr>
          <w:trHeight w:val="247"/>
        </w:trPr>
        <w:tc>
          <w:tcPr>
            <w:tcW w:w="3572" w:type="dxa"/>
            <w:shd w:val="clear" w:color="auto" w:fill="auto"/>
            <w:vAlign w:val="center"/>
            <w:hideMark/>
          </w:tcPr>
          <w:p w14:paraId="7D4306EE"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n</w:t>
            </w:r>
          </w:p>
        </w:tc>
        <w:tc>
          <w:tcPr>
            <w:tcW w:w="2464" w:type="dxa"/>
            <w:shd w:val="clear" w:color="auto" w:fill="auto"/>
            <w:noWrap/>
            <w:hideMark/>
          </w:tcPr>
          <w:p w14:paraId="0F6DC9E8"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19</w:t>
            </w:r>
            <w:r w:rsidRPr="00B026C7">
              <w:rPr>
                <w:rFonts w:eastAsia="Times New Roman" w:cs="Arial"/>
                <w:color w:val="000000"/>
                <w:szCs w:val="24"/>
                <w:vertAlign w:val="superscript"/>
                <w:lang w:val="en-US" w:eastAsia="en-GB"/>
              </w:rPr>
              <w:t>a</w:t>
            </w:r>
          </w:p>
        </w:tc>
        <w:tc>
          <w:tcPr>
            <w:tcW w:w="2464" w:type="dxa"/>
            <w:shd w:val="clear" w:color="auto" w:fill="auto"/>
            <w:noWrap/>
            <w:hideMark/>
          </w:tcPr>
          <w:p w14:paraId="01E77D10"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29</w:t>
            </w:r>
          </w:p>
        </w:tc>
        <w:tc>
          <w:tcPr>
            <w:tcW w:w="2464" w:type="dxa"/>
            <w:shd w:val="clear" w:color="auto" w:fill="auto"/>
            <w:noWrap/>
            <w:hideMark/>
          </w:tcPr>
          <w:p w14:paraId="28B56FA2"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119</w:t>
            </w:r>
            <w:r w:rsidRPr="00B026C7">
              <w:rPr>
                <w:rFonts w:eastAsia="Times New Roman" w:cs="Arial"/>
                <w:color w:val="000000"/>
                <w:szCs w:val="24"/>
                <w:vertAlign w:val="superscript"/>
                <w:lang w:val="en-US" w:eastAsia="en-GB"/>
              </w:rPr>
              <w:t>a</w:t>
            </w:r>
          </w:p>
        </w:tc>
        <w:tc>
          <w:tcPr>
            <w:tcW w:w="2464" w:type="dxa"/>
            <w:shd w:val="clear" w:color="auto" w:fill="auto"/>
            <w:noWrap/>
            <w:hideMark/>
          </w:tcPr>
          <w:p w14:paraId="538862C2"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107</w:t>
            </w:r>
            <w:r w:rsidRPr="00B026C7">
              <w:rPr>
                <w:rFonts w:eastAsia="Times New Roman" w:cs="Arial"/>
                <w:color w:val="000000"/>
                <w:szCs w:val="24"/>
                <w:vertAlign w:val="superscript"/>
                <w:lang w:val="en-US" w:eastAsia="en-GB"/>
              </w:rPr>
              <w:t>a,b</w:t>
            </w:r>
          </w:p>
        </w:tc>
      </w:tr>
      <w:tr w:rsidR="000069B7" w:rsidRPr="00B026C7" w14:paraId="576110B9" w14:textId="77777777" w:rsidTr="004A495F">
        <w:trPr>
          <w:trHeight w:val="247"/>
        </w:trPr>
        <w:tc>
          <w:tcPr>
            <w:tcW w:w="3572" w:type="dxa"/>
            <w:shd w:val="clear" w:color="auto" w:fill="auto"/>
            <w:vAlign w:val="center"/>
            <w:hideMark/>
          </w:tcPr>
          <w:p w14:paraId="18B90CDB"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Mean (SD)</w:t>
            </w:r>
          </w:p>
        </w:tc>
        <w:tc>
          <w:tcPr>
            <w:tcW w:w="2464" w:type="dxa"/>
            <w:shd w:val="clear" w:color="auto" w:fill="auto"/>
            <w:hideMark/>
          </w:tcPr>
          <w:p w14:paraId="0E2EF4AB"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85.8</w:t>
            </w:r>
            <w:r>
              <w:rPr>
                <w:rFonts w:eastAsia="Times New Roman" w:cs="Arial"/>
                <w:szCs w:val="24"/>
                <w:lang w:val="en-US" w:eastAsia="en-GB"/>
              </w:rPr>
              <w:t>5</w:t>
            </w:r>
            <w:r w:rsidRPr="00B026C7">
              <w:rPr>
                <w:rFonts w:eastAsia="Times New Roman" w:cs="Arial"/>
                <w:szCs w:val="24"/>
                <w:lang w:val="en-US" w:eastAsia="en-GB"/>
              </w:rPr>
              <w:t xml:space="preserve"> (50.36)</w:t>
            </w:r>
          </w:p>
        </w:tc>
        <w:tc>
          <w:tcPr>
            <w:tcW w:w="2464" w:type="dxa"/>
            <w:shd w:val="clear" w:color="auto" w:fill="auto"/>
            <w:hideMark/>
          </w:tcPr>
          <w:p w14:paraId="3A6D060F"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82.1</w:t>
            </w:r>
            <w:r>
              <w:rPr>
                <w:rFonts w:eastAsia="Times New Roman" w:cs="Arial"/>
                <w:szCs w:val="24"/>
                <w:lang w:val="en-US" w:eastAsia="en-GB"/>
              </w:rPr>
              <w:t>9</w:t>
            </w:r>
            <w:r w:rsidRPr="00B026C7">
              <w:rPr>
                <w:rFonts w:eastAsia="Times New Roman" w:cs="Arial"/>
                <w:szCs w:val="24"/>
                <w:lang w:val="en-US" w:eastAsia="en-GB"/>
              </w:rPr>
              <w:t xml:space="preserve"> (28.</w:t>
            </w:r>
            <w:r>
              <w:rPr>
                <w:rFonts w:eastAsia="Times New Roman" w:cs="Arial"/>
                <w:szCs w:val="24"/>
                <w:lang w:val="en-US" w:eastAsia="en-GB"/>
              </w:rPr>
              <w:t>80</w:t>
            </w:r>
            <w:r w:rsidRPr="00B026C7">
              <w:rPr>
                <w:rFonts w:eastAsia="Times New Roman" w:cs="Arial"/>
                <w:szCs w:val="24"/>
                <w:lang w:val="en-US" w:eastAsia="en-GB"/>
              </w:rPr>
              <w:t>)</w:t>
            </w:r>
          </w:p>
        </w:tc>
        <w:tc>
          <w:tcPr>
            <w:tcW w:w="2464" w:type="dxa"/>
            <w:shd w:val="clear" w:color="auto" w:fill="auto"/>
            <w:hideMark/>
          </w:tcPr>
          <w:p w14:paraId="038E414C"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95.70 (39.32)</w:t>
            </w:r>
          </w:p>
        </w:tc>
        <w:tc>
          <w:tcPr>
            <w:tcW w:w="2464" w:type="dxa"/>
            <w:shd w:val="clear" w:color="auto" w:fill="auto"/>
            <w:hideMark/>
          </w:tcPr>
          <w:p w14:paraId="036BBDE8"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87.01 (38.0</w:t>
            </w:r>
            <w:r>
              <w:rPr>
                <w:rFonts w:eastAsia="Times New Roman" w:cs="Arial"/>
                <w:szCs w:val="24"/>
                <w:lang w:val="en-US" w:eastAsia="en-GB"/>
              </w:rPr>
              <w:t>5</w:t>
            </w:r>
            <w:r w:rsidRPr="00B026C7">
              <w:rPr>
                <w:rFonts w:eastAsia="Times New Roman" w:cs="Arial"/>
                <w:szCs w:val="24"/>
                <w:lang w:val="en-US" w:eastAsia="en-GB"/>
              </w:rPr>
              <w:t>)</w:t>
            </w:r>
          </w:p>
        </w:tc>
      </w:tr>
      <w:tr w:rsidR="000069B7" w:rsidRPr="00B026C7" w14:paraId="585E3A23" w14:textId="77777777" w:rsidTr="004A495F">
        <w:trPr>
          <w:trHeight w:val="310"/>
        </w:trPr>
        <w:tc>
          <w:tcPr>
            <w:tcW w:w="3572" w:type="dxa"/>
            <w:shd w:val="clear" w:color="auto" w:fill="auto"/>
            <w:vAlign w:val="center"/>
            <w:hideMark/>
          </w:tcPr>
          <w:p w14:paraId="41CB5FD3" w14:textId="77777777" w:rsidR="000069B7" w:rsidRPr="00B026C7" w:rsidRDefault="000069B7" w:rsidP="004A495F">
            <w:pPr>
              <w:spacing w:after="0"/>
              <w:rPr>
                <w:rFonts w:eastAsia="Times New Roman" w:cs="Arial"/>
                <w:color w:val="000000"/>
                <w:szCs w:val="24"/>
                <w:lang w:val="en-US" w:eastAsia="en-GB"/>
              </w:rPr>
            </w:pPr>
            <w:r w:rsidRPr="00B026C7">
              <w:rPr>
                <w:rFonts w:eastAsia="Times New Roman" w:cs="Arial"/>
                <w:szCs w:val="24"/>
                <w:lang w:val="en-US" w:eastAsia="en-GB"/>
              </w:rPr>
              <w:t>AUC</w:t>
            </w:r>
            <w:r w:rsidRPr="00B026C7">
              <w:rPr>
                <w:rFonts w:eastAsia="Times New Roman" w:cs="Arial"/>
                <w:szCs w:val="24"/>
                <w:vertAlign w:val="subscript"/>
                <w:lang w:val="en-US" w:eastAsia="en-GB"/>
              </w:rPr>
              <w:t>0</w:t>
            </w:r>
            <w:r w:rsidRPr="00B026C7">
              <w:rPr>
                <w:vertAlign w:val="subscript"/>
                <w:lang w:val="en-US"/>
              </w:rPr>
              <w:t>–</w:t>
            </w:r>
            <w:r w:rsidRPr="00B026C7">
              <w:rPr>
                <w:rFonts w:eastAsia="Times New Roman" w:cs="Arial"/>
                <w:szCs w:val="24"/>
                <w:vertAlign w:val="subscript"/>
                <w:lang w:val="en-US" w:eastAsia="en-GB"/>
              </w:rPr>
              <w:t>last</w:t>
            </w:r>
            <w:r w:rsidRPr="00B026C7">
              <w:rPr>
                <w:rFonts w:eastAsia="Times New Roman" w:cs="Arial"/>
                <w:szCs w:val="24"/>
                <w:lang w:val="en-US" w:eastAsia="en-GB"/>
              </w:rPr>
              <w:t xml:space="preserve"> (day*μg/mL)</w:t>
            </w:r>
          </w:p>
        </w:tc>
        <w:tc>
          <w:tcPr>
            <w:tcW w:w="2464" w:type="dxa"/>
            <w:shd w:val="clear" w:color="auto" w:fill="auto"/>
            <w:vAlign w:val="bottom"/>
            <w:hideMark/>
          </w:tcPr>
          <w:p w14:paraId="3227FA98"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bottom"/>
            <w:hideMark/>
          </w:tcPr>
          <w:p w14:paraId="42C563FF"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bottom"/>
            <w:hideMark/>
          </w:tcPr>
          <w:p w14:paraId="299A121E"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bottom"/>
            <w:hideMark/>
          </w:tcPr>
          <w:p w14:paraId="16B5D2A1"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r>
      <w:tr w:rsidR="000069B7" w:rsidRPr="00B026C7" w14:paraId="7129DF71" w14:textId="77777777" w:rsidTr="004A495F">
        <w:trPr>
          <w:trHeight w:val="247"/>
        </w:trPr>
        <w:tc>
          <w:tcPr>
            <w:tcW w:w="3572" w:type="dxa"/>
            <w:shd w:val="clear" w:color="auto" w:fill="auto"/>
            <w:vAlign w:val="center"/>
            <w:hideMark/>
          </w:tcPr>
          <w:p w14:paraId="31E92DC7"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n</w:t>
            </w:r>
          </w:p>
        </w:tc>
        <w:tc>
          <w:tcPr>
            <w:tcW w:w="2464" w:type="dxa"/>
            <w:shd w:val="clear" w:color="auto" w:fill="auto"/>
            <w:noWrap/>
            <w:hideMark/>
          </w:tcPr>
          <w:p w14:paraId="598DF5B2"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20</w:t>
            </w:r>
          </w:p>
        </w:tc>
        <w:tc>
          <w:tcPr>
            <w:tcW w:w="2464" w:type="dxa"/>
            <w:shd w:val="clear" w:color="auto" w:fill="auto"/>
            <w:noWrap/>
            <w:hideMark/>
          </w:tcPr>
          <w:p w14:paraId="361795AA"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29</w:t>
            </w:r>
          </w:p>
        </w:tc>
        <w:tc>
          <w:tcPr>
            <w:tcW w:w="2464" w:type="dxa"/>
            <w:shd w:val="clear" w:color="auto" w:fill="auto"/>
            <w:noWrap/>
            <w:hideMark/>
          </w:tcPr>
          <w:p w14:paraId="41D57918"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124</w:t>
            </w:r>
          </w:p>
        </w:tc>
        <w:tc>
          <w:tcPr>
            <w:tcW w:w="2464" w:type="dxa"/>
            <w:shd w:val="clear" w:color="auto" w:fill="auto"/>
            <w:noWrap/>
            <w:hideMark/>
          </w:tcPr>
          <w:p w14:paraId="35935B7F"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110</w:t>
            </w:r>
            <w:r w:rsidRPr="00B026C7">
              <w:rPr>
                <w:rFonts w:eastAsia="Times New Roman" w:cs="Arial"/>
                <w:color w:val="000000"/>
                <w:szCs w:val="24"/>
                <w:vertAlign w:val="superscript"/>
                <w:lang w:val="en-US" w:eastAsia="en-GB"/>
              </w:rPr>
              <w:t>b</w:t>
            </w:r>
          </w:p>
        </w:tc>
      </w:tr>
      <w:tr w:rsidR="000069B7" w:rsidRPr="00B026C7" w14:paraId="38ED5CB8" w14:textId="77777777" w:rsidTr="004A495F">
        <w:trPr>
          <w:trHeight w:val="247"/>
        </w:trPr>
        <w:tc>
          <w:tcPr>
            <w:tcW w:w="3572" w:type="dxa"/>
            <w:shd w:val="clear" w:color="auto" w:fill="auto"/>
            <w:vAlign w:val="center"/>
            <w:hideMark/>
          </w:tcPr>
          <w:p w14:paraId="6E6DD6C0"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Mean (SD)</w:t>
            </w:r>
          </w:p>
        </w:tc>
        <w:tc>
          <w:tcPr>
            <w:tcW w:w="2464" w:type="dxa"/>
            <w:shd w:val="clear" w:color="auto" w:fill="auto"/>
            <w:hideMark/>
          </w:tcPr>
          <w:p w14:paraId="06D488C0"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83.2</w:t>
            </w:r>
            <w:r>
              <w:rPr>
                <w:rFonts w:eastAsia="Times New Roman" w:cs="Arial"/>
                <w:szCs w:val="24"/>
                <w:lang w:val="en-US" w:eastAsia="en-GB"/>
              </w:rPr>
              <w:t>4</w:t>
            </w:r>
            <w:r w:rsidRPr="00B026C7">
              <w:rPr>
                <w:rFonts w:eastAsia="Times New Roman" w:cs="Arial"/>
                <w:szCs w:val="24"/>
                <w:lang w:val="en-US" w:eastAsia="en-GB"/>
              </w:rPr>
              <w:t xml:space="preserve"> (46.54)</w:t>
            </w:r>
          </w:p>
        </w:tc>
        <w:tc>
          <w:tcPr>
            <w:tcW w:w="2464" w:type="dxa"/>
            <w:shd w:val="clear" w:color="auto" w:fill="auto"/>
            <w:hideMark/>
          </w:tcPr>
          <w:p w14:paraId="228EF11D"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81.12 (28.6</w:t>
            </w:r>
            <w:r>
              <w:rPr>
                <w:rFonts w:eastAsia="Times New Roman" w:cs="Arial"/>
                <w:szCs w:val="24"/>
                <w:lang w:val="en-US" w:eastAsia="en-GB"/>
              </w:rPr>
              <w:t>7</w:t>
            </w:r>
            <w:r w:rsidRPr="00B026C7">
              <w:rPr>
                <w:rFonts w:eastAsia="Times New Roman" w:cs="Arial"/>
                <w:szCs w:val="24"/>
                <w:lang w:val="en-US" w:eastAsia="en-GB"/>
              </w:rPr>
              <w:t>)</w:t>
            </w:r>
          </w:p>
        </w:tc>
        <w:tc>
          <w:tcPr>
            <w:tcW w:w="2464" w:type="dxa"/>
            <w:shd w:val="clear" w:color="auto" w:fill="auto"/>
            <w:hideMark/>
          </w:tcPr>
          <w:p w14:paraId="60C4A453"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94.07 (39.18)</w:t>
            </w:r>
          </w:p>
        </w:tc>
        <w:tc>
          <w:tcPr>
            <w:tcW w:w="2464" w:type="dxa"/>
            <w:shd w:val="clear" w:color="auto" w:fill="auto"/>
            <w:hideMark/>
          </w:tcPr>
          <w:p w14:paraId="72E0E63B"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85.0</w:t>
            </w:r>
            <w:r>
              <w:rPr>
                <w:rFonts w:eastAsia="Times New Roman" w:cs="Arial"/>
                <w:szCs w:val="24"/>
                <w:lang w:val="en-US" w:eastAsia="en-GB"/>
              </w:rPr>
              <w:t>9</w:t>
            </w:r>
            <w:r w:rsidRPr="00B026C7">
              <w:rPr>
                <w:rFonts w:eastAsia="Times New Roman" w:cs="Arial"/>
                <w:szCs w:val="24"/>
                <w:lang w:val="en-US" w:eastAsia="en-GB"/>
              </w:rPr>
              <w:t xml:space="preserve"> (37.0</w:t>
            </w:r>
            <w:r>
              <w:rPr>
                <w:rFonts w:eastAsia="Times New Roman" w:cs="Arial"/>
                <w:szCs w:val="24"/>
                <w:lang w:val="en-US" w:eastAsia="en-GB"/>
              </w:rPr>
              <w:t>7</w:t>
            </w:r>
            <w:r w:rsidRPr="00B026C7">
              <w:rPr>
                <w:rFonts w:eastAsia="Times New Roman" w:cs="Arial"/>
                <w:szCs w:val="24"/>
                <w:lang w:val="en-US" w:eastAsia="en-GB"/>
              </w:rPr>
              <w:t>)</w:t>
            </w:r>
          </w:p>
        </w:tc>
      </w:tr>
      <w:tr w:rsidR="000069B7" w:rsidRPr="00B026C7" w14:paraId="18A012C9" w14:textId="77777777" w:rsidTr="004A495F">
        <w:trPr>
          <w:trHeight w:val="331"/>
        </w:trPr>
        <w:tc>
          <w:tcPr>
            <w:tcW w:w="3572" w:type="dxa"/>
            <w:shd w:val="clear" w:color="auto" w:fill="auto"/>
            <w:vAlign w:val="center"/>
            <w:hideMark/>
          </w:tcPr>
          <w:p w14:paraId="050ADF48" w14:textId="77777777" w:rsidR="000069B7" w:rsidRPr="00B026C7" w:rsidRDefault="000069B7" w:rsidP="004A495F">
            <w:pPr>
              <w:spacing w:after="0"/>
              <w:rPr>
                <w:rFonts w:eastAsia="Times New Roman" w:cs="Arial"/>
                <w:color w:val="000000"/>
                <w:szCs w:val="24"/>
                <w:lang w:val="en-US" w:eastAsia="en-GB"/>
              </w:rPr>
            </w:pPr>
            <w:r w:rsidRPr="00B026C7">
              <w:rPr>
                <w:rFonts w:eastAsia="Times New Roman" w:cs="Arial"/>
                <w:szCs w:val="24"/>
                <w:lang w:val="en-US" w:eastAsia="en-GB"/>
              </w:rPr>
              <w:t>C</w:t>
            </w:r>
            <w:r w:rsidRPr="00B026C7">
              <w:rPr>
                <w:rFonts w:eastAsia="Times New Roman" w:cs="Arial"/>
                <w:szCs w:val="24"/>
                <w:vertAlign w:val="subscript"/>
                <w:lang w:val="en-US" w:eastAsia="en-GB"/>
              </w:rPr>
              <w:t>max</w:t>
            </w:r>
            <w:r w:rsidRPr="00B026C7">
              <w:rPr>
                <w:rFonts w:eastAsia="Times New Roman" w:cs="Arial"/>
                <w:szCs w:val="24"/>
                <w:lang w:val="en-US" w:eastAsia="en-GB"/>
              </w:rPr>
              <w:t xml:space="preserve"> (μg/mL)</w:t>
            </w:r>
          </w:p>
        </w:tc>
        <w:tc>
          <w:tcPr>
            <w:tcW w:w="2464" w:type="dxa"/>
            <w:shd w:val="clear" w:color="auto" w:fill="auto"/>
            <w:vAlign w:val="center"/>
            <w:hideMark/>
          </w:tcPr>
          <w:p w14:paraId="0D2477DE" w14:textId="77777777" w:rsidR="000069B7" w:rsidRPr="00B026C7" w:rsidRDefault="000069B7" w:rsidP="004A495F">
            <w:pPr>
              <w:spacing w:after="0"/>
              <w:jc w:val="center"/>
              <w:rPr>
                <w:rFonts w:eastAsia="Times New Roman" w:cs="Arial"/>
                <w:color w:val="000000"/>
                <w:szCs w:val="24"/>
                <w:lang w:val="en-US" w:eastAsia="en-GB"/>
              </w:rPr>
            </w:pPr>
          </w:p>
        </w:tc>
        <w:tc>
          <w:tcPr>
            <w:tcW w:w="2464" w:type="dxa"/>
            <w:shd w:val="clear" w:color="auto" w:fill="auto"/>
            <w:vAlign w:val="center"/>
            <w:hideMark/>
          </w:tcPr>
          <w:p w14:paraId="4B1747A7" w14:textId="77777777" w:rsidR="000069B7" w:rsidRPr="00B026C7" w:rsidRDefault="000069B7" w:rsidP="004A495F">
            <w:pPr>
              <w:spacing w:after="0"/>
              <w:jc w:val="center"/>
              <w:rPr>
                <w:rFonts w:eastAsia="Times New Roman" w:cs="Arial"/>
                <w:szCs w:val="24"/>
                <w:lang w:val="en-US" w:eastAsia="en-GB"/>
              </w:rPr>
            </w:pPr>
          </w:p>
        </w:tc>
        <w:tc>
          <w:tcPr>
            <w:tcW w:w="2464" w:type="dxa"/>
            <w:shd w:val="clear" w:color="auto" w:fill="auto"/>
            <w:vAlign w:val="center"/>
            <w:hideMark/>
          </w:tcPr>
          <w:p w14:paraId="5724C0DC" w14:textId="77777777" w:rsidR="000069B7" w:rsidRPr="00B026C7" w:rsidRDefault="000069B7" w:rsidP="004A495F">
            <w:pPr>
              <w:spacing w:after="0"/>
              <w:jc w:val="center"/>
              <w:rPr>
                <w:rFonts w:eastAsia="Times New Roman" w:cs="Arial"/>
                <w:szCs w:val="24"/>
                <w:lang w:val="en-US" w:eastAsia="en-GB"/>
              </w:rPr>
            </w:pPr>
          </w:p>
        </w:tc>
        <w:tc>
          <w:tcPr>
            <w:tcW w:w="2464" w:type="dxa"/>
            <w:shd w:val="clear" w:color="auto" w:fill="auto"/>
            <w:vAlign w:val="center"/>
            <w:hideMark/>
          </w:tcPr>
          <w:p w14:paraId="3807A70B" w14:textId="77777777" w:rsidR="000069B7" w:rsidRPr="00B026C7" w:rsidRDefault="000069B7" w:rsidP="004A495F">
            <w:pPr>
              <w:spacing w:after="0"/>
              <w:jc w:val="center"/>
              <w:rPr>
                <w:rFonts w:eastAsia="Times New Roman" w:cs="Arial"/>
                <w:szCs w:val="24"/>
                <w:lang w:val="en-US" w:eastAsia="en-GB"/>
              </w:rPr>
            </w:pPr>
          </w:p>
        </w:tc>
      </w:tr>
      <w:tr w:rsidR="000069B7" w:rsidRPr="00B026C7" w14:paraId="2A6E2591" w14:textId="77777777" w:rsidTr="004A495F">
        <w:trPr>
          <w:trHeight w:val="247"/>
        </w:trPr>
        <w:tc>
          <w:tcPr>
            <w:tcW w:w="3572" w:type="dxa"/>
            <w:shd w:val="clear" w:color="auto" w:fill="auto"/>
            <w:vAlign w:val="center"/>
            <w:hideMark/>
          </w:tcPr>
          <w:p w14:paraId="4FFD6EED"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n</w:t>
            </w:r>
          </w:p>
        </w:tc>
        <w:tc>
          <w:tcPr>
            <w:tcW w:w="2464" w:type="dxa"/>
            <w:shd w:val="clear" w:color="auto" w:fill="auto"/>
            <w:noWrap/>
            <w:hideMark/>
          </w:tcPr>
          <w:p w14:paraId="489565FF"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20</w:t>
            </w:r>
          </w:p>
        </w:tc>
        <w:tc>
          <w:tcPr>
            <w:tcW w:w="2464" w:type="dxa"/>
            <w:shd w:val="clear" w:color="auto" w:fill="auto"/>
            <w:noWrap/>
            <w:hideMark/>
          </w:tcPr>
          <w:p w14:paraId="2676B0B2"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29</w:t>
            </w:r>
          </w:p>
        </w:tc>
        <w:tc>
          <w:tcPr>
            <w:tcW w:w="2464" w:type="dxa"/>
            <w:shd w:val="clear" w:color="auto" w:fill="auto"/>
            <w:noWrap/>
            <w:hideMark/>
          </w:tcPr>
          <w:p w14:paraId="326553F6"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124</w:t>
            </w:r>
          </w:p>
        </w:tc>
        <w:tc>
          <w:tcPr>
            <w:tcW w:w="2464" w:type="dxa"/>
            <w:shd w:val="clear" w:color="auto" w:fill="auto"/>
            <w:noWrap/>
            <w:hideMark/>
          </w:tcPr>
          <w:p w14:paraId="7452E027"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111</w:t>
            </w:r>
          </w:p>
        </w:tc>
      </w:tr>
      <w:tr w:rsidR="000069B7" w:rsidRPr="00B026C7" w14:paraId="2E6652C1" w14:textId="77777777" w:rsidTr="004A495F">
        <w:trPr>
          <w:trHeight w:val="247"/>
        </w:trPr>
        <w:tc>
          <w:tcPr>
            <w:tcW w:w="3572" w:type="dxa"/>
            <w:shd w:val="clear" w:color="auto" w:fill="auto"/>
            <w:vAlign w:val="center"/>
            <w:hideMark/>
          </w:tcPr>
          <w:p w14:paraId="5EA3E6A5"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Mean (SD)</w:t>
            </w:r>
          </w:p>
        </w:tc>
        <w:tc>
          <w:tcPr>
            <w:tcW w:w="2464" w:type="dxa"/>
            <w:shd w:val="clear" w:color="auto" w:fill="auto"/>
            <w:hideMark/>
          </w:tcPr>
          <w:p w14:paraId="50D41FE8"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9.5</w:t>
            </w:r>
            <w:r>
              <w:rPr>
                <w:rFonts w:eastAsia="Times New Roman" w:cs="Arial"/>
                <w:szCs w:val="24"/>
                <w:lang w:val="en-US" w:eastAsia="en-GB"/>
              </w:rPr>
              <w:t>4</w:t>
            </w:r>
            <w:r w:rsidRPr="00B026C7">
              <w:rPr>
                <w:rFonts w:eastAsia="Times New Roman" w:cs="Arial"/>
                <w:szCs w:val="24"/>
                <w:lang w:val="en-US" w:eastAsia="en-GB"/>
              </w:rPr>
              <w:t xml:space="preserve"> (4.4</w:t>
            </w:r>
            <w:r>
              <w:rPr>
                <w:rFonts w:eastAsia="Times New Roman" w:cs="Arial"/>
                <w:szCs w:val="24"/>
                <w:lang w:val="en-US" w:eastAsia="en-GB"/>
              </w:rPr>
              <w:t>4</w:t>
            </w:r>
            <w:r w:rsidRPr="00B026C7">
              <w:rPr>
                <w:rFonts w:eastAsia="Times New Roman" w:cs="Arial"/>
                <w:szCs w:val="24"/>
                <w:lang w:val="en-US" w:eastAsia="en-GB"/>
              </w:rPr>
              <w:t>)</w:t>
            </w:r>
          </w:p>
        </w:tc>
        <w:tc>
          <w:tcPr>
            <w:tcW w:w="2464" w:type="dxa"/>
            <w:shd w:val="clear" w:color="auto" w:fill="auto"/>
            <w:hideMark/>
          </w:tcPr>
          <w:p w14:paraId="74D8EA8F"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9.3</w:t>
            </w:r>
            <w:r>
              <w:rPr>
                <w:rFonts w:eastAsia="Times New Roman" w:cs="Arial"/>
                <w:szCs w:val="24"/>
                <w:lang w:val="en-US" w:eastAsia="en-GB"/>
              </w:rPr>
              <w:t>5</w:t>
            </w:r>
            <w:r w:rsidRPr="00B026C7">
              <w:rPr>
                <w:rFonts w:eastAsia="Times New Roman" w:cs="Arial"/>
                <w:szCs w:val="24"/>
                <w:lang w:val="en-US" w:eastAsia="en-GB"/>
              </w:rPr>
              <w:t xml:space="preserve"> (3.3</w:t>
            </w:r>
            <w:r>
              <w:rPr>
                <w:rFonts w:eastAsia="Times New Roman" w:cs="Arial"/>
                <w:szCs w:val="24"/>
                <w:lang w:val="en-US" w:eastAsia="en-GB"/>
              </w:rPr>
              <w:t>4</w:t>
            </w:r>
            <w:r w:rsidRPr="00B026C7">
              <w:rPr>
                <w:rFonts w:eastAsia="Times New Roman" w:cs="Arial"/>
                <w:szCs w:val="24"/>
                <w:lang w:val="en-US" w:eastAsia="en-GB"/>
              </w:rPr>
              <w:t>)</w:t>
            </w:r>
          </w:p>
        </w:tc>
        <w:tc>
          <w:tcPr>
            <w:tcW w:w="2464" w:type="dxa"/>
            <w:shd w:val="clear" w:color="auto" w:fill="auto"/>
            <w:hideMark/>
          </w:tcPr>
          <w:p w14:paraId="40AB63A4"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10.46 (3.94)</w:t>
            </w:r>
          </w:p>
        </w:tc>
        <w:tc>
          <w:tcPr>
            <w:tcW w:w="2464" w:type="dxa"/>
            <w:shd w:val="clear" w:color="auto" w:fill="auto"/>
            <w:hideMark/>
          </w:tcPr>
          <w:p w14:paraId="0A1A4F71"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9.95 (3.64)</w:t>
            </w:r>
          </w:p>
        </w:tc>
      </w:tr>
      <w:tr w:rsidR="000069B7" w:rsidRPr="00B026C7" w14:paraId="12724CB8" w14:textId="77777777" w:rsidTr="004A495F">
        <w:trPr>
          <w:trHeight w:val="526"/>
        </w:trPr>
        <w:tc>
          <w:tcPr>
            <w:tcW w:w="3572" w:type="dxa"/>
            <w:shd w:val="clear" w:color="auto" w:fill="auto"/>
            <w:vAlign w:val="center"/>
            <w:hideMark/>
          </w:tcPr>
          <w:p w14:paraId="26819280" w14:textId="77777777" w:rsidR="000069B7" w:rsidRPr="00B026C7" w:rsidRDefault="000069B7" w:rsidP="004A495F">
            <w:pPr>
              <w:spacing w:after="0"/>
              <w:rPr>
                <w:rFonts w:eastAsia="Times New Roman" w:cs="Arial"/>
                <w:color w:val="000000"/>
                <w:szCs w:val="24"/>
                <w:lang w:val="en-US" w:eastAsia="en-GB"/>
              </w:rPr>
            </w:pPr>
            <w:r w:rsidRPr="00B026C7">
              <w:rPr>
                <w:rFonts w:eastAsia="Times New Roman" w:cs="Arial"/>
                <w:szCs w:val="24"/>
                <w:lang w:val="en-US" w:eastAsia="en-GB"/>
              </w:rPr>
              <w:t>T</w:t>
            </w:r>
            <w:r w:rsidRPr="00B026C7">
              <w:rPr>
                <w:rFonts w:eastAsia="Times New Roman" w:cs="Arial"/>
                <w:szCs w:val="24"/>
                <w:vertAlign w:val="subscript"/>
                <w:lang w:val="en-US" w:eastAsia="en-GB"/>
              </w:rPr>
              <w:t>max</w:t>
            </w:r>
            <w:r w:rsidRPr="00B026C7">
              <w:rPr>
                <w:rFonts w:eastAsia="Times New Roman" w:cs="Arial"/>
                <w:szCs w:val="24"/>
                <w:lang w:val="en-US" w:eastAsia="en-GB"/>
              </w:rPr>
              <w:t xml:space="preserve"> (day)</w:t>
            </w:r>
          </w:p>
        </w:tc>
        <w:tc>
          <w:tcPr>
            <w:tcW w:w="2464" w:type="dxa"/>
            <w:shd w:val="clear" w:color="auto" w:fill="auto"/>
            <w:vAlign w:val="center"/>
            <w:hideMark/>
          </w:tcPr>
          <w:p w14:paraId="53DE10EA"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093BC7BD"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556A5242"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6AE29B72"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r>
      <w:tr w:rsidR="000069B7" w:rsidRPr="00B026C7" w14:paraId="39F9CA67" w14:textId="77777777" w:rsidTr="004A495F">
        <w:trPr>
          <w:trHeight w:val="496"/>
        </w:trPr>
        <w:tc>
          <w:tcPr>
            <w:tcW w:w="3572" w:type="dxa"/>
            <w:shd w:val="clear" w:color="auto" w:fill="auto"/>
            <w:vAlign w:val="center"/>
            <w:hideMark/>
          </w:tcPr>
          <w:p w14:paraId="45F5DC53"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lastRenderedPageBreak/>
              <w:t>n</w:t>
            </w:r>
          </w:p>
        </w:tc>
        <w:tc>
          <w:tcPr>
            <w:tcW w:w="2464" w:type="dxa"/>
            <w:shd w:val="clear" w:color="auto" w:fill="auto"/>
            <w:noWrap/>
            <w:hideMark/>
          </w:tcPr>
          <w:p w14:paraId="04123FD0"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20</w:t>
            </w:r>
          </w:p>
        </w:tc>
        <w:tc>
          <w:tcPr>
            <w:tcW w:w="2464" w:type="dxa"/>
            <w:shd w:val="clear" w:color="auto" w:fill="auto"/>
            <w:noWrap/>
            <w:hideMark/>
          </w:tcPr>
          <w:p w14:paraId="4B26B201"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29</w:t>
            </w:r>
          </w:p>
        </w:tc>
        <w:tc>
          <w:tcPr>
            <w:tcW w:w="2464" w:type="dxa"/>
            <w:shd w:val="clear" w:color="auto" w:fill="auto"/>
            <w:noWrap/>
            <w:hideMark/>
          </w:tcPr>
          <w:p w14:paraId="2687A6FB"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124</w:t>
            </w:r>
          </w:p>
        </w:tc>
        <w:tc>
          <w:tcPr>
            <w:tcW w:w="2464" w:type="dxa"/>
            <w:shd w:val="clear" w:color="auto" w:fill="auto"/>
            <w:noWrap/>
            <w:hideMark/>
          </w:tcPr>
          <w:p w14:paraId="3D1DC420"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111</w:t>
            </w:r>
          </w:p>
        </w:tc>
      </w:tr>
      <w:tr w:rsidR="000069B7" w:rsidRPr="00B026C7" w14:paraId="017215D3" w14:textId="77777777" w:rsidTr="004A495F">
        <w:trPr>
          <w:trHeight w:val="247"/>
        </w:trPr>
        <w:tc>
          <w:tcPr>
            <w:tcW w:w="3572" w:type="dxa"/>
            <w:shd w:val="clear" w:color="auto" w:fill="auto"/>
            <w:vAlign w:val="center"/>
            <w:hideMark/>
          </w:tcPr>
          <w:p w14:paraId="3ED6B5E6"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Median (range)</w:t>
            </w:r>
          </w:p>
        </w:tc>
        <w:tc>
          <w:tcPr>
            <w:tcW w:w="2464" w:type="dxa"/>
            <w:shd w:val="clear" w:color="auto" w:fill="auto"/>
            <w:hideMark/>
          </w:tcPr>
          <w:p w14:paraId="4E0D0249"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4.00 (2.02</w:t>
            </w:r>
            <w:r w:rsidRPr="00B026C7">
              <w:rPr>
                <w:rFonts w:cs="Arial"/>
                <w:szCs w:val="24"/>
                <w:lang w:val="en-US"/>
              </w:rPr>
              <w:t>–</w:t>
            </w:r>
            <w:r w:rsidRPr="00B026C7">
              <w:rPr>
                <w:rFonts w:eastAsia="Times New Roman" w:cs="Arial"/>
                <w:szCs w:val="24"/>
                <w:lang w:val="en-US" w:eastAsia="en-GB"/>
              </w:rPr>
              <w:t>6.00)</w:t>
            </w:r>
          </w:p>
        </w:tc>
        <w:tc>
          <w:tcPr>
            <w:tcW w:w="2464" w:type="dxa"/>
            <w:shd w:val="clear" w:color="auto" w:fill="auto"/>
            <w:hideMark/>
          </w:tcPr>
          <w:p w14:paraId="641D7A2B"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3.98 (1.97</w:t>
            </w:r>
            <w:r w:rsidRPr="00B026C7">
              <w:rPr>
                <w:rFonts w:cs="Arial"/>
                <w:szCs w:val="24"/>
                <w:lang w:val="en-US"/>
              </w:rPr>
              <w:t>–</w:t>
            </w:r>
            <w:r w:rsidRPr="00B026C7">
              <w:rPr>
                <w:rFonts w:eastAsia="Times New Roman" w:cs="Arial"/>
                <w:szCs w:val="24"/>
                <w:lang w:val="en-US" w:eastAsia="en-GB"/>
              </w:rPr>
              <w:t>6.99)</w:t>
            </w:r>
          </w:p>
        </w:tc>
        <w:tc>
          <w:tcPr>
            <w:tcW w:w="2464" w:type="dxa"/>
            <w:shd w:val="clear" w:color="auto" w:fill="auto"/>
            <w:hideMark/>
          </w:tcPr>
          <w:p w14:paraId="59E4A0AE"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3.9</w:t>
            </w:r>
            <w:r>
              <w:rPr>
                <w:rFonts w:eastAsia="Times New Roman" w:cs="Arial"/>
                <w:szCs w:val="24"/>
                <w:lang w:val="en-US" w:eastAsia="en-GB"/>
              </w:rPr>
              <w:t>9</w:t>
            </w:r>
            <w:r w:rsidRPr="00B026C7">
              <w:rPr>
                <w:rFonts w:eastAsia="Times New Roman" w:cs="Arial"/>
                <w:szCs w:val="24"/>
                <w:lang w:val="en-US" w:eastAsia="en-GB"/>
              </w:rPr>
              <w:t xml:space="preserve"> (1.00</w:t>
            </w:r>
            <w:r w:rsidRPr="00B026C7">
              <w:rPr>
                <w:rFonts w:cs="Arial"/>
                <w:szCs w:val="24"/>
                <w:lang w:val="en-US"/>
              </w:rPr>
              <w:t>–</w:t>
            </w:r>
            <w:r w:rsidRPr="00B026C7">
              <w:rPr>
                <w:rFonts w:eastAsia="Times New Roman" w:cs="Arial"/>
                <w:szCs w:val="24"/>
                <w:lang w:val="en-US" w:eastAsia="en-GB"/>
              </w:rPr>
              <w:t>8.98)</w:t>
            </w:r>
          </w:p>
        </w:tc>
        <w:tc>
          <w:tcPr>
            <w:tcW w:w="2464" w:type="dxa"/>
            <w:shd w:val="clear" w:color="auto" w:fill="auto"/>
            <w:hideMark/>
          </w:tcPr>
          <w:p w14:paraId="32F523FB"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3.99 (1.00</w:t>
            </w:r>
            <w:r w:rsidRPr="00B026C7">
              <w:rPr>
                <w:rFonts w:cs="Arial"/>
                <w:szCs w:val="24"/>
                <w:lang w:val="en-US"/>
              </w:rPr>
              <w:t>–</w:t>
            </w:r>
            <w:r w:rsidRPr="00B026C7">
              <w:rPr>
                <w:rFonts w:eastAsia="Times New Roman" w:cs="Arial"/>
                <w:szCs w:val="24"/>
                <w:lang w:val="en-US" w:eastAsia="en-GB"/>
              </w:rPr>
              <w:t>6.99)</w:t>
            </w:r>
          </w:p>
        </w:tc>
      </w:tr>
      <w:tr w:rsidR="000069B7" w:rsidRPr="00B026C7" w14:paraId="35900C1B" w14:textId="77777777" w:rsidTr="004A495F">
        <w:trPr>
          <w:trHeight w:val="310"/>
        </w:trPr>
        <w:tc>
          <w:tcPr>
            <w:tcW w:w="3572" w:type="dxa"/>
            <w:shd w:val="clear" w:color="auto" w:fill="auto"/>
            <w:vAlign w:val="center"/>
            <w:hideMark/>
          </w:tcPr>
          <w:p w14:paraId="10BBF7A1" w14:textId="77777777" w:rsidR="000069B7" w:rsidRPr="00B026C7" w:rsidRDefault="000069B7" w:rsidP="004A495F">
            <w:pPr>
              <w:spacing w:after="0"/>
              <w:rPr>
                <w:rFonts w:eastAsia="Times New Roman" w:cs="Arial"/>
                <w:color w:val="000000"/>
                <w:szCs w:val="24"/>
                <w:lang w:val="en-US" w:eastAsia="en-GB"/>
              </w:rPr>
            </w:pPr>
            <w:r w:rsidRPr="00B026C7">
              <w:rPr>
                <w:rFonts w:eastAsia="Times New Roman" w:cs="Arial"/>
                <w:szCs w:val="24"/>
                <w:lang w:val="en-US" w:eastAsia="en-GB"/>
              </w:rPr>
              <w:t>t</w:t>
            </w:r>
            <w:r w:rsidRPr="00B026C7">
              <w:rPr>
                <w:rFonts w:eastAsia="Times New Roman" w:cs="Arial"/>
                <w:szCs w:val="24"/>
                <w:vertAlign w:val="subscript"/>
                <w:lang w:val="en-US" w:eastAsia="en-GB"/>
              </w:rPr>
              <w:t>1/2</w:t>
            </w:r>
            <w:r w:rsidRPr="00B026C7">
              <w:rPr>
                <w:rFonts w:eastAsia="Times New Roman" w:cs="Arial"/>
                <w:szCs w:val="24"/>
                <w:lang w:val="en-US" w:eastAsia="en-GB"/>
              </w:rPr>
              <w:t xml:space="preserve"> (day)</w:t>
            </w:r>
          </w:p>
        </w:tc>
        <w:tc>
          <w:tcPr>
            <w:tcW w:w="2464" w:type="dxa"/>
            <w:shd w:val="clear" w:color="auto" w:fill="auto"/>
            <w:vAlign w:val="center"/>
            <w:hideMark/>
          </w:tcPr>
          <w:p w14:paraId="161782E8"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1F05ABBA"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3799CB8F"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22230BFF"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r>
      <w:tr w:rsidR="000069B7" w:rsidRPr="00B026C7" w14:paraId="1333E436" w14:textId="77777777" w:rsidTr="004A495F">
        <w:trPr>
          <w:trHeight w:val="331"/>
        </w:trPr>
        <w:tc>
          <w:tcPr>
            <w:tcW w:w="3572" w:type="dxa"/>
            <w:shd w:val="clear" w:color="auto" w:fill="auto"/>
            <w:vAlign w:val="center"/>
            <w:hideMark/>
          </w:tcPr>
          <w:p w14:paraId="722D32CF"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n</w:t>
            </w:r>
          </w:p>
        </w:tc>
        <w:tc>
          <w:tcPr>
            <w:tcW w:w="2464" w:type="dxa"/>
            <w:shd w:val="clear" w:color="auto" w:fill="auto"/>
            <w:noWrap/>
            <w:hideMark/>
          </w:tcPr>
          <w:p w14:paraId="4B032895"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19</w:t>
            </w:r>
            <w:r w:rsidRPr="00B026C7">
              <w:rPr>
                <w:rFonts w:eastAsia="Times New Roman" w:cs="Arial"/>
                <w:color w:val="000000"/>
                <w:szCs w:val="24"/>
                <w:vertAlign w:val="superscript"/>
                <w:lang w:val="en-US" w:eastAsia="en-GB"/>
              </w:rPr>
              <w:t>a</w:t>
            </w:r>
          </w:p>
        </w:tc>
        <w:tc>
          <w:tcPr>
            <w:tcW w:w="2464" w:type="dxa"/>
            <w:shd w:val="clear" w:color="auto" w:fill="auto"/>
            <w:noWrap/>
            <w:hideMark/>
          </w:tcPr>
          <w:p w14:paraId="5338BFDC"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29</w:t>
            </w:r>
          </w:p>
        </w:tc>
        <w:tc>
          <w:tcPr>
            <w:tcW w:w="2464" w:type="dxa"/>
            <w:shd w:val="clear" w:color="auto" w:fill="auto"/>
            <w:noWrap/>
            <w:hideMark/>
          </w:tcPr>
          <w:p w14:paraId="43252BB2"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119</w:t>
            </w:r>
            <w:r w:rsidRPr="00B026C7">
              <w:rPr>
                <w:rFonts w:eastAsia="Times New Roman" w:cs="Arial"/>
                <w:color w:val="000000"/>
                <w:szCs w:val="24"/>
                <w:vertAlign w:val="superscript"/>
                <w:lang w:val="en-US" w:eastAsia="en-GB"/>
              </w:rPr>
              <w:t>a</w:t>
            </w:r>
          </w:p>
        </w:tc>
        <w:tc>
          <w:tcPr>
            <w:tcW w:w="2464" w:type="dxa"/>
            <w:shd w:val="clear" w:color="auto" w:fill="auto"/>
            <w:noWrap/>
            <w:hideMark/>
          </w:tcPr>
          <w:p w14:paraId="040A1E2A"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107</w:t>
            </w:r>
            <w:r w:rsidRPr="00B026C7">
              <w:rPr>
                <w:rFonts w:eastAsia="Times New Roman" w:cs="Arial"/>
                <w:color w:val="000000"/>
                <w:szCs w:val="24"/>
                <w:vertAlign w:val="superscript"/>
                <w:lang w:val="en-US" w:eastAsia="en-GB"/>
              </w:rPr>
              <w:t>a,b</w:t>
            </w:r>
          </w:p>
        </w:tc>
      </w:tr>
      <w:tr w:rsidR="000069B7" w:rsidRPr="00B026C7" w14:paraId="7DD7E906" w14:textId="77777777" w:rsidTr="004A495F">
        <w:trPr>
          <w:trHeight w:val="247"/>
        </w:trPr>
        <w:tc>
          <w:tcPr>
            <w:tcW w:w="3572" w:type="dxa"/>
            <w:shd w:val="clear" w:color="auto" w:fill="auto"/>
            <w:vAlign w:val="center"/>
            <w:hideMark/>
          </w:tcPr>
          <w:p w14:paraId="48C6B2E0"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Mean (SD)</w:t>
            </w:r>
          </w:p>
        </w:tc>
        <w:tc>
          <w:tcPr>
            <w:tcW w:w="2464" w:type="dxa"/>
            <w:shd w:val="clear" w:color="auto" w:fill="auto"/>
            <w:noWrap/>
            <w:hideMark/>
          </w:tcPr>
          <w:p w14:paraId="09C90B41"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1.8</w:t>
            </w:r>
            <w:r>
              <w:rPr>
                <w:rFonts w:eastAsia="Times New Roman" w:cs="Arial"/>
                <w:color w:val="000000"/>
                <w:szCs w:val="24"/>
                <w:lang w:val="en-US" w:eastAsia="en-GB"/>
              </w:rPr>
              <w:t>3</w:t>
            </w:r>
            <w:r w:rsidRPr="00B026C7">
              <w:rPr>
                <w:rFonts w:eastAsia="Times New Roman" w:cs="Arial"/>
                <w:color w:val="000000"/>
                <w:szCs w:val="24"/>
                <w:lang w:val="en-US" w:eastAsia="en-GB"/>
              </w:rPr>
              <w:t xml:space="preserve"> (</w:t>
            </w:r>
            <w:r w:rsidRPr="00B026C7">
              <w:rPr>
                <w:rFonts w:eastAsia="Times New Roman" w:cs="Arial"/>
                <w:szCs w:val="24"/>
                <w:lang w:val="en-US" w:eastAsia="en-GB"/>
              </w:rPr>
              <w:t>0.94)</w:t>
            </w:r>
          </w:p>
        </w:tc>
        <w:tc>
          <w:tcPr>
            <w:tcW w:w="2464" w:type="dxa"/>
            <w:shd w:val="clear" w:color="auto" w:fill="auto"/>
            <w:noWrap/>
            <w:hideMark/>
          </w:tcPr>
          <w:p w14:paraId="00C161DB"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1.62 (</w:t>
            </w:r>
            <w:r w:rsidRPr="00B026C7">
              <w:rPr>
                <w:rFonts w:eastAsia="Times New Roman" w:cs="Arial"/>
                <w:szCs w:val="24"/>
                <w:lang w:val="en-US" w:eastAsia="en-GB"/>
              </w:rPr>
              <w:t>0.41</w:t>
            </w:r>
            <w:r w:rsidRPr="00B026C7">
              <w:rPr>
                <w:rFonts w:eastAsia="Times New Roman" w:cs="Arial"/>
                <w:color w:val="000000"/>
                <w:szCs w:val="24"/>
                <w:lang w:val="en-US" w:eastAsia="en-GB"/>
              </w:rPr>
              <w:t>)</w:t>
            </w:r>
          </w:p>
        </w:tc>
        <w:tc>
          <w:tcPr>
            <w:tcW w:w="2464" w:type="dxa"/>
            <w:shd w:val="clear" w:color="auto" w:fill="auto"/>
            <w:noWrap/>
            <w:hideMark/>
          </w:tcPr>
          <w:p w14:paraId="15D3CC9A"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1.6</w:t>
            </w:r>
            <w:r>
              <w:rPr>
                <w:rFonts w:eastAsia="Times New Roman" w:cs="Arial"/>
                <w:color w:val="000000"/>
                <w:szCs w:val="24"/>
                <w:lang w:val="en-US" w:eastAsia="en-GB"/>
              </w:rPr>
              <w:t>2</w:t>
            </w:r>
            <w:r w:rsidRPr="00B026C7">
              <w:rPr>
                <w:rFonts w:eastAsia="Times New Roman" w:cs="Arial"/>
                <w:color w:val="000000"/>
                <w:szCs w:val="24"/>
                <w:lang w:val="en-US" w:eastAsia="en-GB"/>
              </w:rPr>
              <w:t xml:space="preserve"> (</w:t>
            </w:r>
            <w:r w:rsidRPr="00B026C7">
              <w:rPr>
                <w:rFonts w:eastAsia="Times New Roman" w:cs="Arial"/>
                <w:szCs w:val="24"/>
                <w:lang w:val="en-US" w:eastAsia="en-GB"/>
              </w:rPr>
              <w:t>0.6</w:t>
            </w:r>
            <w:r>
              <w:rPr>
                <w:rFonts w:eastAsia="Times New Roman" w:cs="Arial"/>
                <w:szCs w:val="24"/>
                <w:lang w:val="en-US" w:eastAsia="en-GB"/>
              </w:rPr>
              <w:t>3</w:t>
            </w:r>
            <w:r w:rsidRPr="00B026C7">
              <w:rPr>
                <w:rFonts w:eastAsia="Times New Roman" w:cs="Arial"/>
                <w:color w:val="000000"/>
                <w:szCs w:val="24"/>
                <w:lang w:val="en-US" w:eastAsia="en-GB"/>
              </w:rPr>
              <w:t>)</w:t>
            </w:r>
          </w:p>
        </w:tc>
        <w:tc>
          <w:tcPr>
            <w:tcW w:w="2464" w:type="dxa"/>
            <w:shd w:val="clear" w:color="auto" w:fill="auto"/>
            <w:noWrap/>
            <w:hideMark/>
          </w:tcPr>
          <w:p w14:paraId="795CF2B4"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1.6</w:t>
            </w:r>
            <w:r>
              <w:rPr>
                <w:rFonts w:eastAsia="Times New Roman" w:cs="Arial"/>
                <w:color w:val="000000"/>
                <w:szCs w:val="24"/>
                <w:lang w:val="en-US" w:eastAsia="en-GB"/>
              </w:rPr>
              <w:t>8</w:t>
            </w:r>
            <w:r w:rsidRPr="00B026C7">
              <w:rPr>
                <w:rFonts w:eastAsia="Times New Roman" w:cs="Arial"/>
                <w:color w:val="000000"/>
                <w:szCs w:val="24"/>
                <w:lang w:val="en-US" w:eastAsia="en-GB"/>
              </w:rPr>
              <w:t xml:space="preserve"> (</w:t>
            </w:r>
            <w:r w:rsidRPr="00B026C7">
              <w:rPr>
                <w:rFonts w:eastAsia="Times New Roman" w:cs="Arial"/>
                <w:szCs w:val="24"/>
                <w:lang w:val="en-US" w:eastAsia="en-GB"/>
              </w:rPr>
              <w:t>0.7</w:t>
            </w:r>
            <w:r>
              <w:rPr>
                <w:rFonts w:eastAsia="Times New Roman" w:cs="Arial"/>
                <w:szCs w:val="24"/>
                <w:lang w:val="en-US" w:eastAsia="en-GB"/>
              </w:rPr>
              <w:t>6</w:t>
            </w:r>
            <w:r w:rsidRPr="00B026C7">
              <w:rPr>
                <w:rFonts w:eastAsia="Times New Roman" w:cs="Arial"/>
                <w:color w:val="000000"/>
                <w:szCs w:val="24"/>
                <w:lang w:val="en-US" w:eastAsia="en-GB"/>
              </w:rPr>
              <w:t>)</w:t>
            </w:r>
          </w:p>
        </w:tc>
      </w:tr>
      <w:tr w:rsidR="000069B7" w:rsidRPr="00B026C7" w14:paraId="4300261C" w14:textId="77777777" w:rsidTr="004A495F">
        <w:trPr>
          <w:trHeight w:val="262"/>
        </w:trPr>
        <w:tc>
          <w:tcPr>
            <w:tcW w:w="3572" w:type="dxa"/>
            <w:shd w:val="clear" w:color="auto" w:fill="auto"/>
            <w:vAlign w:val="center"/>
            <w:hideMark/>
          </w:tcPr>
          <w:p w14:paraId="5F13768D" w14:textId="77777777" w:rsidR="000069B7" w:rsidRPr="00B026C7" w:rsidRDefault="000069B7" w:rsidP="004A495F">
            <w:pPr>
              <w:spacing w:after="0"/>
              <w:rPr>
                <w:rFonts w:eastAsia="Times New Roman" w:cs="Arial"/>
                <w:color w:val="000000"/>
                <w:szCs w:val="24"/>
                <w:lang w:val="en-US" w:eastAsia="en-GB"/>
              </w:rPr>
            </w:pPr>
            <w:r w:rsidRPr="00B026C7">
              <w:rPr>
                <w:rFonts w:eastAsia="Times New Roman" w:cs="Arial"/>
                <w:szCs w:val="24"/>
                <w:lang w:val="en-US" w:eastAsia="en-GB"/>
              </w:rPr>
              <w:t>%AUC</w:t>
            </w:r>
            <w:r w:rsidRPr="00B026C7">
              <w:rPr>
                <w:rFonts w:eastAsia="Times New Roman" w:cs="Arial"/>
                <w:szCs w:val="24"/>
                <w:vertAlign w:val="subscript"/>
                <w:lang w:val="en-US" w:eastAsia="en-GB"/>
              </w:rPr>
              <w:t>ext</w:t>
            </w:r>
            <w:r w:rsidRPr="00B026C7">
              <w:rPr>
                <w:rFonts w:eastAsia="Times New Roman" w:cs="Arial"/>
                <w:szCs w:val="24"/>
                <w:lang w:val="en-US" w:eastAsia="en-GB"/>
              </w:rPr>
              <w:t xml:space="preserve"> (%)</w:t>
            </w:r>
          </w:p>
        </w:tc>
        <w:tc>
          <w:tcPr>
            <w:tcW w:w="2464" w:type="dxa"/>
            <w:shd w:val="clear" w:color="auto" w:fill="auto"/>
            <w:vAlign w:val="bottom"/>
            <w:hideMark/>
          </w:tcPr>
          <w:p w14:paraId="08B7E44E" w14:textId="77777777" w:rsidR="000069B7" w:rsidRPr="00B026C7" w:rsidRDefault="000069B7" w:rsidP="004A495F">
            <w:pPr>
              <w:spacing w:after="0"/>
              <w:jc w:val="center"/>
              <w:rPr>
                <w:rFonts w:eastAsia="Times New Roman" w:cs="Arial"/>
                <w:color w:val="000000"/>
                <w:szCs w:val="24"/>
                <w:lang w:val="en-US" w:eastAsia="en-GB"/>
              </w:rPr>
            </w:pPr>
          </w:p>
        </w:tc>
        <w:tc>
          <w:tcPr>
            <w:tcW w:w="2464" w:type="dxa"/>
            <w:shd w:val="clear" w:color="auto" w:fill="auto"/>
            <w:vAlign w:val="bottom"/>
            <w:hideMark/>
          </w:tcPr>
          <w:p w14:paraId="11BE3917" w14:textId="77777777" w:rsidR="000069B7" w:rsidRPr="00B026C7" w:rsidRDefault="000069B7" w:rsidP="004A495F">
            <w:pPr>
              <w:spacing w:after="0"/>
              <w:jc w:val="center"/>
              <w:rPr>
                <w:rFonts w:eastAsia="Times New Roman" w:cs="Arial"/>
                <w:szCs w:val="24"/>
                <w:lang w:val="en-US" w:eastAsia="en-GB"/>
              </w:rPr>
            </w:pPr>
          </w:p>
        </w:tc>
        <w:tc>
          <w:tcPr>
            <w:tcW w:w="2464" w:type="dxa"/>
            <w:shd w:val="clear" w:color="auto" w:fill="auto"/>
            <w:vAlign w:val="bottom"/>
            <w:hideMark/>
          </w:tcPr>
          <w:p w14:paraId="49A0D609" w14:textId="77777777" w:rsidR="000069B7" w:rsidRPr="00B026C7" w:rsidRDefault="000069B7" w:rsidP="004A495F">
            <w:pPr>
              <w:spacing w:after="0"/>
              <w:jc w:val="center"/>
              <w:rPr>
                <w:rFonts w:eastAsia="Times New Roman" w:cs="Arial"/>
                <w:szCs w:val="24"/>
                <w:lang w:val="en-US" w:eastAsia="en-GB"/>
              </w:rPr>
            </w:pPr>
          </w:p>
        </w:tc>
        <w:tc>
          <w:tcPr>
            <w:tcW w:w="2464" w:type="dxa"/>
            <w:shd w:val="clear" w:color="auto" w:fill="auto"/>
            <w:vAlign w:val="bottom"/>
            <w:hideMark/>
          </w:tcPr>
          <w:p w14:paraId="3A3FF754" w14:textId="77777777" w:rsidR="000069B7" w:rsidRPr="00B026C7" w:rsidRDefault="000069B7" w:rsidP="004A495F">
            <w:pPr>
              <w:spacing w:after="0"/>
              <w:jc w:val="center"/>
              <w:rPr>
                <w:rFonts w:eastAsia="Times New Roman" w:cs="Arial"/>
                <w:szCs w:val="24"/>
                <w:lang w:val="en-US" w:eastAsia="en-GB"/>
              </w:rPr>
            </w:pPr>
          </w:p>
        </w:tc>
      </w:tr>
      <w:tr w:rsidR="000069B7" w:rsidRPr="00B026C7" w14:paraId="3FF7F986" w14:textId="77777777" w:rsidTr="004A495F">
        <w:trPr>
          <w:trHeight w:val="252"/>
        </w:trPr>
        <w:tc>
          <w:tcPr>
            <w:tcW w:w="3572" w:type="dxa"/>
            <w:shd w:val="clear" w:color="auto" w:fill="auto"/>
            <w:vAlign w:val="center"/>
            <w:hideMark/>
          </w:tcPr>
          <w:p w14:paraId="77C2DCC8"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n</w:t>
            </w:r>
          </w:p>
        </w:tc>
        <w:tc>
          <w:tcPr>
            <w:tcW w:w="2464" w:type="dxa"/>
            <w:shd w:val="clear" w:color="auto" w:fill="auto"/>
            <w:noWrap/>
            <w:hideMark/>
          </w:tcPr>
          <w:p w14:paraId="099CD1FB"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19</w:t>
            </w:r>
            <w:r w:rsidRPr="00B026C7">
              <w:rPr>
                <w:rFonts w:eastAsia="Times New Roman" w:cs="Arial"/>
                <w:color w:val="000000"/>
                <w:szCs w:val="24"/>
                <w:vertAlign w:val="superscript"/>
                <w:lang w:val="en-US" w:eastAsia="en-GB"/>
              </w:rPr>
              <w:t>a</w:t>
            </w:r>
          </w:p>
        </w:tc>
        <w:tc>
          <w:tcPr>
            <w:tcW w:w="2464" w:type="dxa"/>
            <w:shd w:val="clear" w:color="auto" w:fill="auto"/>
            <w:noWrap/>
            <w:hideMark/>
          </w:tcPr>
          <w:p w14:paraId="60303E42"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29</w:t>
            </w:r>
          </w:p>
        </w:tc>
        <w:tc>
          <w:tcPr>
            <w:tcW w:w="2464" w:type="dxa"/>
            <w:shd w:val="clear" w:color="auto" w:fill="auto"/>
            <w:noWrap/>
            <w:hideMark/>
          </w:tcPr>
          <w:p w14:paraId="35D14D08"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119</w:t>
            </w:r>
            <w:r w:rsidRPr="00B026C7">
              <w:rPr>
                <w:rFonts w:eastAsia="Times New Roman" w:cs="Arial"/>
                <w:color w:val="000000"/>
                <w:szCs w:val="24"/>
                <w:vertAlign w:val="superscript"/>
                <w:lang w:val="en-US" w:eastAsia="en-GB"/>
              </w:rPr>
              <w:t>a</w:t>
            </w:r>
          </w:p>
        </w:tc>
        <w:tc>
          <w:tcPr>
            <w:tcW w:w="2464" w:type="dxa"/>
            <w:shd w:val="clear" w:color="auto" w:fill="auto"/>
            <w:noWrap/>
            <w:hideMark/>
          </w:tcPr>
          <w:p w14:paraId="39850AB1"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107</w:t>
            </w:r>
            <w:r w:rsidRPr="00B026C7">
              <w:rPr>
                <w:rFonts w:eastAsia="Times New Roman" w:cs="Arial"/>
                <w:color w:val="000000"/>
                <w:szCs w:val="24"/>
                <w:vertAlign w:val="superscript"/>
                <w:lang w:val="en-US" w:eastAsia="en-GB"/>
              </w:rPr>
              <w:t>a,b</w:t>
            </w:r>
          </w:p>
        </w:tc>
      </w:tr>
      <w:tr w:rsidR="000069B7" w:rsidRPr="00B026C7" w14:paraId="5D7095E3" w14:textId="77777777" w:rsidTr="004A495F">
        <w:trPr>
          <w:trHeight w:val="252"/>
        </w:trPr>
        <w:tc>
          <w:tcPr>
            <w:tcW w:w="3572" w:type="dxa"/>
            <w:shd w:val="clear" w:color="auto" w:fill="auto"/>
            <w:vAlign w:val="center"/>
            <w:hideMark/>
          </w:tcPr>
          <w:p w14:paraId="272C5FA0"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Mean (SD)</w:t>
            </w:r>
          </w:p>
        </w:tc>
        <w:tc>
          <w:tcPr>
            <w:tcW w:w="2464" w:type="dxa"/>
            <w:shd w:val="clear" w:color="auto" w:fill="auto"/>
            <w:hideMark/>
          </w:tcPr>
          <w:p w14:paraId="6C5D3DB6"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1.37 (2.4</w:t>
            </w:r>
            <w:r>
              <w:rPr>
                <w:rFonts w:eastAsia="Times New Roman" w:cs="Arial"/>
                <w:szCs w:val="24"/>
                <w:lang w:val="en-US" w:eastAsia="en-GB"/>
              </w:rPr>
              <w:t>5</w:t>
            </w:r>
            <w:r w:rsidRPr="00B026C7">
              <w:rPr>
                <w:rFonts w:eastAsia="Times New Roman" w:cs="Arial"/>
                <w:szCs w:val="24"/>
                <w:lang w:val="en-US" w:eastAsia="en-GB"/>
              </w:rPr>
              <w:t>)</w:t>
            </w:r>
          </w:p>
        </w:tc>
        <w:tc>
          <w:tcPr>
            <w:tcW w:w="2464" w:type="dxa"/>
            <w:shd w:val="clear" w:color="auto" w:fill="auto"/>
            <w:hideMark/>
          </w:tcPr>
          <w:p w14:paraId="50155EFC"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1.3</w:t>
            </w:r>
            <w:r>
              <w:rPr>
                <w:rFonts w:eastAsia="Times New Roman" w:cs="Arial"/>
                <w:szCs w:val="24"/>
                <w:lang w:val="en-US" w:eastAsia="en-GB"/>
              </w:rPr>
              <w:t>0</w:t>
            </w:r>
            <w:r w:rsidRPr="00B026C7">
              <w:rPr>
                <w:rFonts w:eastAsia="Times New Roman" w:cs="Arial"/>
                <w:szCs w:val="24"/>
                <w:lang w:val="en-US" w:eastAsia="en-GB"/>
              </w:rPr>
              <w:t xml:space="preserve"> (3.</w:t>
            </w:r>
            <w:r>
              <w:rPr>
                <w:rFonts w:eastAsia="Times New Roman" w:cs="Arial"/>
                <w:szCs w:val="24"/>
                <w:lang w:val="en-US" w:eastAsia="en-GB"/>
              </w:rPr>
              <w:t>50</w:t>
            </w:r>
            <w:r w:rsidRPr="00B026C7">
              <w:rPr>
                <w:rFonts w:eastAsia="Times New Roman" w:cs="Arial"/>
                <w:szCs w:val="24"/>
                <w:lang w:val="en-US" w:eastAsia="en-GB"/>
              </w:rPr>
              <w:t>)</w:t>
            </w:r>
          </w:p>
        </w:tc>
        <w:tc>
          <w:tcPr>
            <w:tcW w:w="2464" w:type="dxa"/>
            <w:shd w:val="clear" w:color="auto" w:fill="auto"/>
            <w:noWrap/>
            <w:hideMark/>
          </w:tcPr>
          <w:p w14:paraId="5EE9CABA"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1.24 (4.4</w:t>
            </w:r>
            <w:r>
              <w:rPr>
                <w:rFonts w:eastAsia="Times New Roman" w:cs="Arial"/>
                <w:color w:val="000000"/>
                <w:szCs w:val="24"/>
                <w:lang w:val="en-US" w:eastAsia="en-GB"/>
              </w:rPr>
              <w:t>5</w:t>
            </w:r>
            <w:r w:rsidRPr="00B026C7">
              <w:rPr>
                <w:rFonts w:eastAsia="Times New Roman" w:cs="Arial"/>
                <w:color w:val="000000"/>
                <w:szCs w:val="24"/>
                <w:lang w:val="en-US" w:eastAsia="en-GB"/>
              </w:rPr>
              <w:t>)</w:t>
            </w:r>
          </w:p>
        </w:tc>
        <w:tc>
          <w:tcPr>
            <w:tcW w:w="2464" w:type="dxa"/>
            <w:shd w:val="clear" w:color="auto" w:fill="auto"/>
            <w:hideMark/>
          </w:tcPr>
          <w:p w14:paraId="4A1331F6"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1.29 (3.30)</w:t>
            </w:r>
          </w:p>
        </w:tc>
      </w:tr>
      <w:tr w:rsidR="000069B7" w:rsidRPr="00B026C7" w14:paraId="19E525E0" w14:textId="77777777" w:rsidTr="004A495F">
        <w:trPr>
          <w:trHeight w:val="262"/>
        </w:trPr>
        <w:tc>
          <w:tcPr>
            <w:tcW w:w="3572" w:type="dxa"/>
            <w:shd w:val="clear" w:color="auto" w:fill="auto"/>
            <w:vAlign w:val="center"/>
            <w:hideMark/>
          </w:tcPr>
          <w:p w14:paraId="43331868" w14:textId="77777777" w:rsidR="000069B7" w:rsidRPr="00B026C7" w:rsidRDefault="000069B7" w:rsidP="004A495F">
            <w:pPr>
              <w:spacing w:after="0"/>
              <w:rPr>
                <w:rFonts w:eastAsia="Times New Roman" w:cs="Arial"/>
                <w:color w:val="000000"/>
                <w:szCs w:val="24"/>
                <w:lang w:val="en-US" w:eastAsia="en-GB"/>
              </w:rPr>
            </w:pPr>
            <w:r w:rsidRPr="00B026C7">
              <w:rPr>
                <w:rFonts w:eastAsia="Times New Roman" w:cs="Arial"/>
                <w:szCs w:val="24"/>
                <w:lang w:val="en-US" w:eastAsia="en-GB"/>
              </w:rPr>
              <w:t>λ</w:t>
            </w:r>
            <w:r w:rsidRPr="00B026C7">
              <w:rPr>
                <w:rFonts w:eastAsia="Times New Roman" w:cs="Arial"/>
                <w:szCs w:val="24"/>
                <w:vertAlign w:val="subscript"/>
                <w:lang w:val="en-US" w:eastAsia="en-GB"/>
              </w:rPr>
              <w:t>z</w:t>
            </w:r>
            <w:r w:rsidRPr="00B026C7">
              <w:rPr>
                <w:rFonts w:eastAsia="Times New Roman" w:cs="Arial"/>
                <w:szCs w:val="24"/>
                <w:lang w:val="en-US" w:eastAsia="en-GB"/>
              </w:rPr>
              <w:t xml:space="preserve"> (1/day)</w:t>
            </w:r>
          </w:p>
        </w:tc>
        <w:tc>
          <w:tcPr>
            <w:tcW w:w="2464" w:type="dxa"/>
            <w:shd w:val="clear" w:color="auto" w:fill="auto"/>
            <w:vAlign w:val="center"/>
            <w:hideMark/>
          </w:tcPr>
          <w:p w14:paraId="1A3C19B0"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0EB2287E"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63C81C0C"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0EE8F3FF"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r>
      <w:tr w:rsidR="000069B7" w:rsidRPr="00B026C7" w14:paraId="4991A0B1" w14:textId="77777777" w:rsidTr="004A495F">
        <w:trPr>
          <w:trHeight w:val="252"/>
        </w:trPr>
        <w:tc>
          <w:tcPr>
            <w:tcW w:w="3572" w:type="dxa"/>
            <w:shd w:val="clear" w:color="auto" w:fill="auto"/>
            <w:vAlign w:val="center"/>
            <w:hideMark/>
          </w:tcPr>
          <w:p w14:paraId="06EACA9C"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n</w:t>
            </w:r>
          </w:p>
        </w:tc>
        <w:tc>
          <w:tcPr>
            <w:tcW w:w="2464" w:type="dxa"/>
            <w:shd w:val="clear" w:color="auto" w:fill="auto"/>
            <w:noWrap/>
            <w:hideMark/>
          </w:tcPr>
          <w:p w14:paraId="786B7A0A"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19</w:t>
            </w:r>
            <w:r w:rsidRPr="00B026C7">
              <w:rPr>
                <w:rFonts w:eastAsia="Times New Roman" w:cs="Arial"/>
                <w:color w:val="000000"/>
                <w:szCs w:val="24"/>
                <w:vertAlign w:val="superscript"/>
                <w:lang w:val="en-US" w:eastAsia="en-GB"/>
              </w:rPr>
              <w:t>a</w:t>
            </w:r>
          </w:p>
        </w:tc>
        <w:tc>
          <w:tcPr>
            <w:tcW w:w="2464" w:type="dxa"/>
            <w:shd w:val="clear" w:color="auto" w:fill="auto"/>
            <w:noWrap/>
            <w:hideMark/>
          </w:tcPr>
          <w:p w14:paraId="4E35DAC0"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29</w:t>
            </w:r>
          </w:p>
        </w:tc>
        <w:tc>
          <w:tcPr>
            <w:tcW w:w="2464" w:type="dxa"/>
            <w:shd w:val="clear" w:color="auto" w:fill="auto"/>
            <w:noWrap/>
            <w:hideMark/>
          </w:tcPr>
          <w:p w14:paraId="0315E12E"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119</w:t>
            </w:r>
            <w:r w:rsidRPr="00B026C7">
              <w:rPr>
                <w:rFonts w:eastAsia="Times New Roman" w:cs="Arial"/>
                <w:color w:val="000000"/>
                <w:szCs w:val="24"/>
                <w:vertAlign w:val="superscript"/>
                <w:lang w:val="en-US" w:eastAsia="en-GB"/>
              </w:rPr>
              <w:t>a</w:t>
            </w:r>
          </w:p>
        </w:tc>
        <w:tc>
          <w:tcPr>
            <w:tcW w:w="2464" w:type="dxa"/>
            <w:shd w:val="clear" w:color="auto" w:fill="auto"/>
            <w:noWrap/>
            <w:hideMark/>
          </w:tcPr>
          <w:p w14:paraId="796C44A0"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107</w:t>
            </w:r>
            <w:r w:rsidRPr="00B026C7">
              <w:rPr>
                <w:rFonts w:eastAsia="Times New Roman" w:cs="Arial"/>
                <w:color w:val="000000"/>
                <w:szCs w:val="24"/>
                <w:vertAlign w:val="superscript"/>
                <w:lang w:val="en-US" w:eastAsia="en-GB"/>
              </w:rPr>
              <w:t>a,b</w:t>
            </w:r>
          </w:p>
        </w:tc>
      </w:tr>
      <w:tr w:rsidR="000069B7" w:rsidRPr="00B026C7" w14:paraId="0115F8EA" w14:textId="77777777" w:rsidTr="004A495F">
        <w:trPr>
          <w:trHeight w:val="252"/>
        </w:trPr>
        <w:tc>
          <w:tcPr>
            <w:tcW w:w="3572" w:type="dxa"/>
            <w:shd w:val="clear" w:color="auto" w:fill="auto"/>
            <w:vAlign w:val="center"/>
            <w:hideMark/>
          </w:tcPr>
          <w:p w14:paraId="72CE8CBA"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Mean (SD)</w:t>
            </w:r>
          </w:p>
        </w:tc>
        <w:tc>
          <w:tcPr>
            <w:tcW w:w="2464" w:type="dxa"/>
            <w:shd w:val="clear" w:color="auto" w:fill="auto"/>
            <w:hideMark/>
          </w:tcPr>
          <w:p w14:paraId="78F9A105"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0.4340 (0.1191)</w:t>
            </w:r>
          </w:p>
        </w:tc>
        <w:tc>
          <w:tcPr>
            <w:tcW w:w="2464" w:type="dxa"/>
            <w:shd w:val="clear" w:color="auto" w:fill="auto"/>
            <w:hideMark/>
          </w:tcPr>
          <w:p w14:paraId="1BA33AEC"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0.4499 (0.0915</w:t>
            </w:r>
            <w:r>
              <w:rPr>
                <w:rFonts w:eastAsia="Times New Roman" w:cs="Arial"/>
                <w:szCs w:val="24"/>
                <w:lang w:val="en-US" w:eastAsia="en-GB"/>
              </w:rPr>
              <w:t>7</w:t>
            </w:r>
            <w:r w:rsidRPr="00B026C7">
              <w:rPr>
                <w:rFonts w:eastAsia="Times New Roman" w:cs="Arial"/>
                <w:szCs w:val="24"/>
                <w:lang w:val="en-US" w:eastAsia="en-GB"/>
              </w:rPr>
              <w:t>)</w:t>
            </w:r>
          </w:p>
        </w:tc>
        <w:tc>
          <w:tcPr>
            <w:tcW w:w="2464" w:type="dxa"/>
            <w:shd w:val="clear" w:color="auto" w:fill="auto"/>
            <w:hideMark/>
          </w:tcPr>
          <w:p w14:paraId="60183E2F"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0.4589 (0.0919</w:t>
            </w:r>
            <w:r>
              <w:rPr>
                <w:rFonts w:eastAsia="Times New Roman" w:cs="Arial"/>
                <w:szCs w:val="24"/>
                <w:lang w:val="en-US" w:eastAsia="en-GB"/>
              </w:rPr>
              <w:t>6</w:t>
            </w:r>
            <w:r w:rsidRPr="00B026C7">
              <w:rPr>
                <w:rFonts w:eastAsia="Times New Roman" w:cs="Arial"/>
                <w:szCs w:val="24"/>
                <w:lang w:val="en-US" w:eastAsia="en-GB"/>
              </w:rPr>
              <w:t>)</w:t>
            </w:r>
          </w:p>
        </w:tc>
        <w:tc>
          <w:tcPr>
            <w:tcW w:w="2464" w:type="dxa"/>
            <w:shd w:val="clear" w:color="auto" w:fill="auto"/>
            <w:hideMark/>
          </w:tcPr>
          <w:p w14:paraId="1D1671BC"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0.4550 (0.106</w:t>
            </w:r>
            <w:r>
              <w:rPr>
                <w:rFonts w:eastAsia="Times New Roman" w:cs="Arial"/>
                <w:szCs w:val="24"/>
                <w:lang w:val="en-US" w:eastAsia="en-GB"/>
              </w:rPr>
              <w:t>4</w:t>
            </w:r>
            <w:r w:rsidRPr="00B026C7">
              <w:rPr>
                <w:rFonts w:eastAsia="Times New Roman" w:cs="Arial"/>
                <w:szCs w:val="24"/>
                <w:lang w:val="en-US" w:eastAsia="en-GB"/>
              </w:rPr>
              <w:t>)</w:t>
            </w:r>
          </w:p>
        </w:tc>
      </w:tr>
      <w:tr w:rsidR="000069B7" w:rsidRPr="00B026C7" w14:paraId="3DF3A6A1" w14:textId="77777777" w:rsidTr="004A495F">
        <w:trPr>
          <w:trHeight w:val="247"/>
        </w:trPr>
        <w:tc>
          <w:tcPr>
            <w:tcW w:w="3572" w:type="dxa"/>
            <w:shd w:val="clear" w:color="auto" w:fill="auto"/>
            <w:vAlign w:val="center"/>
            <w:hideMark/>
          </w:tcPr>
          <w:p w14:paraId="42FAE4A7" w14:textId="77777777" w:rsidR="000069B7" w:rsidRPr="00B026C7" w:rsidRDefault="000069B7" w:rsidP="004A495F">
            <w:pPr>
              <w:spacing w:after="0"/>
              <w:rPr>
                <w:rFonts w:eastAsia="Times New Roman" w:cs="Arial"/>
                <w:szCs w:val="24"/>
                <w:lang w:val="en-US" w:eastAsia="en-GB"/>
              </w:rPr>
            </w:pPr>
            <w:r w:rsidRPr="00B026C7">
              <w:rPr>
                <w:rFonts w:eastAsia="Times New Roman" w:cs="Arial"/>
                <w:szCs w:val="24"/>
                <w:lang w:val="en-US" w:eastAsia="en-GB"/>
              </w:rPr>
              <w:t>CL/F (L/h)</w:t>
            </w:r>
          </w:p>
        </w:tc>
        <w:tc>
          <w:tcPr>
            <w:tcW w:w="2464" w:type="dxa"/>
            <w:shd w:val="clear" w:color="auto" w:fill="auto"/>
            <w:vAlign w:val="center"/>
            <w:hideMark/>
          </w:tcPr>
          <w:p w14:paraId="2E22A4A0"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021257C9"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14BE5C57"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c>
          <w:tcPr>
            <w:tcW w:w="2464" w:type="dxa"/>
            <w:shd w:val="clear" w:color="auto" w:fill="auto"/>
            <w:vAlign w:val="center"/>
            <w:hideMark/>
          </w:tcPr>
          <w:p w14:paraId="65E9306D"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 </w:t>
            </w:r>
          </w:p>
        </w:tc>
      </w:tr>
      <w:tr w:rsidR="000069B7" w:rsidRPr="00B026C7" w14:paraId="6720A902" w14:textId="77777777" w:rsidTr="004A495F">
        <w:trPr>
          <w:trHeight w:val="247"/>
        </w:trPr>
        <w:tc>
          <w:tcPr>
            <w:tcW w:w="3572" w:type="dxa"/>
            <w:shd w:val="clear" w:color="auto" w:fill="auto"/>
            <w:vAlign w:val="center"/>
            <w:hideMark/>
          </w:tcPr>
          <w:p w14:paraId="474C50F2"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n</w:t>
            </w:r>
          </w:p>
        </w:tc>
        <w:tc>
          <w:tcPr>
            <w:tcW w:w="2464" w:type="dxa"/>
            <w:shd w:val="clear" w:color="auto" w:fill="auto"/>
            <w:noWrap/>
            <w:hideMark/>
          </w:tcPr>
          <w:p w14:paraId="55CA2150"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19</w:t>
            </w:r>
            <w:r w:rsidRPr="00B026C7">
              <w:rPr>
                <w:rFonts w:eastAsia="Times New Roman" w:cs="Arial"/>
                <w:color w:val="000000"/>
                <w:szCs w:val="24"/>
                <w:vertAlign w:val="superscript"/>
                <w:lang w:val="en-US" w:eastAsia="en-GB"/>
              </w:rPr>
              <w:t>a</w:t>
            </w:r>
          </w:p>
        </w:tc>
        <w:tc>
          <w:tcPr>
            <w:tcW w:w="2464" w:type="dxa"/>
            <w:shd w:val="clear" w:color="auto" w:fill="auto"/>
            <w:noWrap/>
            <w:hideMark/>
          </w:tcPr>
          <w:p w14:paraId="466CEC41"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29</w:t>
            </w:r>
          </w:p>
        </w:tc>
        <w:tc>
          <w:tcPr>
            <w:tcW w:w="2464" w:type="dxa"/>
            <w:shd w:val="clear" w:color="auto" w:fill="auto"/>
            <w:noWrap/>
            <w:hideMark/>
          </w:tcPr>
          <w:p w14:paraId="5BB04C8F"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119</w:t>
            </w:r>
            <w:r w:rsidRPr="00B026C7">
              <w:rPr>
                <w:rFonts w:eastAsia="Times New Roman" w:cs="Arial"/>
                <w:color w:val="000000"/>
                <w:szCs w:val="24"/>
                <w:vertAlign w:val="superscript"/>
                <w:lang w:val="en-US" w:eastAsia="en-GB"/>
              </w:rPr>
              <w:t>a</w:t>
            </w:r>
          </w:p>
        </w:tc>
        <w:tc>
          <w:tcPr>
            <w:tcW w:w="2464" w:type="dxa"/>
            <w:shd w:val="clear" w:color="auto" w:fill="auto"/>
            <w:noWrap/>
            <w:hideMark/>
          </w:tcPr>
          <w:p w14:paraId="1575E6B7"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107</w:t>
            </w:r>
            <w:r w:rsidRPr="00B026C7">
              <w:rPr>
                <w:rFonts w:eastAsia="Times New Roman" w:cs="Arial"/>
                <w:color w:val="000000"/>
                <w:szCs w:val="24"/>
                <w:vertAlign w:val="superscript"/>
                <w:lang w:val="en-US" w:eastAsia="en-GB"/>
              </w:rPr>
              <w:t>a,b</w:t>
            </w:r>
          </w:p>
        </w:tc>
      </w:tr>
      <w:tr w:rsidR="000069B7" w:rsidRPr="00B026C7" w14:paraId="2F96DB42" w14:textId="77777777" w:rsidTr="004A495F">
        <w:trPr>
          <w:trHeight w:val="310"/>
        </w:trPr>
        <w:tc>
          <w:tcPr>
            <w:tcW w:w="3572" w:type="dxa"/>
            <w:shd w:val="clear" w:color="auto" w:fill="auto"/>
            <w:vAlign w:val="center"/>
            <w:hideMark/>
          </w:tcPr>
          <w:p w14:paraId="6B00AA35"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Mean (SD)</w:t>
            </w:r>
          </w:p>
        </w:tc>
        <w:tc>
          <w:tcPr>
            <w:tcW w:w="2464" w:type="dxa"/>
            <w:shd w:val="clear" w:color="auto" w:fill="auto"/>
            <w:hideMark/>
          </w:tcPr>
          <w:p w14:paraId="138EB675"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0.1240 (0.09936)</w:t>
            </w:r>
          </w:p>
        </w:tc>
        <w:tc>
          <w:tcPr>
            <w:tcW w:w="2464" w:type="dxa"/>
            <w:shd w:val="clear" w:color="auto" w:fill="auto"/>
            <w:hideMark/>
          </w:tcPr>
          <w:p w14:paraId="64FA5C13"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0.09833 (0.05630)</w:t>
            </w:r>
          </w:p>
        </w:tc>
        <w:tc>
          <w:tcPr>
            <w:tcW w:w="2464" w:type="dxa"/>
            <w:shd w:val="clear" w:color="auto" w:fill="auto"/>
            <w:hideMark/>
          </w:tcPr>
          <w:p w14:paraId="73AB403B"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0.09851 (0.1371)</w:t>
            </w:r>
          </w:p>
        </w:tc>
        <w:tc>
          <w:tcPr>
            <w:tcW w:w="2464" w:type="dxa"/>
            <w:shd w:val="clear" w:color="auto" w:fill="auto"/>
            <w:hideMark/>
          </w:tcPr>
          <w:p w14:paraId="0BCC16E4"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0.09884 (0.07690)</w:t>
            </w:r>
          </w:p>
        </w:tc>
      </w:tr>
      <w:tr w:rsidR="000069B7" w:rsidRPr="00B026C7" w14:paraId="227E3D7C" w14:textId="77777777" w:rsidTr="004A495F">
        <w:trPr>
          <w:trHeight w:val="247"/>
        </w:trPr>
        <w:tc>
          <w:tcPr>
            <w:tcW w:w="3572" w:type="dxa"/>
            <w:shd w:val="clear" w:color="auto" w:fill="auto"/>
            <w:vAlign w:val="center"/>
            <w:hideMark/>
          </w:tcPr>
          <w:p w14:paraId="49662FD1" w14:textId="77777777" w:rsidR="000069B7" w:rsidRPr="00B026C7" w:rsidRDefault="000069B7" w:rsidP="004A495F">
            <w:pPr>
              <w:spacing w:after="0"/>
              <w:rPr>
                <w:rFonts w:eastAsia="Times New Roman" w:cs="Arial"/>
                <w:color w:val="000000"/>
                <w:szCs w:val="24"/>
                <w:lang w:val="en-US" w:eastAsia="en-GB"/>
              </w:rPr>
            </w:pPr>
            <w:r w:rsidRPr="00B026C7">
              <w:rPr>
                <w:rFonts w:eastAsia="Times New Roman" w:cs="Arial"/>
                <w:szCs w:val="24"/>
                <w:lang w:val="en-US" w:eastAsia="en-GB"/>
              </w:rPr>
              <w:lastRenderedPageBreak/>
              <w:t>V</w:t>
            </w:r>
            <w:r w:rsidRPr="00B026C7">
              <w:rPr>
                <w:rFonts w:eastAsia="Times New Roman" w:cs="Arial"/>
                <w:szCs w:val="24"/>
                <w:vertAlign w:val="subscript"/>
                <w:lang w:val="en-US" w:eastAsia="en-GB"/>
              </w:rPr>
              <w:t>z</w:t>
            </w:r>
            <w:r w:rsidRPr="00B026C7">
              <w:rPr>
                <w:rFonts w:eastAsia="Times New Roman" w:cs="Arial"/>
                <w:szCs w:val="24"/>
                <w:lang w:val="en-US" w:eastAsia="en-GB"/>
              </w:rPr>
              <w:t>/F (L)</w:t>
            </w:r>
          </w:p>
        </w:tc>
        <w:tc>
          <w:tcPr>
            <w:tcW w:w="2464" w:type="dxa"/>
            <w:shd w:val="clear" w:color="auto" w:fill="auto"/>
            <w:vAlign w:val="bottom"/>
            <w:hideMark/>
          </w:tcPr>
          <w:p w14:paraId="704551A5" w14:textId="77777777" w:rsidR="000069B7" w:rsidRPr="00B026C7" w:rsidRDefault="000069B7" w:rsidP="004A495F">
            <w:pPr>
              <w:spacing w:after="0"/>
              <w:jc w:val="center"/>
              <w:rPr>
                <w:rFonts w:eastAsia="Times New Roman" w:cs="Arial"/>
                <w:color w:val="000000"/>
                <w:szCs w:val="24"/>
                <w:lang w:val="en-US" w:eastAsia="en-GB"/>
              </w:rPr>
            </w:pPr>
          </w:p>
        </w:tc>
        <w:tc>
          <w:tcPr>
            <w:tcW w:w="2464" w:type="dxa"/>
            <w:shd w:val="clear" w:color="auto" w:fill="auto"/>
            <w:vAlign w:val="bottom"/>
            <w:hideMark/>
          </w:tcPr>
          <w:p w14:paraId="2E5A1649" w14:textId="77777777" w:rsidR="000069B7" w:rsidRPr="00B026C7" w:rsidRDefault="000069B7" w:rsidP="004A495F">
            <w:pPr>
              <w:spacing w:after="0"/>
              <w:jc w:val="center"/>
              <w:rPr>
                <w:rFonts w:eastAsia="Times New Roman" w:cs="Arial"/>
                <w:szCs w:val="24"/>
                <w:lang w:val="en-US" w:eastAsia="en-GB"/>
              </w:rPr>
            </w:pPr>
          </w:p>
        </w:tc>
        <w:tc>
          <w:tcPr>
            <w:tcW w:w="2464" w:type="dxa"/>
            <w:shd w:val="clear" w:color="auto" w:fill="auto"/>
            <w:vAlign w:val="bottom"/>
            <w:hideMark/>
          </w:tcPr>
          <w:p w14:paraId="5115C55C" w14:textId="77777777" w:rsidR="000069B7" w:rsidRPr="00B026C7" w:rsidRDefault="000069B7" w:rsidP="004A495F">
            <w:pPr>
              <w:spacing w:after="0"/>
              <w:jc w:val="center"/>
              <w:rPr>
                <w:rFonts w:eastAsia="Times New Roman" w:cs="Arial"/>
                <w:szCs w:val="24"/>
                <w:lang w:val="en-US" w:eastAsia="en-GB"/>
              </w:rPr>
            </w:pPr>
          </w:p>
        </w:tc>
        <w:tc>
          <w:tcPr>
            <w:tcW w:w="2464" w:type="dxa"/>
            <w:shd w:val="clear" w:color="auto" w:fill="auto"/>
            <w:vAlign w:val="bottom"/>
            <w:hideMark/>
          </w:tcPr>
          <w:p w14:paraId="4B414844" w14:textId="77777777" w:rsidR="000069B7" w:rsidRPr="00B026C7" w:rsidRDefault="000069B7" w:rsidP="004A495F">
            <w:pPr>
              <w:spacing w:after="0"/>
              <w:jc w:val="center"/>
              <w:rPr>
                <w:rFonts w:eastAsia="Times New Roman" w:cs="Arial"/>
                <w:szCs w:val="24"/>
                <w:lang w:val="en-US" w:eastAsia="en-GB"/>
              </w:rPr>
            </w:pPr>
          </w:p>
        </w:tc>
      </w:tr>
      <w:tr w:rsidR="000069B7" w:rsidRPr="00B026C7" w14:paraId="4B437E5F" w14:textId="77777777" w:rsidTr="004A495F">
        <w:trPr>
          <w:trHeight w:val="247"/>
        </w:trPr>
        <w:tc>
          <w:tcPr>
            <w:tcW w:w="3572" w:type="dxa"/>
            <w:shd w:val="clear" w:color="auto" w:fill="auto"/>
            <w:vAlign w:val="center"/>
            <w:hideMark/>
          </w:tcPr>
          <w:p w14:paraId="60097D49"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n</w:t>
            </w:r>
          </w:p>
        </w:tc>
        <w:tc>
          <w:tcPr>
            <w:tcW w:w="2464" w:type="dxa"/>
            <w:shd w:val="clear" w:color="auto" w:fill="auto"/>
            <w:noWrap/>
            <w:hideMark/>
          </w:tcPr>
          <w:p w14:paraId="67183F0C"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19</w:t>
            </w:r>
            <w:r w:rsidRPr="00B026C7">
              <w:rPr>
                <w:rFonts w:eastAsia="Times New Roman" w:cs="Arial"/>
                <w:color w:val="000000"/>
                <w:szCs w:val="24"/>
                <w:vertAlign w:val="superscript"/>
                <w:lang w:val="en-US" w:eastAsia="en-GB"/>
              </w:rPr>
              <w:t>a</w:t>
            </w:r>
          </w:p>
        </w:tc>
        <w:tc>
          <w:tcPr>
            <w:tcW w:w="2464" w:type="dxa"/>
            <w:shd w:val="clear" w:color="auto" w:fill="auto"/>
            <w:noWrap/>
            <w:hideMark/>
          </w:tcPr>
          <w:p w14:paraId="28378DEC" w14:textId="77777777" w:rsidR="000069B7" w:rsidRPr="00B026C7" w:rsidRDefault="000069B7" w:rsidP="004A495F">
            <w:pPr>
              <w:spacing w:after="0"/>
              <w:jc w:val="center"/>
              <w:rPr>
                <w:rFonts w:eastAsia="Times New Roman" w:cs="Arial"/>
                <w:color w:val="000000"/>
                <w:szCs w:val="24"/>
                <w:lang w:val="en-US" w:eastAsia="en-GB"/>
              </w:rPr>
            </w:pPr>
            <w:r w:rsidRPr="00B026C7">
              <w:rPr>
                <w:rFonts w:eastAsia="Times New Roman" w:cs="Arial"/>
                <w:color w:val="000000"/>
                <w:szCs w:val="24"/>
                <w:lang w:val="en-US" w:eastAsia="en-GB"/>
              </w:rPr>
              <w:t>29</w:t>
            </w:r>
          </w:p>
        </w:tc>
        <w:tc>
          <w:tcPr>
            <w:tcW w:w="2464" w:type="dxa"/>
            <w:shd w:val="clear" w:color="auto" w:fill="auto"/>
            <w:noWrap/>
            <w:hideMark/>
          </w:tcPr>
          <w:p w14:paraId="764C530C"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119</w:t>
            </w:r>
            <w:r w:rsidRPr="00B026C7">
              <w:rPr>
                <w:rFonts w:eastAsia="Times New Roman" w:cs="Arial"/>
                <w:color w:val="000000"/>
                <w:szCs w:val="24"/>
                <w:vertAlign w:val="superscript"/>
                <w:lang w:val="en-US" w:eastAsia="en-GB"/>
              </w:rPr>
              <w:t>a</w:t>
            </w:r>
          </w:p>
        </w:tc>
        <w:tc>
          <w:tcPr>
            <w:tcW w:w="2464" w:type="dxa"/>
            <w:shd w:val="clear" w:color="auto" w:fill="auto"/>
            <w:noWrap/>
            <w:hideMark/>
          </w:tcPr>
          <w:p w14:paraId="691AFC07" w14:textId="77777777" w:rsidR="000069B7" w:rsidRPr="00B026C7" w:rsidRDefault="000069B7" w:rsidP="004A495F">
            <w:pPr>
              <w:spacing w:after="0"/>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107</w:t>
            </w:r>
            <w:r w:rsidRPr="00B026C7">
              <w:rPr>
                <w:rFonts w:eastAsia="Times New Roman" w:cs="Arial"/>
                <w:color w:val="000000"/>
                <w:szCs w:val="24"/>
                <w:vertAlign w:val="superscript"/>
                <w:lang w:val="en-US" w:eastAsia="en-GB"/>
              </w:rPr>
              <w:t>a,b</w:t>
            </w:r>
          </w:p>
        </w:tc>
      </w:tr>
      <w:tr w:rsidR="000069B7" w:rsidRPr="00B026C7" w14:paraId="47873CBB" w14:textId="77777777" w:rsidTr="004A495F">
        <w:trPr>
          <w:trHeight w:val="310"/>
        </w:trPr>
        <w:tc>
          <w:tcPr>
            <w:tcW w:w="3572" w:type="dxa"/>
            <w:shd w:val="clear" w:color="auto" w:fill="auto"/>
            <w:vAlign w:val="center"/>
            <w:hideMark/>
          </w:tcPr>
          <w:p w14:paraId="7753D694" w14:textId="77777777" w:rsidR="000069B7" w:rsidRPr="00B026C7" w:rsidRDefault="000069B7" w:rsidP="004A495F">
            <w:pPr>
              <w:spacing w:after="0"/>
              <w:ind w:left="321"/>
              <w:rPr>
                <w:rFonts w:eastAsia="Times New Roman" w:cs="Arial"/>
                <w:szCs w:val="24"/>
                <w:lang w:val="en-US" w:eastAsia="en-GB"/>
              </w:rPr>
            </w:pPr>
            <w:r w:rsidRPr="00B026C7">
              <w:rPr>
                <w:rFonts w:eastAsia="Times New Roman" w:cs="Arial"/>
                <w:szCs w:val="24"/>
                <w:lang w:val="en-US" w:eastAsia="en-GB"/>
              </w:rPr>
              <w:t>Mean (SD)</w:t>
            </w:r>
          </w:p>
        </w:tc>
        <w:tc>
          <w:tcPr>
            <w:tcW w:w="2464" w:type="dxa"/>
            <w:shd w:val="clear" w:color="auto" w:fill="auto"/>
            <w:hideMark/>
          </w:tcPr>
          <w:p w14:paraId="665BE453"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7.2</w:t>
            </w:r>
            <w:r>
              <w:rPr>
                <w:rFonts w:eastAsia="Times New Roman" w:cs="Arial"/>
                <w:szCs w:val="24"/>
                <w:lang w:val="en-US" w:eastAsia="en-GB"/>
              </w:rPr>
              <w:t>9</w:t>
            </w:r>
            <w:r w:rsidRPr="00B026C7">
              <w:rPr>
                <w:rFonts w:eastAsia="Times New Roman" w:cs="Arial"/>
                <w:szCs w:val="24"/>
                <w:lang w:val="en-US" w:eastAsia="en-GB"/>
              </w:rPr>
              <w:t xml:space="preserve"> (6.2</w:t>
            </w:r>
            <w:r>
              <w:rPr>
                <w:rFonts w:eastAsia="Times New Roman" w:cs="Arial"/>
                <w:szCs w:val="24"/>
                <w:lang w:val="en-US" w:eastAsia="en-GB"/>
              </w:rPr>
              <w:t>2</w:t>
            </w:r>
            <w:r w:rsidRPr="00B026C7">
              <w:rPr>
                <w:rFonts w:eastAsia="Times New Roman" w:cs="Arial"/>
                <w:szCs w:val="24"/>
                <w:lang w:val="en-US" w:eastAsia="en-GB"/>
              </w:rPr>
              <w:t>)</w:t>
            </w:r>
          </w:p>
        </w:tc>
        <w:tc>
          <w:tcPr>
            <w:tcW w:w="2464" w:type="dxa"/>
            <w:shd w:val="clear" w:color="auto" w:fill="auto"/>
            <w:hideMark/>
          </w:tcPr>
          <w:p w14:paraId="6E532807"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5.69 (3.9</w:t>
            </w:r>
            <w:r>
              <w:rPr>
                <w:rFonts w:eastAsia="Times New Roman" w:cs="Arial"/>
                <w:szCs w:val="24"/>
                <w:lang w:val="en-US" w:eastAsia="en-GB"/>
              </w:rPr>
              <w:t>7</w:t>
            </w:r>
            <w:r w:rsidRPr="00B026C7">
              <w:rPr>
                <w:rFonts w:eastAsia="Times New Roman" w:cs="Arial"/>
                <w:szCs w:val="24"/>
                <w:lang w:val="en-US" w:eastAsia="en-GB"/>
              </w:rPr>
              <w:t>)</w:t>
            </w:r>
          </w:p>
        </w:tc>
        <w:tc>
          <w:tcPr>
            <w:tcW w:w="2464" w:type="dxa"/>
            <w:shd w:val="clear" w:color="auto" w:fill="auto"/>
            <w:hideMark/>
          </w:tcPr>
          <w:p w14:paraId="0733999F"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5.9</w:t>
            </w:r>
            <w:r>
              <w:rPr>
                <w:rFonts w:eastAsia="Times New Roman" w:cs="Arial"/>
                <w:szCs w:val="24"/>
                <w:lang w:val="en-US" w:eastAsia="en-GB"/>
              </w:rPr>
              <w:t>1</w:t>
            </w:r>
            <w:r w:rsidRPr="00B026C7">
              <w:rPr>
                <w:rFonts w:eastAsia="Times New Roman" w:cs="Arial"/>
                <w:szCs w:val="24"/>
                <w:lang w:val="en-US" w:eastAsia="en-GB"/>
              </w:rPr>
              <w:t xml:space="preserve"> (12.04)</w:t>
            </w:r>
          </w:p>
        </w:tc>
        <w:tc>
          <w:tcPr>
            <w:tcW w:w="2464" w:type="dxa"/>
            <w:shd w:val="clear" w:color="auto" w:fill="auto"/>
            <w:hideMark/>
          </w:tcPr>
          <w:p w14:paraId="61990CA7" w14:textId="77777777" w:rsidR="000069B7" w:rsidRPr="00B026C7" w:rsidRDefault="000069B7" w:rsidP="004A495F">
            <w:pPr>
              <w:spacing w:after="0"/>
              <w:jc w:val="center"/>
              <w:rPr>
                <w:rFonts w:eastAsia="Times New Roman" w:cs="Arial"/>
                <w:szCs w:val="24"/>
                <w:lang w:val="en-US" w:eastAsia="en-GB"/>
              </w:rPr>
            </w:pPr>
            <w:r w:rsidRPr="00B026C7">
              <w:rPr>
                <w:rFonts w:eastAsia="Times New Roman" w:cs="Arial"/>
                <w:szCs w:val="24"/>
                <w:lang w:val="en-US" w:eastAsia="en-GB"/>
              </w:rPr>
              <w:t>5.70 (5.1</w:t>
            </w:r>
            <w:r>
              <w:rPr>
                <w:rFonts w:eastAsia="Times New Roman" w:cs="Arial"/>
                <w:szCs w:val="24"/>
                <w:lang w:val="en-US" w:eastAsia="en-GB"/>
              </w:rPr>
              <w:t>6</w:t>
            </w:r>
            <w:r w:rsidRPr="00B026C7">
              <w:rPr>
                <w:rFonts w:eastAsia="Times New Roman" w:cs="Arial"/>
                <w:szCs w:val="24"/>
                <w:lang w:val="en-US" w:eastAsia="en-GB"/>
              </w:rPr>
              <w:t>)</w:t>
            </w:r>
          </w:p>
        </w:tc>
      </w:tr>
    </w:tbl>
    <w:p w14:paraId="2A31B883" w14:textId="77777777" w:rsidR="000069B7" w:rsidRDefault="000069B7" w:rsidP="000069B7">
      <w:pPr>
        <w:spacing w:line="480" w:lineRule="auto"/>
        <w:rPr>
          <w:rFonts w:cs="Arial"/>
          <w:szCs w:val="24"/>
          <w:lang w:val="en-US"/>
        </w:rPr>
      </w:pPr>
      <w:r w:rsidRPr="00B026C7">
        <w:rPr>
          <w:rFonts w:cs="Arial"/>
          <w:szCs w:val="24"/>
          <w:vertAlign w:val="superscript"/>
          <w:lang w:val="en-US"/>
        </w:rPr>
        <w:t>a</w:t>
      </w:r>
      <w:r w:rsidRPr="00B026C7">
        <w:rPr>
          <w:rFonts w:eastAsia="Times New Roman" w:cs="Arial"/>
          <w:color w:val="202124"/>
          <w:szCs w:val="24"/>
          <w:shd w:val="clear" w:color="auto" w:fill="FFFFFF"/>
          <w:lang w:val="en-US" w:eastAsia="en-GB"/>
        </w:rPr>
        <w:t>λ</w:t>
      </w:r>
      <w:r w:rsidRPr="00B026C7">
        <w:rPr>
          <w:rFonts w:eastAsia="Times New Roman" w:cs="Arial"/>
          <w:color w:val="202124"/>
          <w:szCs w:val="24"/>
          <w:shd w:val="clear" w:color="auto" w:fill="FFFFFF"/>
          <w:vertAlign w:val="subscript"/>
          <w:lang w:val="en-US" w:eastAsia="en-GB"/>
        </w:rPr>
        <w:t>z</w:t>
      </w:r>
      <w:r w:rsidRPr="00B026C7">
        <w:rPr>
          <w:rFonts w:cs="Arial"/>
          <w:szCs w:val="24"/>
          <w:lang w:val="en-US"/>
        </w:rPr>
        <w:t xml:space="preserve"> and its associated </w:t>
      </w:r>
      <w:r>
        <w:rPr>
          <w:rFonts w:cs="Arial"/>
          <w:szCs w:val="24"/>
          <w:lang w:val="en-US"/>
        </w:rPr>
        <w:t>variables</w:t>
      </w:r>
      <w:r w:rsidRPr="00B026C7">
        <w:rPr>
          <w:rFonts w:cs="Arial"/>
          <w:szCs w:val="24"/>
          <w:lang w:val="en-US"/>
        </w:rPr>
        <w:t xml:space="preserve"> (i.e.</w:t>
      </w:r>
      <w:r>
        <w:rPr>
          <w:rFonts w:cs="Arial"/>
          <w:szCs w:val="24"/>
          <w:lang w:val="en-US"/>
        </w:rPr>
        <w:t>,</w:t>
      </w:r>
      <w:r w:rsidRPr="00B026C7">
        <w:rPr>
          <w:rFonts w:cs="Arial"/>
          <w:szCs w:val="24"/>
          <w:lang w:val="en-US"/>
        </w:rPr>
        <w:t xml:space="preserve"> t</w:t>
      </w:r>
      <w:r w:rsidRPr="00B026C7">
        <w:rPr>
          <w:rFonts w:cs="Arial"/>
          <w:szCs w:val="24"/>
          <w:vertAlign w:val="subscript"/>
          <w:lang w:val="en-US"/>
        </w:rPr>
        <w:t>1/2</w:t>
      </w:r>
      <w:r w:rsidRPr="00B026C7">
        <w:rPr>
          <w:rFonts w:cs="Arial"/>
          <w:szCs w:val="24"/>
          <w:lang w:val="en-US"/>
        </w:rPr>
        <w:t>, AUC</w:t>
      </w:r>
      <w:r w:rsidRPr="00B026C7">
        <w:rPr>
          <w:rFonts w:cs="Arial"/>
          <w:szCs w:val="24"/>
          <w:vertAlign w:val="subscript"/>
          <w:lang w:val="en-US"/>
        </w:rPr>
        <w:t>0–inf</w:t>
      </w:r>
      <w:r w:rsidRPr="00B026C7">
        <w:rPr>
          <w:rFonts w:cs="Arial"/>
          <w:szCs w:val="24"/>
          <w:lang w:val="en-US"/>
        </w:rPr>
        <w:t>,</w:t>
      </w:r>
      <w:r w:rsidRPr="00B026C7">
        <w:rPr>
          <w:rFonts w:cs="Arial"/>
          <w:szCs w:val="24"/>
          <w:vertAlign w:val="subscript"/>
          <w:lang w:val="en-US"/>
        </w:rPr>
        <w:t xml:space="preserve"> </w:t>
      </w:r>
      <w:r w:rsidRPr="00B026C7">
        <w:rPr>
          <w:rFonts w:cs="Arial"/>
          <w:szCs w:val="24"/>
          <w:lang w:val="en-US"/>
        </w:rPr>
        <w:t>%AUC</w:t>
      </w:r>
      <w:r w:rsidRPr="00B026C7">
        <w:rPr>
          <w:rFonts w:cs="Arial"/>
          <w:szCs w:val="24"/>
          <w:vertAlign w:val="subscript"/>
          <w:lang w:val="en-US"/>
        </w:rPr>
        <w:t>ext</w:t>
      </w:r>
      <w:r w:rsidRPr="00B026C7">
        <w:rPr>
          <w:rFonts w:cs="Arial"/>
          <w:szCs w:val="24"/>
          <w:lang w:val="en-US"/>
        </w:rPr>
        <w:t>,</w:t>
      </w:r>
      <w:r w:rsidRPr="00B026C7">
        <w:rPr>
          <w:rFonts w:cs="Arial"/>
          <w:szCs w:val="24"/>
          <w:vertAlign w:val="subscript"/>
          <w:lang w:val="en-US"/>
        </w:rPr>
        <w:t xml:space="preserve"> </w:t>
      </w:r>
      <w:r w:rsidRPr="00B026C7">
        <w:rPr>
          <w:rFonts w:cs="Arial"/>
          <w:szCs w:val="24"/>
          <w:lang w:val="en-US"/>
        </w:rPr>
        <w:t>CL/F and V</w:t>
      </w:r>
      <w:r w:rsidRPr="00B026C7">
        <w:rPr>
          <w:rFonts w:cs="Arial"/>
          <w:szCs w:val="24"/>
          <w:vertAlign w:val="subscript"/>
          <w:lang w:val="en-US"/>
        </w:rPr>
        <w:t>z</w:t>
      </w:r>
      <w:r w:rsidRPr="00B026C7">
        <w:rPr>
          <w:rFonts w:cs="Arial"/>
          <w:szCs w:val="24"/>
          <w:lang w:val="en-US"/>
        </w:rPr>
        <w:t>/F) were not evaluable for nine participants: eight participants (CT-P47, n=5; EU-tocilizumab, n=3) were excluded from the AUC</w:t>
      </w:r>
      <w:r w:rsidRPr="00B026C7">
        <w:rPr>
          <w:rFonts w:cs="Arial"/>
          <w:szCs w:val="24"/>
          <w:vertAlign w:val="subscript"/>
          <w:lang w:val="en-US"/>
        </w:rPr>
        <w:t>0–inf</w:t>
      </w:r>
      <w:r w:rsidRPr="00B026C7">
        <w:rPr>
          <w:rFonts w:cs="Arial"/>
          <w:szCs w:val="24"/>
          <w:lang w:val="en-US"/>
        </w:rPr>
        <w:t xml:space="preserve"> analysis </w:t>
      </w:r>
      <w:r>
        <w:rPr>
          <w:rFonts w:cs="Arial"/>
          <w:szCs w:val="24"/>
          <w:lang w:val="en-US"/>
        </w:rPr>
        <w:t>owing</w:t>
      </w:r>
      <w:r w:rsidRPr="00B026C7">
        <w:rPr>
          <w:rFonts w:cs="Arial"/>
          <w:szCs w:val="24"/>
          <w:lang w:val="en-US"/>
        </w:rPr>
        <w:t xml:space="preserve"> to adjusted coefficients of determination (adjusted</w:t>
      </w:r>
      <w:r w:rsidRPr="00B026C7">
        <w:rPr>
          <w:rFonts w:cs="Arial"/>
          <w:szCs w:val="24"/>
          <w:vertAlign w:val="superscript"/>
          <w:lang w:val="en-US"/>
        </w:rPr>
        <w:t xml:space="preserve"> </w:t>
      </w:r>
      <w:r w:rsidRPr="00B026C7">
        <w:rPr>
          <w:rFonts w:cs="Arial"/>
          <w:szCs w:val="24"/>
          <w:lang w:val="en-US"/>
        </w:rPr>
        <w:t>R</w:t>
      </w:r>
      <w:r w:rsidRPr="00B026C7">
        <w:rPr>
          <w:rFonts w:cs="Arial"/>
          <w:szCs w:val="24"/>
          <w:vertAlign w:val="superscript"/>
          <w:lang w:val="en-US"/>
        </w:rPr>
        <w:t>2</w:t>
      </w:r>
      <w:r w:rsidRPr="00B026C7">
        <w:rPr>
          <w:rFonts w:cs="Arial"/>
          <w:szCs w:val="24"/>
          <w:lang w:val="en-US"/>
        </w:rPr>
        <w:t>) &lt;0.85; one participant in the CT-P47 group did not have ≥3 PK evaluations after C</w:t>
      </w:r>
      <w:r w:rsidRPr="00B026C7">
        <w:rPr>
          <w:rFonts w:cs="Arial"/>
          <w:szCs w:val="24"/>
          <w:vertAlign w:val="subscript"/>
          <w:lang w:val="en-US"/>
        </w:rPr>
        <w:t>max</w:t>
      </w:r>
      <w:r w:rsidRPr="00B026C7">
        <w:rPr>
          <w:rFonts w:cs="Arial"/>
          <w:szCs w:val="24"/>
          <w:lang w:val="en-US"/>
        </w:rPr>
        <w:t>, thus AUC</w:t>
      </w:r>
      <w:r w:rsidRPr="00B026C7">
        <w:rPr>
          <w:rFonts w:cs="Arial"/>
          <w:szCs w:val="24"/>
          <w:vertAlign w:val="subscript"/>
          <w:lang w:val="en-US"/>
        </w:rPr>
        <w:t>0–inf</w:t>
      </w:r>
      <w:r w:rsidRPr="00B026C7">
        <w:rPr>
          <w:rFonts w:cs="Arial"/>
          <w:szCs w:val="24"/>
          <w:lang w:val="en-US"/>
        </w:rPr>
        <w:t xml:space="preserve"> was not evaluable.</w:t>
      </w:r>
    </w:p>
    <w:p w14:paraId="5080469E" w14:textId="71590CA5" w:rsidR="000069B7" w:rsidRPr="00B026C7" w:rsidRDefault="000069B7" w:rsidP="000069B7">
      <w:pPr>
        <w:spacing w:line="480" w:lineRule="auto"/>
        <w:rPr>
          <w:rFonts w:cs="Arial"/>
          <w:szCs w:val="24"/>
          <w:lang w:val="en-US"/>
        </w:rPr>
      </w:pPr>
      <w:r w:rsidRPr="00B026C7">
        <w:rPr>
          <w:rFonts w:cs="Arial"/>
          <w:szCs w:val="24"/>
          <w:vertAlign w:val="superscript"/>
          <w:lang w:val="en-US"/>
        </w:rPr>
        <w:t>b</w:t>
      </w:r>
      <w:r w:rsidRPr="00B026C7">
        <w:rPr>
          <w:rFonts w:cs="Arial"/>
          <w:szCs w:val="24"/>
          <w:lang w:val="en-US"/>
        </w:rPr>
        <w:t>One participant in the EU-tocilizumab group was excluded from all PK analyses other than C</w:t>
      </w:r>
      <w:r w:rsidRPr="00B026C7">
        <w:rPr>
          <w:rFonts w:cs="Arial"/>
          <w:szCs w:val="24"/>
          <w:vertAlign w:val="subscript"/>
          <w:lang w:val="en-US"/>
        </w:rPr>
        <w:t>max</w:t>
      </w:r>
      <w:r w:rsidRPr="00B026C7">
        <w:rPr>
          <w:rFonts w:cs="Arial"/>
          <w:szCs w:val="24"/>
          <w:lang w:val="en-US"/>
        </w:rPr>
        <w:t xml:space="preserve"> and T</w:t>
      </w:r>
      <w:r w:rsidRPr="00B026C7">
        <w:rPr>
          <w:rFonts w:cs="Arial"/>
          <w:szCs w:val="24"/>
          <w:vertAlign w:val="subscript"/>
          <w:lang w:val="en-US"/>
        </w:rPr>
        <w:t>max</w:t>
      </w:r>
      <w:r w:rsidRPr="00B026C7">
        <w:rPr>
          <w:rFonts w:cs="Arial"/>
          <w:szCs w:val="24"/>
          <w:lang w:val="en-US"/>
        </w:rPr>
        <w:t xml:space="preserve"> due to increased serum tocilizumab concentrations observed after 360 hours post-dose</w:t>
      </w:r>
      <w:r>
        <w:rPr>
          <w:rFonts w:cs="Arial"/>
          <w:szCs w:val="24"/>
          <w:lang w:val="en-US"/>
        </w:rPr>
        <w:t>. These results were not</w:t>
      </w:r>
      <w:r w:rsidRPr="00B026C7">
        <w:rPr>
          <w:rFonts w:cs="Arial"/>
          <w:szCs w:val="24"/>
          <w:lang w:val="en-US"/>
        </w:rPr>
        <w:t xml:space="preserve"> considered physiologically plausible</w:t>
      </w:r>
      <w:r>
        <w:rPr>
          <w:rFonts w:cs="Arial"/>
          <w:szCs w:val="24"/>
          <w:lang w:val="en-US"/>
        </w:rPr>
        <w:t>; no reasons for the impact on these PK parameters could be identified</w:t>
      </w:r>
      <w:r w:rsidRPr="00B026C7">
        <w:rPr>
          <w:rFonts w:cs="Arial"/>
          <w:szCs w:val="24"/>
          <w:lang w:val="en-US"/>
        </w:rPr>
        <w:t>.</w:t>
      </w:r>
    </w:p>
    <w:p w14:paraId="6421EABF" w14:textId="77777777" w:rsidR="000069B7" w:rsidRPr="00B026C7" w:rsidRDefault="000069B7" w:rsidP="000069B7">
      <w:pPr>
        <w:spacing w:line="480" w:lineRule="auto"/>
        <w:rPr>
          <w:lang w:val="en-US"/>
        </w:rPr>
      </w:pPr>
      <w:r w:rsidRPr="00B026C7">
        <w:rPr>
          <w:rFonts w:cs="Arial"/>
          <w:szCs w:val="24"/>
          <w:lang w:val="en-US"/>
        </w:rPr>
        <w:t>%AUC</w:t>
      </w:r>
      <w:r w:rsidRPr="00B026C7">
        <w:rPr>
          <w:rFonts w:cs="Arial"/>
          <w:szCs w:val="24"/>
          <w:vertAlign w:val="subscript"/>
          <w:lang w:val="en-US"/>
        </w:rPr>
        <w:t>ext</w:t>
      </w:r>
      <w:r w:rsidRPr="00B026C7">
        <w:rPr>
          <w:rFonts w:cs="Arial"/>
          <w:szCs w:val="24"/>
          <w:lang w:val="en-US"/>
        </w:rPr>
        <w:t xml:space="preserve"> = percentage of area under the concentration–time curve from time zero to infinity obtained by extrapolation.</w:t>
      </w:r>
      <w:r w:rsidRPr="00B026C7">
        <w:rPr>
          <w:rFonts w:eastAsia="Times New Roman" w:cs="Arial"/>
          <w:color w:val="202124"/>
          <w:szCs w:val="24"/>
          <w:shd w:val="clear" w:color="auto" w:fill="FFFFFF"/>
          <w:lang w:val="en-US" w:eastAsia="en-GB"/>
        </w:rPr>
        <w:t xml:space="preserve"> λ</w:t>
      </w:r>
      <w:r w:rsidRPr="00B026C7">
        <w:rPr>
          <w:rFonts w:eastAsia="Times New Roman" w:cs="Arial"/>
          <w:color w:val="202124"/>
          <w:szCs w:val="24"/>
          <w:shd w:val="clear" w:color="auto" w:fill="FFFFFF"/>
          <w:vertAlign w:val="subscript"/>
          <w:lang w:val="en-US" w:eastAsia="en-GB"/>
        </w:rPr>
        <w:t>z</w:t>
      </w:r>
      <w:r w:rsidRPr="00B026C7">
        <w:rPr>
          <w:rFonts w:eastAsia="Times New Roman" w:cs="Arial"/>
          <w:color w:val="202124"/>
          <w:szCs w:val="24"/>
          <w:shd w:val="clear" w:color="auto" w:fill="FFFFFF"/>
          <w:lang w:val="en-US" w:eastAsia="en-GB"/>
        </w:rPr>
        <w:t xml:space="preserve"> = terminal elimination rate constant. </w:t>
      </w:r>
      <w:r w:rsidRPr="00B026C7">
        <w:rPr>
          <w:lang w:val="en-US"/>
        </w:rPr>
        <w:t>ADA = anti-drug antibody. AUC</w:t>
      </w:r>
      <w:r w:rsidRPr="00B026C7">
        <w:rPr>
          <w:vertAlign w:val="subscript"/>
          <w:lang w:val="en-US"/>
        </w:rPr>
        <w:t>0–inf</w:t>
      </w:r>
      <w:r w:rsidRPr="00B026C7">
        <w:rPr>
          <w:lang w:val="en-US"/>
        </w:rPr>
        <w:t xml:space="preserve"> = area under the concentration</w:t>
      </w:r>
      <w:r w:rsidRPr="00B026C7">
        <w:rPr>
          <w:rFonts w:cs="Arial"/>
          <w:szCs w:val="24"/>
          <w:lang w:val="en-US"/>
        </w:rPr>
        <w:t>–</w:t>
      </w:r>
      <w:r w:rsidRPr="00B026C7">
        <w:rPr>
          <w:lang w:val="en-US"/>
        </w:rPr>
        <w:t>time curve from time zero to infinity. AUC</w:t>
      </w:r>
      <w:r w:rsidRPr="00B026C7">
        <w:rPr>
          <w:vertAlign w:val="subscript"/>
          <w:lang w:val="en-US"/>
        </w:rPr>
        <w:t>0–last</w:t>
      </w:r>
      <w:r w:rsidRPr="00B026C7">
        <w:rPr>
          <w:lang w:val="en-US"/>
        </w:rPr>
        <w:t xml:space="preserve"> = area under the concentration</w:t>
      </w:r>
      <w:r w:rsidRPr="00B026C7">
        <w:rPr>
          <w:rFonts w:cs="Arial"/>
          <w:szCs w:val="24"/>
          <w:lang w:val="en-US"/>
        </w:rPr>
        <w:t>–</w:t>
      </w:r>
      <w:r w:rsidRPr="00B026C7">
        <w:rPr>
          <w:lang w:val="en-US"/>
        </w:rPr>
        <w:t>time curve from time zero to the last quantifiable concentration.</w:t>
      </w:r>
      <w:r>
        <w:rPr>
          <w:lang w:val="en-US"/>
        </w:rPr>
        <w:t xml:space="preserve"> </w:t>
      </w:r>
      <w:r w:rsidRPr="00B026C7">
        <w:rPr>
          <w:rFonts w:cs="Arial"/>
          <w:szCs w:val="24"/>
          <w:lang w:val="en-US"/>
        </w:rPr>
        <w:t>CL/F = apparent total body clearance.</w:t>
      </w:r>
      <w:r w:rsidRPr="00B026C7">
        <w:rPr>
          <w:lang w:val="en-US"/>
        </w:rPr>
        <w:t xml:space="preserve"> C</w:t>
      </w:r>
      <w:r w:rsidRPr="00B026C7">
        <w:rPr>
          <w:vertAlign w:val="subscript"/>
          <w:lang w:val="en-US"/>
        </w:rPr>
        <w:t>max</w:t>
      </w:r>
      <w:r w:rsidRPr="00B026C7">
        <w:rPr>
          <w:lang w:val="en-US"/>
        </w:rPr>
        <w:t xml:space="preserve"> = maximum serum concentration. EU-tocilizumab = European Union-approved reference tocilizumab. PK = </w:t>
      </w:r>
      <w:r w:rsidRPr="00B026C7">
        <w:rPr>
          <w:lang w:val="en-US"/>
        </w:rPr>
        <w:lastRenderedPageBreak/>
        <w:t>pharmacokinetic. SD = standard deviation.</w:t>
      </w:r>
      <w:r w:rsidRPr="003B70A5">
        <w:rPr>
          <w:rFonts w:cs="Arial"/>
          <w:szCs w:val="24"/>
          <w:lang w:val="en-US"/>
        </w:rPr>
        <w:t xml:space="preserve"> </w:t>
      </w:r>
      <w:r w:rsidRPr="00B026C7">
        <w:rPr>
          <w:rFonts w:cs="Arial"/>
          <w:szCs w:val="24"/>
          <w:lang w:val="en-US"/>
        </w:rPr>
        <w:t>t</w:t>
      </w:r>
      <w:r w:rsidRPr="00B026C7">
        <w:rPr>
          <w:rFonts w:cs="Arial"/>
          <w:szCs w:val="24"/>
          <w:vertAlign w:val="subscript"/>
          <w:lang w:val="en-US"/>
        </w:rPr>
        <w:t>1/2</w:t>
      </w:r>
      <w:r w:rsidRPr="00B026C7">
        <w:rPr>
          <w:rFonts w:cs="Arial"/>
          <w:szCs w:val="24"/>
          <w:lang w:val="en-US"/>
        </w:rPr>
        <w:t xml:space="preserve"> = terminal half-life.</w:t>
      </w:r>
      <w:r w:rsidRPr="00B026C7">
        <w:rPr>
          <w:lang w:val="en-US"/>
        </w:rPr>
        <w:t xml:space="preserve"> </w:t>
      </w:r>
      <w:r w:rsidRPr="00B026C7">
        <w:rPr>
          <w:rFonts w:cs="Arial"/>
          <w:szCs w:val="24"/>
          <w:lang w:val="en-US"/>
        </w:rPr>
        <w:t>T</w:t>
      </w:r>
      <w:r w:rsidRPr="00B026C7">
        <w:rPr>
          <w:rFonts w:cs="Arial"/>
          <w:szCs w:val="24"/>
          <w:vertAlign w:val="subscript"/>
          <w:lang w:val="en-US"/>
        </w:rPr>
        <w:t>max</w:t>
      </w:r>
      <w:r w:rsidRPr="00B026C7">
        <w:rPr>
          <w:rFonts w:cs="Arial"/>
          <w:szCs w:val="24"/>
          <w:lang w:val="en-US"/>
        </w:rPr>
        <w:t xml:space="preserve"> = time to maximum serum concentration. V</w:t>
      </w:r>
      <w:r w:rsidRPr="00B026C7">
        <w:rPr>
          <w:rFonts w:cs="Arial"/>
          <w:szCs w:val="24"/>
          <w:vertAlign w:val="subscript"/>
          <w:lang w:val="en-US"/>
        </w:rPr>
        <w:t>z</w:t>
      </w:r>
      <w:r w:rsidRPr="00B026C7">
        <w:rPr>
          <w:rFonts w:cs="Arial"/>
          <w:szCs w:val="24"/>
          <w:lang w:val="en-US"/>
        </w:rPr>
        <w:t>/F = apparent volume of distribution during the terminal phase</w:t>
      </w:r>
      <w:r w:rsidRPr="00B026C7">
        <w:rPr>
          <w:lang w:val="en-US"/>
        </w:rPr>
        <w:t>.</w:t>
      </w:r>
    </w:p>
    <w:p w14:paraId="043788F1" w14:textId="77777777" w:rsidR="000069B7" w:rsidRPr="00B026C7" w:rsidRDefault="000069B7" w:rsidP="000069B7">
      <w:pPr>
        <w:rPr>
          <w:lang w:val="en-US"/>
        </w:rPr>
        <w:sectPr w:rsidR="000069B7" w:rsidRPr="00B026C7" w:rsidSect="00211FB4">
          <w:pgSz w:w="16840" w:h="11910" w:orient="landscape"/>
          <w:pgMar w:top="1440" w:right="1440" w:bottom="1440" w:left="1440" w:header="708" w:footer="708" w:gutter="0"/>
          <w:cols w:space="708"/>
          <w:docGrid w:linePitch="360"/>
        </w:sectPr>
      </w:pPr>
    </w:p>
    <w:p w14:paraId="618D3A13" w14:textId="00471B48" w:rsidR="000069B7" w:rsidRPr="00B026C7" w:rsidRDefault="000069B7" w:rsidP="000069B7">
      <w:pPr>
        <w:pStyle w:val="Heading2"/>
      </w:pPr>
      <w:bookmarkStart w:id="16" w:name="_Toc130216896"/>
      <w:r w:rsidRPr="00B026C7">
        <w:lastRenderedPageBreak/>
        <w:t xml:space="preserve">Supplementary Table </w:t>
      </w:r>
      <w:r>
        <w:t>6</w:t>
      </w:r>
      <w:r w:rsidRPr="00B026C7">
        <w:t xml:space="preserve">. </w:t>
      </w:r>
      <w:r w:rsidRPr="00B026C7">
        <w:rPr>
          <w:b w:val="0"/>
          <w:bCs w:val="0"/>
        </w:rPr>
        <w:t>TEAEs by system organ class (safety set</w:t>
      </w:r>
      <w:r>
        <w:rPr>
          <w:b w:val="0"/>
          <w:bCs w:val="0"/>
        </w:rPr>
        <w:t>; Part 2</w:t>
      </w:r>
      <w:r w:rsidRPr="00B026C7">
        <w:rPr>
          <w:b w:val="0"/>
          <w:bCs w:val="0"/>
        </w:rPr>
        <w:t>).</w:t>
      </w:r>
      <w:bookmarkEnd w:id="16"/>
    </w:p>
    <w:tbl>
      <w:tblPr>
        <w:tblW w:w="9072" w:type="dxa"/>
        <w:tblBorders>
          <w:insideH w:val="single" w:sz="4" w:space="0" w:color="auto"/>
        </w:tblBorders>
        <w:tblLayout w:type="fixed"/>
        <w:tblLook w:val="04A0" w:firstRow="1" w:lastRow="0" w:firstColumn="1" w:lastColumn="0" w:noHBand="0" w:noVBand="1"/>
      </w:tblPr>
      <w:tblGrid>
        <w:gridCol w:w="4554"/>
        <w:gridCol w:w="2259"/>
        <w:gridCol w:w="2259"/>
      </w:tblGrid>
      <w:tr w:rsidR="000069B7" w:rsidRPr="00B026C7" w14:paraId="65C70578" w14:textId="77777777" w:rsidTr="004A495F">
        <w:trPr>
          <w:trHeight w:val="567"/>
        </w:trPr>
        <w:tc>
          <w:tcPr>
            <w:tcW w:w="4554" w:type="dxa"/>
            <w:tcBorders>
              <w:top w:val="single" w:sz="4" w:space="0" w:color="auto"/>
              <w:bottom w:val="single" w:sz="4" w:space="0" w:color="auto"/>
            </w:tcBorders>
            <w:shd w:val="clear" w:color="auto" w:fill="auto"/>
            <w:noWrap/>
            <w:hideMark/>
          </w:tcPr>
          <w:p w14:paraId="01F9D169" w14:textId="77777777" w:rsidR="000069B7" w:rsidRPr="00B026C7" w:rsidRDefault="000069B7" w:rsidP="004A495F">
            <w:pPr>
              <w:spacing w:before="0" w:after="0" w:line="480" w:lineRule="auto"/>
              <w:rPr>
                <w:rFonts w:ascii="Times New Roman" w:eastAsia="Times New Roman" w:hAnsi="Times New Roman" w:cs="Times New Roman"/>
                <w:szCs w:val="24"/>
                <w:lang w:val="en-US" w:eastAsia="en-GB"/>
              </w:rPr>
            </w:pPr>
            <w:r w:rsidRPr="00B026C7">
              <w:rPr>
                <w:rFonts w:eastAsia="Times New Roman" w:cs="Arial"/>
                <w:b/>
                <w:bCs/>
                <w:color w:val="000000"/>
                <w:szCs w:val="24"/>
                <w:lang w:val="en-US" w:eastAsia="en-GB"/>
              </w:rPr>
              <w:t>Participants, n (%)</w:t>
            </w:r>
          </w:p>
        </w:tc>
        <w:tc>
          <w:tcPr>
            <w:tcW w:w="2259" w:type="dxa"/>
            <w:tcBorders>
              <w:top w:val="single" w:sz="4" w:space="0" w:color="auto"/>
              <w:bottom w:val="single" w:sz="4" w:space="0" w:color="auto"/>
            </w:tcBorders>
            <w:shd w:val="clear" w:color="auto" w:fill="auto"/>
          </w:tcPr>
          <w:p w14:paraId="67E348D6" w14:textId="77777777" w:rsidR="000069B7" w:rsidRPr="00B026C7" w:rsidRDefault="000069B7" w:rsidP="004A495F">
            <w:pPr>
              <w:spacing w:before="0" w:after="0" w:line="480" w:lineRule="auto"/>
              <w:jc w:val="center"/>
              <w:rPr>
                <w:rFonts w:eastAsia="Times New Roman" w:cs="Arial"/>
                <w:b/>
                <w:bCs/>
                <w:color w:val="000000"/>
                <w:szCs w:val="24"/>
                <w:lang w:val="en-US" w:eastAsia="en-GB"/>
              </w:rPr>
            </w:pPr>
            <w:r w:rsidRPr="00B026C7">
              <w:rPr>
                <w:rFonts w:eastAsia="Times New Roman" w:cs="Arial"/>
                <w:b/>
                <w:bCs/>
                <w:color w:val="000000"/>
                <w:szCs w:val="24"/>
                <w:lang w:val="en-US" w:eastAsia="en-GB"/>
              </w:rPr>
              <w:t xml:space="preserve">CT-P47 </w:t>
            </w:r>
          </w:p>
          <w:p w14:paraId="156E3395" w14:textId="77777777" w:rsidR="000069B7" w:rsidRPr="00B026C7" w:rsidRDefault="000069B7" w:rsidP="004A495F">
            <w:pPr>
              <w:spacing w:before="0" w:after="0" w:line="480" w:lineRule="auto"/>
              <w:jc w:val="center"/>
              <w:rPr>
                <w:rFonts w:eastAsia="Times New Roman" w:cs="Arial"/>
                <w:b/>
                <w:bCs/>
                <w:color w:val="000000"/>
                <w:szCs w:val="24"/>
                <w:lang w:val="en-US" w:eastAsia="en-GB"/>
              </w:rPr>
            </w:pPr>
            <w:r w:rsidRPr="00B026C7">
              <w:rPr>
                <w:rFonts w:eastAsia="Times New Roman" w:cs="Arial"/>
                <w:b/>
                <w:bCs/>
                <w:color w:val="000000"/>
                <w:szCs w:val="24"/>
                <w:lang w:val="en-US" w:eastAsia="en-GB"/>
              </w:rPr>
              <w:t>(N=144)</w:t>
            </w:r>
          </w:p>
        </w:tc>
        <w:tc>
          <w:tcPr>
            <w:tcW w:w="2259" w:type="dxa"/>
            <w:tcBorders>
              <w:top w:val="single" w:sz="4" w:space="0" w:color="auto"/>
              <w:bottom w:val="single" w:sz="4" w:space="0" w:color="auto"/>
            </w:tcBorders>
            <w:shd w:val="clear" w:color="auto" w:fill="auto"/>
          </w:tcPr>
          <w:p w14:paraId="3FBD8C95" w14:textId="77777777" w:rsidR="000069B7" w:rsidRPr="00B026C7" w:rsidRDefault="000069B7" w:rsidP="004A495F">
            <w:pPr>
              <w:spacing w:before="0" w:after="0" w:line="480" w:lineRule="auto"/>
              <w:jc w:val="center"/>
              <w:rPr>
                <w:rFonts w:eastAsia="Times New Roman" w:cs="Arial"/>
                <w:b/>
                <w:bCs/>
                <w:color w:val="000000"/>
                <w:szCs w:val="24"/>
                <w:lang w:val="en-US" w:eastAsia="en-GB"/>
              </w:rPr>
            </w:pPr>
            <w:r w:rsidRPr="00B026C7">
              <w:rPr>
                <w:rFonts w:eastAsia="Times New Roman" w:cs="Arial"/>
                <w:b/>
                <w:bCs/>
                <w:color w:val="000000"/>
                <w:szCs w:val="24"/>
                <w:lang w:val="en-US" w:eastAsia="en-GB"/>
              </w:rPr>
              <w:t>EU-tocilizumab (N=140)</w:t>
            </w:r>
          </w:p>
        </w:tc>
      </w:tr>
      <w:tr w:rsidR="000069B7" w:rsidRPr="00B026C7" w14:paraId="3A23C007" w14:textId="77777777" w:rsidTr="004A495F">
        <w:trPr>
          <w:trHeight w:val="567"/>
        </w:trPr>
        <w:tc>
          <w:tcPr>
            <w:tcW w:w="4554" w:type="dxa"/>
            <w:shd w:val="clear" w:color="auto" w:fill="auto"/>
            <w:noWrap/>
            <w:hideMark/>
          </w:tcPr>
          <w:p w14:paraId="1F29C887"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Investigations</w:t>
            </w:r>
          </w:p>
        </w:tc>
        <w:tc>
          <w:tcPr>
            <w:tcW w:w="2259" w:type="dxa"/>
            <w:shd w:val="clear" w:color="auto" w:fill="auto"/>
            <w:noWrap/>
            <w:hideMark/>
          </w:tcPr>
          <w:p w14:paraId="20FEA728"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17 (11.8)</w:t>
            </w:r>
          </w:p>
        </w:tc>
        <w:tc>
          <w:tcPr>
            <w:tcW w:w="2259" w:type="dxa"/>
            <w:shd w:val="clear" w:color="auto" w:fill="auto"/>
            <w:noWrap/>
            <w:hideMark/>
          </w:tcPr>
          <w:p w14:paraId="645F6147"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23 (16.4)</w:t>
            </w:r>
          </w:p>
        </w:tc>
      </w:tr>
      <w:tr w:rsidR="000069B7" w:rsidRPr="00B026C7" w14:paraId="2A136D86" w14:textId="77777777" w:rsidTr="004A495F">
        <w:trPr>
          <w:trHeight w:val="567"/>
        </w:trPr>
        <w:tc>
          <w:tcPr>
            <w:tcW w:w="4554" w:type="dxa"/>
            <w:shd w:val="clear" w:color="auto" w:fill="auto"/>
            <w:noWrap/>
            <w:hideMark/>
          </w:tcPr>
          <w:p w14:paraId="088AA137"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Infections and infestations</w:t>
            </w:r>
          </w:p>
        </w:tc>
        <w:tc>
          <w:tcPr>
            <w:tcW w:w="2259" w:type="dxa"/>
            <w:shd w:val="clear" w:color="auto" w:fill="auto"/>
            <w:noWrap/>
            <w:hideMark/>
          </w:tcPr>
          <w:p w14:paraId="49577832"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10 (6.9)</w:t>
            </w:r>
          </w:p>
        </w:tc>
        <w:tc>
          <w:tcPr>
            <w:tcW w:w="2259" w:type="dxa"/>
            <w:shd w:val="clear" w:color="auto" w:fill="auto"/>
            <w:noWrap/>
            <w:hideMark/>
          </w:tcPr>
          <w:p w14:paraId="3BAAFF5D"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25 (17.9)</w:t>
            </w:r>
          </w:p>
        </w:tc>
      </w:tr>
      <w:tr w:rsidR="000069B7" w:rsidRPr="00B026C7" w14:paraId="7E6E75BF" w14:textId="77777777" w:rsidTr="004A495F">
        <w:trPr>
          <w:trHeight w:val="567"/>
        </w:trPr>
        <w:tc>
          <w:tcPr>
            <w:tcW w:w="4554" w:type="dxa"/>
            <w:shd w:val="clear" w:color="auto" w:fill="auto"/>
            <w:noWrap/>
            <w:hideMark/>
          </w:tcPr>
          <w:p w14:paraId="465D863F"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General disorders and administration site conditions</w:t>
            </w:r>
          </w:p>
        </w:tc>
        <w:tc>
          <w:tcPr>
            <w:tcW w:w="2259" w:type="dxa"/>
            <w:shd w:val="clear" w:color="auto" w:fill="auto"/>
            <w:noWrap/>
            <w:hideMark/>
          </w:tcPr>
          <w:p w14:paraId="0CF3ED31"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16 (11.1)</w:t>
            </w:r>
          </w:p>
        </w:tc>
        <w:tc>
          <w:tcPr>
            <w:tcW w:w="2259" w:type="dxa"/>
            <w:shd w:val="clear" w:color="auto" w:fill="auto"/>
            <w:noWrap/>
            <w:hideMark/>
          </w:tcPr>
          <w:p w14:paraId="04DF1D2A"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10 (7.1)</w:t>
            </w:r>
          </w:p>
        </w:tc>
      </w:tr>
      <w:tr w:rsidR="000069B7" w:rsidRPr="00B026C7" w14:paraId="6C738E46" w14:textId="77777777" w:rsidTr="004A495F">
        <w:trPr>
          <w:trHeight w:val="567"/>
        </w:trPr>
        <w:tc>
          <w:tcPr>
            <w:tcW w:w="4554" w:type="dxa"/>
            <w:shd w:val="clear" w:color="auto" w:fill="auto"/>
            <w:noWrap/>
            <w:hideMark/>
          </w:tcPr>
          <w:p w14:paraId="6EA82801"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Nervous system disorders</w:t>
            </w:r>
          </w:p>
        </w:tc>
        <w:tc>
          <w:tcPr>
            <w:tcW w:w="2259" w:type="dxa"/>
            <w:shd w:val="clear" w:color="auto" w:fill="auto"/>
            <w:noWrap/>
            <w:hideMark/>
          </w:tcPr>
          <w:p w14:paraId="4413A5E0"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9 (6.3)</w:t>
            </w:r>
          </w:p>
        </w:tc>
        <w:tc>
          <w:tcPr>
            <w:tcW w:w="2259" w:type="dxa"/>
            <w:shd w:val="clear" w:color="auto" w:fill="auto"/>
            <w:noWrap/>
            <w:hideMark/>
          </w:tcPr>
          <w:p w14:paraId="40CF516D"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13 (9.3)</w:t>
            </w:r>
          </w:p>
        </w:tc>
      </w:tr>
      <w:tr w:rsidR="000069B7" w:rsidRPr="00B026C7" w14:paraId="7E2F7F48" w14:textId="77777777" w:rsidTr="004A495F">
        <w:trPr>
          <w:trHeight w:val="567"/>
        </w:trPr>
        <w:tc>
          <w:tcPr>
            <w:tcW w:w="4554" w:type="dxa"/>
            <w:shd w:val="clear" w:color="auto" w:fill="auto"/>
            <w:noWrap/>
            <w:hideMark/>
          </w:tcPr>
          <w:p w14:paraId="2825FECE"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Gastrointestinal disorders</w:t>
            </w:r>
          </w:p>
        </w:tc>
        <w:tc>
          <w:tcPr>
            <w:tcW w:w="2259" w:type="dxa"/>
            <w:shd w:val="clear" w:color="auto" w:fill="auto"/>
            <w:noWrap/>
            <w:hideMark/>
          </w:tcPr>
          <w:p w14:paraId="54ACE38D"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5 (3.5)</w:t>
            </w:r>
          </w:p>
        </w:tc>
        <w:tc>
          <w:tcPr>
            <w:tcW w:w="2259" w:type="dxa"/>
            <w:shd w:val="clear" w:color="auto" w:fill="auto"/>
            <w:noWrap/>
            <w:hideMark/>
          </w:tcPr>
          <w:p w14:paraId="07A27357"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14 (10.0)</w:t>
            </w:r>
          </w:p>
        </w:tc>
      </w:tr>
      <w:tr w:rsidR="000069B7" w:rsidRPr="00B026C7" w14:paraId="7CBD72E0" w14:textId="77777777" w:rsidTr="004A495F">
        <w:trPr>
          <w:trHeight w:val="567"/>
        </w:trPr>
        <w:tc>
          <w:tcPr>
            <w:tcW w:w="4554" w:type="dxa"/>
            <w:shd w:val="clear" w:color="auto" w:fill="auto"/>
            <w:noWrap/>
            <w:hideMark/>
          </w:tcPr>
          <w:p w14:paraId="7F32F393"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Musculoskeletal and connective tissue disorders</w:t>
            </w:r>
          </w:p>
        </w:tc>
        <w:tc>
          <w:tcPr>
            <w:tcW w:w="2259" w:type="dxa"/>
            <w:shd w:val="clear" w:color="auto" w:fill="auto"/>
            <w:noWrap/>
            <w:hideMark/>
          </w:tcPr>
          <w:p w14:paraId="60B74982"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3 (2.1)</w:t>
            </w:r>
          </w:p>
        </w:tc>
        <w:tc>
          <w:tcPr>
            <w:tcW w:w="2259" w:type="dxa"/>
            <w:shd w:val="clear" w:color="auto" w:fill="auto"/>
            <w:noWrap/>
            <w:hideMark/>
          </w:tcPr>
          <w:p w14:paraId="728BEAD9"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10 (7.1)</w:t>
            </w:r>
          </w:p>
        </w:tc>
      </w:tr>
      <w:tr w:rsidR="000069B7" w:rsidRPr="00B026C7" w14:paraId="73E0E814" w14:textId="77777777" w:rsidTr="004A495F">
        <w:trPr>
          <w:trHeight w:val="567"/>
        </w:trPr>
        <w:tc>
          <w:tcPr>
            <w:tcW w:w="4554" w:type="dxa"/>
            <w:shd w:val="clear" w:color="auto" w:fill="auto"/>
            <w:noWrap/>
            <w:hideMark/>
          </w:tcPr>
          <w:p w14:paraId="0AECF8E2"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Respiratory, thoracic, and mediastinal disorders</w:t>
            </w:r>
          </w:p>
        </w:tc>
        <w:tc>
          <w:tcPr>
            <w:tcW w:w="2259" w:type="dxa"/>
            <w:shd w:val="clear" w:color="auto" w:fill="auto"/>
            <w:noWrap/>
            <w:hideMark/>
          </w:tcPr>
          <w:p w14:paraId="4014B32B"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7 (4.9)</w:t>
            </w:r>
          </w:p>
        </w:tc>
        <w:tc>
          <w:tcPr>
            <w:tcW w:w="2259" w:type="dxa"/>
            <w:shd w:val="clear" w:color="auto" w:fill="auto"/>
            <w:noWrap/>
            <w:hideMark/>
          </w:tcPr>
          <w:p w14:paraId="752A53E1"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4 (2.9)</w:t>
            </w:r>
          </w:p>
        </w:tc>
      </w:tr>
      <w:tr w:rsidR="000069B7" w:rsidRPr="00B026C7" w14:paraId="3D76A590" w14:textId="77777777" w:rsidTr="004A495F">
        <w:trPr>
          <w:trHeight w:val="567"/>
        </w:trPr>
        <w:tc>
          <w:tcPr>
            <w:tcW w:w="4554" w:type="dxa"/>
            <w:shd w:val="clear" w:color="auto" w:fill="auto"/>
            <w:noWrap/>
            <w:hideMark/>
          </w:tcPr>
          <w:p w14:paraId="16344586"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Injury, poisoning, and procedural complications</w:t>
            </w:r>
          </w:p>
        </w:tc>
        <w:tc>
          <w:tcPr>
            <w:tcW w:w="2259" w:type="dxa"/>
            <w:shd w:val="clear" w:color="auto" w:fill="auto"/>
            <w:noWrap/>
            <w:hideMark/>
          </w:tcPr>
          <w:p w14:paraId="6E5BDBB3"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4 (2.8)</w:t>
            </w:r>
          </w:p>
        </w:tc>
        <w:tc>
          <w:tcPr>
            <w:tcW w:w="2259" w:type="dxa"/>
            <w:shd w:val="clear" w:color="auto" w:fill="auto"/>
            <w:noWrap/>
            <w:hideMark/>
          </w:tcPr>
          <w:p w14:paraId="550860CE"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6 (4.3)</w:t>
            </w:r>
          </w:p>
        </w:tc>
      </w:tr>
      <w:tr w:rsidR="000069B7" w:rsidRPr="00B026C7" w14:paraId="1DC54268" w14:textId="77777777" w:rsidTr="004A495F">
        <w:trPr>
          <w:trHeight w:val="567"/>
        </w:trPr>
        <w:tc>
          <w:tcPr>
            <w:tcW w:w="4554" w:type="dxa"/>
            <w:shd w:val="clear" w:color="auto" w:fill="auto"/>
            <w:noWrap/>
            <w:hideMark/>
          </w:tcPr>
          <w:p w14:paraId="0BBA6047"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Immune system disorders</w:t>
            </w:r>
          </w:p>
        </w:tc>
        <w:tc>
          <w:tcPr>
            <w:tcW w:w="2259" w:type="dxa"/>
            <w:shd w:val="clear" w:color="auto" w:fill="auto"/>
            <w:noWrap/>
            <w:hideMark/>
          </w:tcPr>
          <w:p w14:paraId="080C4AE7"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4 (2.8)</w:t>
            </w:r>
          </w:p>
        </w:tc>
        <w:tc>
          <w:tcPr>
            <w:tcW w:w="2259" w:type="dxa"/>
            <w:shd w:val="clear" w:color="auto" w:fill="auto"/>
            <w:noWrap/>
            <w:hideMark/>
          </w:tcPr>
          <w:p w14:paraId="5AA241DB"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 (1.4)</w:t>
            </w:r>
          </w:p>
        </w:tc>
      </w:tr>
      <w:tr w:rsidR="000069B7" w:rsidRPr="00B026C7" w14:paraId="0C022675" w14:textId="77777777" w:rsidTr="004A495F">
        <w:trPr>
          <w:trHeight w:val="567"/>
        </w:trPr>
        <w:tc>
          <w:tcPr>
            <w:tcW w:w="4554" w:type="dxa"/>
            <w:shd w:val="clear" w:color="auto" w:fill="auto"/>
            <w:noWrap/>
            <w:hideMark/>
          </w:tcPr>
          <w:p w14:paraId="33914D13"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Skin and subcutaneous tissue disorders</w:t>
            </w:r>
          </w:p>
        </w:tc>
        <w:tc>
          <w:tcPr>
            <w:tcW w:w="2259" w:type="dxa"/>
            <w:shd w:val="clear" w:color="auto" w:fill="auto"/>
            <w:noWrap/>
            <w:hideMark/>
          </w:tcPr>
          <w:p w14:paraId="68469BB4"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4 (2.8)</w:t>
            </w:r>
          </w:p>
        </w:tc>
        <w:tc>
          <w:tcPr>
            <w:tcW w:w="2259" w:type="dxa"/>
            <w:shd w:val="clear" w:color="auto" w:fill="auto"/>
            <w:noWrap/>
            <w:hideMark/>
          </w:tcPr>
          <w:p w14:paraId="77D0455E"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 (1.4)</w:t>
            </w:r>
          </w:p>
        </w:tc>
      </w:tr>
      <w:tr w:rsidR="000069B7" w:rsidRPr="00B026C7" w14:paraId="07EDDCF4" w14:textId="77777777" w:rsidTr="004A495F">
        <w:trPr>
          <w:trHeight w:val="567"/>
        </w:trPr>
        <w:tc>
          <w:tcPr>
            <w:tcW w:w="4554" w:type="dxa"/>
            <w:shd w:val="clear" w:color="auto" w:fill="auto"/>
            <w:noWrap/>
            <w:hideMark/>
          </w:tcPr>
          <w:p w14:paraId="4989FAFE"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Blood and lymphatic system disorders</w:t>
            </w:r>
          </w:p>
        </w:tc>
        <w:tc>
          <w:tcPr>
            <w:tcW w:w="2259" w:type="dxa"/>
            <w:shd w:val="clear" w:color="auto" w:fill="auto"/>
            <w:noWrap/>
            <w:hideMark/>
          </w:tcPr>
          <w:p w14:paraId="4D6ECDB8"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c>
          <w:tcPr>
            <w:tcW w:w="2259" w:type="dxa"/>
            <w:shd w:val="clear" w:color="auto" w:fill="auto"/>
            <w:noWrap/>
            <w:hideMark/>
          </w:tcPr>
          <w:p w14:paraId="2ED6F7D1"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r w:rsidR="000069B7" w:rsidRPr="00B026C7" w14:paraId="07985B61" w14:textId="77777777" w:rsidTr="004A495F">
        <w:trPr>
          <w:trHeight w:val="567"/>
        </w:trPr>
        <w:tc>
          <w:tcPr>
            <w:tcW w:w="4554" w:type="dxa"/>
            <w:shd w:val="clear" w:color="auto" w:fill="auto"/>
            <w:noWrap/>
            <w:hideMark/>
          </w:tcPr>
          <w:p w14:paraId="4B422FD1"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Renal and urinary disorders</w:t>
            </w:r>
          </w:p>
        </w:tc>
        <w:tc>
          <w:tcPr>
            <w:tcW w:w="2259" w:type="dxa"/>
            <w:shd w:val="clear" w:color="auto" w:fill="auto"/>
            <w:noWrap/>
            <w:hideMark/>
          </w:tcPr>
          <w:p w14:paraId="45314116"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c>
          <w:tcPr>
            <w:tcW w:w="2259" w:type="dxa"/>
            <w:shd w:val="clear" w:color="auto" w:fill="auto"/>
            <w:noWrap/>
            <w:hideMark/>
          </w:tcPr>
          <w:p w14:paraId="0D9AD2DF"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r w:rsidR="000069B7" w:rsidRPr="00B026C7" w14:paraId="23FE6DEB" w14:textId="77777777" w:rsidTr="004A495F">
        <w:trPr>
          <w:trHeight w:val="567"/>
        </w:trPr>
        <w:tc>
          <w:tcPr>
            <w:tcW w:w="4554" w:type="dxa"/>
            <w:tcBorders>
              <w:bottom w:val="single" w:sz="4" w:space="0" w:color="auto"/>
            </w:tcBorders>
            <w:shd w:val="clear" w:color="auto" w:fill="auto"/>
            <w:noWrap/>
            <w:hideMark/>
          </w:tcPr>
          <w:p w14:paraId="7AF64BB6"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Ear and labyrinth disorders</w:t>
            </w:r>
          </w:p>
        </w:tc>
        <w:tc>
          <w:tcPr>
            <w:tcW w:w="2259" w:type="dxa"/>
            <w:tcBorders>
              <w:bottom w:val="single" w:sz="4" w:space="0" w:color="auto"/>
            </w:tcBorders>
            <w:shd w:val="clear" w:color="auto" w:fill="auto"/>
            <w:noWrap/>
            <w:hideMark/>
          </w:tcPr>
          <w:p w14:paraId="55C37D27"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259" w:type="dxa"/>
            <w:tcBorders>
              <w:bottom w:val="single" w:sz="4" w:space="0" w:color="auto"/>
            </w:tcBorders>
            <w:shd w:val="clear" w:color="auto" w:fill="auto"/>
            <w:noWrap/>
            <w:hideMark/>
          </w:tcPr>
          <w:p w14:paraId="47A51AB5"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r w:rsidR="000069B7" w:rsidRPr="00B026C7" w14:paraId="2CCE623B" w14:textId="77777777" w:rsidTr="004A495F">
        <w:trPr>
          <w:trHeight w:val="567"/>
        </w:trPr>
        <w:tc>
          <w:tcPr>
            <w:tcW w:w="4554" w:type="dxa"/>
            <w:tcBorders>
              <w:top w:val="single" w:sz="4" w:space="0" w:color="auto"/>
              <w:bottom w:val="single" w:sz="4" w:space="0" w:color="auto"/>
            </w:tcBorders>
            <w:shd w:val="clear" w:color="auto" w:fill="auto"/>
            <w:noWrap/>
            <w:hideMark/>
          </w:tcPr>
          <w:p w14:paraId="72CB93E1"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Reproductive system and breast disorders</w:t>
            </w:r>
          </w:p>
        </w:tc>
        <w:tc>
          <w:tcPr>
            <w:tcW w:w="2259" w:type="dxa"/>
            <w:tcBorders>
              <w:top w:val="single" w:sz="4" w:space="0" w:color="auto"/>
              <w:bottom w:val="single" w:sz="4" w:space="0" w:color="auto"/>
            </w:tcBorders>
            <w:shd w:val="clear" w:color="auto" w:fill="auto"/>
            <w:noWrap/>
            <w:hideMark/>
          </w:tcPr>
          <w:p w14:paraId="06F511D5"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259" w:type="dxa"/>
            <w:tcBorders>
              <w:top w:val="single" w:sz="4" w:space="0" w:color="auto"/>
              <w:bottom w:val="single" w:sz="4" w:space="0" w:color="auto"/>
            </w:tcBorders>
            <w:shd w:val="clear" w:color="auto" w:fill="auto"/>
            <w:noWrap/>
            <w:hideMark/>
          </w:tcPr>
          <w:p w14:paraId="02B9CBDC"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bl>
    <w:p w14:paraId="049B4AD4" w14:textId="77777777" w:rsidR="000069B7" w:rsidRPr="00B026C7" w:rsidRDefault="000069B7" w:rsidP="000069B7">
      <w:pPr>
        <w:spacing w:line="480" w:lineRule="auto"/>
        <w:rPr>
          <w:lang w:val="en-US"/>
        </w:rPr>
      </w:pPr>
      <w:r w:rsidRPr="00B026C7">
        <w:rPr>
          <w:lang w:val="en-US"/>
        </w:rPr>
        <w:t xml:space="preserve">EU-tocilizumab = European Union-approved reference tocilizumab. TEAE = treatment-emergent adverse event. </w:t>
      </w:r>
    </w:p>
    <w:p w14:paraId="549265E1" w14:textId="15FBD173" w:rsidR="000069B7" w:rsidRPr="00B026C7" w:rsidRDefault="000069B7" w:rsidP="000069B7">
      <w:pPr>
        <w:pStyle w:val="Heading2"/>
        <w:spacing w:line="480" w:lineRule="auto"/>
      </w:pPr>
      <w:bookmarkStart w:id="17" w:name="_Toc130216897"/>
      <w:r w:rsidRPr="00B026C7">
        <w:lastRenderedPageBreak/>
        <w:t xml:space="preserve">Supplementary Table </w:t>
      </w:r>
      <w:r>
        <w:t>7</w:t>
      </w:r>
      <w:r w:rsidRPr="00B026C7">
        <w:t xml:space="preserve">. </w:t>
      </w:r>
      <w:r w:rsidRPr="00B026C7">
        <w:rPr>
          <w:b w:val="0"/>
          <w:bCs w:val="0"/>
        </w:rPr>
        <w:t>TEAEs reported by ≥2% participants in either treatment group (safety set</w:t>
      </w:r>
      <w:r>
        <w:rPr>
          <w:b w:val="0"/>
          <w:bCs w:val="0"/>
        </w:rPr>
        <w:t>; Part 2</w:t>
      </w:r>
      <w:r w:rsidRPr="00B026C7">
        <w:rPr>
          <w:b w:val="0"/>
          <w:bCs w:val="0"/>
        </w:rPr>
        <w:t>).</w:t>
      </w:r>
      <w:bookmarkEnd w:id="17"/>
    </w:p>
    <w:tbl>
      <w:tblPr>
        <w:tblW w:w="9072" w:type="dxa"/>
        <w:tblBorders>
          <w:insideH w:val="single" w:sz="4" w:space="0" w:color="auto"/>
        </w:tblBorders>
        <w:tblLayout w:type="fixed"/>
        <w:tblLook w:val="04A0" w:firstRow="1" w:lastRow="0" w:firstColumn="1" w:lastColumn="0" w:noHBand="0" w:noVBand="1"/>
      </w:tblPr>
      <w:tblGrid>
        <w:gridCol w:w="4536"/>
        <w:gridCol w:w="2268"/>
        <w:gridCol w:w="2268"/>
      </w:tblGrid>
      <w:tr w:rsidR="000069B7" w:rsidRPr="00B026C7" w14:paraId="1FA9FD6F" w14:textId="77777777" w:rsidTr="004A495F">
        <w:trPr>
          <w:trHeight w:val="567"/>
        </w:trPr>
        <w:tc>
          <w:tcPr>
            <w:tcW w:w="4536" w:type="dxa"/>
            <w:tcBorders>
              <w:top w:val="single" w:sz="4" w:space="0" w:color="auto"/>
              <w:bottom w:val="single" w:sz="4" w:space="0" w:color="auto"/>
            </w:tcBorders>
            <w:shd w:val="clear" w:color="auto" w:fill="auto"/>
            <w:noWrap/>
            <w:hideMark/>
          </w:tcPr>
          <w:p w14:paraId="0F5B51CB" w14:textId="77777777" w:rsidR="000069B7" w:rsidRPr="00B026C7" w:rsidRDefault="000069B7" w:rsidP="004A495F">
            <w:pPr>
              <w:spacing w:before="0" w:after="0" w:line="480" w:lineRule="auto"/>
              <w:rPr>
                <w:rFonts w:eastAsia="Times New Roman" w:cs="Arial"/>
                <w:b/>
                <w:bCs/>
                <w:color w:val="000000"/>
                <w:szCs w:val="24"/>
                <w:lang w:val="en-US" w:eastAsia="en-GB"/>
              </w:rPr>
            </w:pPr>
            <w:r w:rsidRPr="00B026C7">
              <w:rPr>
                <w:rFonts w:eastAsia="Times New Roman" w:cs="Arial"/>
                <w:b/>
                <w:bCs/>
                <w:color w:val="000000"/>
                <w:szCs w:val="24"/>
                <w:lang w:val="en-US" w:eastAsia="en-GB"/>
              </w:rPr>
              <w:t>Participants, n (%)</w:t>
            </w:r>
          </w:p>
        </w:tc>
        <w:tc>
          <w:tcPr>
            <w:tcW w:w="2268" w:type="dxa"/>
            <w:tcBorders>
              <w:top w:val="single" w:sz="4" w:space="0" w:color="auto"/>
              <w:bottom w:val="single" w:sz="4" w:space="0" w:color="auto"/>
            </w:tcBorders>
            <w:shd w:val="clear" w:color="auto" w:fill="auto"/>
            <w:noWrap/>
            <w:hideMark/>
          </w:tcPr>
          <w:p w14:paraId="3D5D7F2F" w14:textId="77777777" w:rsidR="000069B7" w:rsidRPr="00B026C7" w:rsidRDefault="000069B7" w:rsidP="004A495F">
            <w:pPr>
              <w:spacing w:before="0" w:after="0" w:line="480" w:lineRule="auto"/>
              <w:jc w:val="center"/>
              <w:rPr>
                <w:rFonts w:eastAsia="Times New Roman" w:cs="Arial"/>
                <w:b/>
                <w:bCs/>
                <w:color w:val="000000"/>
                <w:szCs w:val="24"/>
                <w:lang w:val="en-US" w:eastAsia="en-GB"/>
              </w:rPr>
            </w:pPr>
            <w:r w:rsidRPr="00B026C7">
              <w:rPr>
                <w:rFonts w:eastAsia="Times New Roman" w:cs="Arial"/>
                <w:b/>
                <w:bCs/>
                <w:color w:val="000000"/>
                <w:szCs w:val="24"/>
                <w:lang w:val="en-US" w:eastAsia="en-GB"/>
              </w:rPr>
              <w:t xml:space="preserve">CT-P47 </w:t>
            </w:r>
          </w:p>
          <w:p w14:paraId="46E50EE2" w14:textId="77777777" w:rsidR="000069B7" w:rsidRPr="00B026C7" w:rsidRDefault="000069B7" w:rsidP="004A495F">
            <w:pPr>
              <w:spacing w:before="0" w:after="0" w:line="480" w:lineRule="auto"/>
              <w:jc w:val="center"/>
              <w:rPr>
                <w:rFonts w:eastAsia="Times New Roman" w:cs="Arial"/>
                <w:b/>
                <w:bCs/>
                <w:color w:val="000000"/>
                <w:szCs w:val="24"/>
                <w:lang w:val="en-US" w:eastAsia="en-GB"/>
              </w:rPr>
            </w:pPr>
            <w:r w:rsidRPr="00B026C7">
              <w:rPr>
                <w:rFonts w:eastAsia="Times New Roman" w:cs="Arial"/>
                <w:b/>
                <w:bCs/>
                <w:color w:val="000000"/>
                <w:szCs w:val="24"/>
                <w:lang w:val="en-US" w:eastAsia="en-GB"/>
              </w:rPr>
              <w:t>(N=144)</w:t>
            </w:r>
          </w:p>
        </w:tc>
        <w:tc>
          <w:tcPr>
            <w:tcW w:w="2268" w:type="dxa"/>
            <w:tcBorders>
              <w:top w:val="single" w:sz="4" w:space="0" w:color="auto"/>
              <w:bottom w:val="single" w:sz="4" w:space="0" w:color="auto"/>
            </w:tcBorders>
            <w:shd w:val="clear" w:color="auto" w:fill="auto"/>
            <w:noWrap/>
            <w:hideMark/>
          </w:tcPr>
          <w:p w14:paraId="5C78C1A7" w14:textId="77777777" w:rsidR="000069B7" w:rsidRPr="00B026C7" w:rsidRDefault="000069B7" w:rsidP="004A495F">
            <w:pPr>
              <w:spacing w:before="0" w:after="0" w:line="480" w:lineRule="auto"/>
              <w:jc w:val="center"/>
              <w:rPr>
                <w:rFonts w:eastAsia="Times New Roman" w:cs="Arial"/>
                <w:b/>
                <w:bCs/>
                <w:color w:val="000000"/>
                <w:szCs w:val="24"/>
                <w:lang w:val="en-US" w:eastAsia="en-GB"/>
              </w:rPr>
            </w:pPr>
            <w:r w:rsidRPr="00B026C7">
              <w:rPr>
                <w:rFonts w:eastAsia="Times New Roman" w:cs="Arial"/>
                <w:b/>
                <w:bCs/>
                <w:color w:val="000000"/>
                <w:szCs w:val="24"/>
                <w:lang w:val="en-US" w:eastAsia="en-GB"/>
              </w:rPr>
              <w:t>EU-tocilizumab (N=140)</w:t>
            </w:r>
          </w:p>
        </w:tc>
      </w:tr>
      <w:tr w:rsidR="000069B7" w:rsidRPr="00B026C7" w14:paraId="79BABC89" w14:textId="77777777" w:rsidTr="004A495F">
        <w:trPr>
          <w:trHeight w:val="567"/>
        </w:trPr>
        <w:tc>
          <w:tcPr>
            <w:tcW w:w="4536" w:type="dxa"/>
            <w:tcBorders>
              <w:top w:val="single" w:sz="4" w:space="0" w:color="auto"/>
            </w:tcBorders>
            <w:shd w:val="clear" w:color="auto" w:fill="auto"/>
            <w:noWrap/>
            <w:hideMark/>
          </w:tcPr>
          <w:p w14:paraId="576C5607"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Neutrophil count decreased</w:t>
            </w:r>
          </w:p>
        </w:tc>
        <w:tc>
          <w:tcPr>
            <w:tcW w:w="2268" w:type="dxa"/>
            <w:tcBorders>
              <w:top w:val="single" w:sz="4" w:space="0" w:color="auto"/>
            </w:tcBorders>
            <w:shd w:val="clear" w:color="auto" w:fill="auto"/>
            <w:noWrap/>
            <w:hideMark/>
          </w:tcPr>
          <w:p w14:paraId="722D280D"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14 (9.7)</w:t>
            </w:r>
          </w:p>
        </w:tc>
        <w:tc>
          <w:tcPr>
            <w:tcW w:w="2268" w:type="dxa"/>
            <w:tcBorders>
              <w:top w:val="single" w:sz="4" w:space="0" w:color="auto"/>
            </w:tcBorders>
            <w:shd w:val="clear" w:color="auto" w:fill="auto"/>
            <w:noWrap/>
            <w:hideMark/>
          </w:tcPr>
          <w:p w14:paraId="49666EF0"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15 (10.7)</w:t>
            </w:r>
          </w:p>
        </w:tc>
      </w:tr>
      <w:tr w:rsidR="000069B7" w:rsidRPr="00B026C7" w14:paraId="70DBA888" w14:textId="77777777" w:rsidTr="004A495F">
        <w:trPr>
          <w:trHeight w:val="567"/>
        </w:trPr>
        <w:tc>
          <w:tcPr>
            <w:tcW w:w="4536" w:type="dxa"/>
            <w:shd w:val="clear" w:color="auto" w:fill="auto"/>
            <w:noWrap/>
            <w:hideMark/>
          </w:tcPr>
          <w:p w14:paraId="0BDFBB53" w14:textId="77777777" w:rsidR="000069B7" w:rsidRPr="00B026C7" w:rsidRDefault="000069B7" w:rsidP="004A495F">
            <w:pPr>
              <w:spacing w:before="0" w:after="0" w:line="480" w:lineRule="auto"/>
              <w:rPr>
                <w:rFonts w:eastAsia="Times New Roman" w:cs="Arial"/>
                <w:color w:val="000000"/>
                <w:szCs w:val="24"/>
                <w:lang w:val="en-US" w:eastAsia="en-GB"/>
              </w:rPr>
            </w:pPr>
            <w:bookmarkStart w:id="18" w:name="RANGE!A3"/>
            <w:r w:rsidRPr="00B026C7">
              <w:rPr>
                <w:rFonts w:eastAsia="Times New Roman" w:cs="Arial"/>
                <w:color w:val="000000"/>
                <w:szCs w:val="24"/>
                <w:lang w:val="en-US" w:eastAsia="en-GB"/>
              </w:rPr>
              <w:t>COVID-19</w:t>
            </w:r>
            <w:bookmarkEnd w:id="18"/>
          </w:p>
        </w:tc>
        <w:tc>
          <w:tcPr>
            <w:tcW w:w="2268" w:type="dxa"/>
            <w:shd w:val="clear" w:color="auto" w:fill="auto"/>
            <w:noWrap/>
            <w:hideMark/>
          </w:tcPr>
          <w:p w14:paraId="212213D4"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8 (5.6)</w:t>
            </w:r>
          </w:p>
        </w:tc>
        <w:tc>
          <w:tcPr>
            <w:tcW w:w="2268" w:type="dxa"/>
            <w:shd w:val="clear" w:color="auto" w:fill="auto"/>
            <w:noWrap/>
            <w:hideMark/>
          </w:tcPr>
          <w:p w14:paraId="335F7A18"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19 (13.6)</w:t>
            </w:r>
          </w:p>
        </w:tc>
      </w:tr>
      <w:tr w:rsidR="000069B7" w:rsidRPr="00B026C7" w14:paraId="423AAC71" w14:textId="77777777" w:rsidTr="004A495F">
        <w:trPr>
          <w:trHeight w:val="567"/>
        </w:trPr>
        <w:tc>
          <w:tcPr>
            <w:tcW w:w="4536" w:type="dxa"/>
            <w:shd w:val="clear" w:color="auto" w:fill="auto"/>
            <w:noWrap/>
            <w:hideMark/>
          </w:tcPr>
          <w:p w14:paraId="35DD63FD"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Headache</w:t>
            </w:r>
          </w:p>
        </w:tc>
        <w:tc>
          <w:tcPr>
            <w:tcW w:w="2268" w:type="dxa"/>
            <w:shd w:val="clear" w:color="auto" w:fill="auto"/>
            <w:noWrap/>
            <w:hideMark/>
          </w:tcPr>
          <w:p w14:paraId="0951C10C"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7 (4.9)</w:t>
            </w:r>
          </w:p>
        </w:tc>
        <w:tc>
          <w:tcPr>
            <w:tcW w:w="2268" w:type="dxa"/>
            <w:shd w:val="clear" w:color="auto" w:fill="auto"/>
            <w:noWrap/>
            <w:hideMark/>
          </w:tcPr>
          <w:p w14:paraId="20679E90"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11 (7.9)</w:t>
            </w:r>
          </w:p>
        </w:tc>
      </w:tr>
      <w:tr w:rsidR="000069B7" w:rsidRPr="00B026C7" w14:paraId="651951F8" w14:textId="77777777" w:rsidTr="004A495F">
        <w:trPr>
          <w:trHeight w:val="567"/>
        </w:trPr>
        <w:tc>
          <w:tcPr>
            <w:tcW w:w="4536" w:type="dxa"/>
            <w:shd w:val="clear" w:color="auto" w:fill="auto"/>
            <w:noWrap/>
            <w:hideMark/>
          </w:tcPr>
          <w:p w14:paraId="5FF63262"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White blood cell count decreased</w:t>
            </w:r>
          </w:p>
        </w:tc>
        <w:tc>
          <w:tcPr>
            <w:tcW w:w="2268" w:type="dxa"/>
            <w:shd w:val="clear" w:color="auto" w:fill="auto"/>
            <w:noWrap/>
            <w:hideMark/>
          </w:tcPr>
          <w:p w14:paraId="02F7B073"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8 (5.6)</w:t>
            </w:r>
          </w:p>
        </w:tc>
        <w:tc>
          <w:tcPr>
            <w:tcW w:w="2268" w:type="dxa"/>
            <w:shd w:val="clear" w:color="auto" w:fill="auto"/>
            <w:noWrap/>
            <w:hideMark/>
          </w:tcPr>
          <w:p w14:paraId="7338CCE5"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6 (4.3)</w:t>
            </w:r>
          </w:p>
        </w:tc>
      </w:tr>
      <w:tr w:rsidR="000069B7" w:rsidRPr="00B026C7" w14:paraId="36CA866D" w14:textId="77777777" w:rsidTr="004A495F">
        <w:trPr>
          <w:trHeight w:val="567"/>
        </w:trPr>
        <w:tc>
          <w:tcPr>
            <w:tcW w:w="4536" w:type="dxa"/>
            <w:shd w:val="clear" w:color="auto" w:fill="auto"/>
            <w:noWrap/>
            <w:hideMark/>
          </w:tcPr>
          <w:p w14:paraId="176A93B4"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Injection-site reaction</w:t>
            </w:r>
          </w:p>
        </w:tc>
        <w:tc>
          <w:tcPr>
            <w:tcW w:w="2268" w:type="dxa"/>
            <w:shd w:val="clear" w:color="auto" w:fill="auto"/>
            <w:noWrap/>
            <w:hideMark/>
          </w:tcPr>
          <w:p w14:paraId="6EB1167D"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4 (2.8)</w:t>
            </w:r>
          </w:p>
        </w:tc>
        <w:tc>
          <w:tcPr>
            <w:tcW w:w="2268" w:type="dxa"/>
            <w:shd w:val="clear" w:color="auto" w:fill="auto"/>
            <w:noWrap/>
            <w:hideMark/>
          </w:tcPr>
          <w:p w14:paraId="1AB898CC"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5 (3.6)</w:t>
            </w:r>
          </w:p>
        </w:tc>
      </w:tr>
      <w:tr w:rsidR="000069B7" w:rsidRPr="00B026C7" w14:paraId="700F75B3" w14:textId="77777777" w:rsidTr="004A495F">
        <w:trPr>
          <w:trHeight w:val="567"/>
        </w:trPr>
        <w:tc>
          <w:tcPr>
            <w:tcW w:w="4536" w:type="dxa"/>
            <w:shd w:val="clear" w:color="auto" w:fill="auto"/>
            <w:noWrap/>
            <w:hideMark/>
          </w:tcPr>
          <w:p w14:paraId="1293E5E8"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Hypersensitivity</w:t>
            </w:r>
          </w:p>
        </w:tc>
        <w:tc>
          <w:tcPr>
            <w:tcW w:w="2268" w:type="dxa"/>
            <w:shd w:val="clear" w:color="auto" w:fill="auto"/>
            <w:noWrap/>
            <w:hideMark/>
          </w:tcPr>
          <w:p w14:paraId="4EE7B4BF"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4 (2.8)</w:t>
            </w:r>
          </w:p>
        </w:tc>
        <w:tc>
          <w:tcPr>
            <w:tcW w:w="2268" w:type="dxa"/>
            <w:shd w:val="clear" w:color="auto" w:fill="auto"/>
            <w:noWrap/>
            <w:hideMark/>
          </w:tcPr>
          <w:p w14:paraId="2A0DD775"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 (1.4)</w:t>
            </w:r>
          </w:p>
        </w:tc>
      </w:tr>
      <w:tr w:rsidR="000069B7" w:rsidRPr="00B026C7" w14:paraId="4B523BE7" w14:textId="77777777" w:rsidTr="004A495F">
        <w:trPr>
          <w:trHeight w:val="567"/>
        </w:trPr>
        <w:tc>
          <w:tcPr>
            <w:tcW w:w="4536" w:type="dxa"/>
            <w:shd w:val="clear" w:color="auto" w:fill="auto"/>
            <w:noWrap/>
            <w:hideMark/>
          </w:tcPr>
          <w:p w14:paraId="1C2337D6"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Alanine aminotransferase increased</w:t>
            </w:r>
          </w:p>
        </w:tc>
        <w:tc>
          <w:tcPr>
            <w:tcW w:w="2268" w:type="dxa"/>
            <w:shd w:val="clear" w:color="auto" w:fill="auto"/>
            <w:noWrap/>
            <w:hideMark/>
          </w:tcPr>
          <w:p w14:paraId="0E21BE20"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 (1.4)</w:t>
            </w:r>
          </w:p>
        </w:tc>
        <w:tc>
          <w:tcPr>
            <w:tcW w:w="2268" w:type="dxa"/>
            <w:shd w:val="clear" w:color="auto" w:fill="auto"/>
            <w:noWrap/>
            <w:hideMark/>
          </w:tcPr>
          <w:p w14:paraId="3F8779A3"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3 (2.1)</w:t>
            </w:r>
          </w:p>
        </w:tc>
      </w:tr>
      <w:tr w:rsidR="000069B7" w:rsidRPr="00B026C7" w14:paraId="001F4965" w14:textId="77777777" w:rsidTr="004A495F">
        <w:trPr>
          <w:trHeight w:val="567"/>
        </w:trPr>
        <w:tc>
          <w:tcPr>
            <w:tcW w:w="4536" w:type="dxa"/>
            <w:shd w:val="clear" w:color="auto" w:fill="auto"/>
            <w:noWrap/>
            <w:hideMark/>
          </w:tcPr>
          <w:p w14:paraId="2CD0F705"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Aspartate aminotransferase increased</w:t>
            </w:r>
          </w:p>
        </w:tc>
        <w:tc>
          <w:tcPr>
            <w:tcW w:w="2268" w:type="dxa"/>
            <w:shd w:val="clear" w:color="auto" w:fill="auto"/>
            <w:noWrap/>
            <w:hideMark/>
          </w:tcPr>
          <w:p w14:paraId="67A13615"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 (1.4)</w:t>
            </w:r>
          </w:p>
        </w:tc>
        <w:tc>
          <w:tcPr>
            <w:tcW w:w="2268" w:type="dxa"/>
            <w:shd w:val="clear" w:color="auto" w:fill="auto"/>
            <w:noWrap/>
            <w:hideMark/>
          </w:tcPr>
          <w:p w14:paraId="2EA4B778"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3 (2.1)</w:t>
            </w:r>
          </w:p>
        </w:tc>
      </w:tr>
      <w:tr w:rsidR="000069B7" w:rsidRPr="00B026C7" w14:paraId="13BA74CE" w14:textId="77777777" w:rsidTr="004A495F">
        <w:trPr>
          <w:trHeight w:val="567"/>
        </w:trPr>
        <w:tc>
          <w:tcPr>
            <w:tcW w:w="4536" w:type="dxa"/>
            <w:shd w:val="clear" w:color="auto" w:fill="auto"/>
            <w:noWrap/>
            <w:hideMark/>
          </w:tcPr>
          <w:p w14:paraId="4B4F5027"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Cough</w:t>
            </w:r>
          </w:p>
        </w:tc>
        <w:tc>
          <w:tcPr>
            <w:tcW w:w="2268" w:type="dxa"/>
            <w:shd w:val="clear" w:color="auto" w:fill="auto"/>
            <w:noWrap/>
            <w:hideMark/>
          </w:tcPr>
          <w:p w14:paraId="3CC2C54E"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4 (2.8)</w:t>
            </w:r>
          </w:p>
        </w:tc>
        <w:tc>
          <w:tcPr>
            <w:tcW w:w="2268" w:type="dxa"/>
            <w:shd w:val="clear" w:color="auto" w:fill="auto"/>
            <w:noWrap/>
            <w:hideMark/>
          </w:tcPr>
          <w:p w14:paraId="17182119"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r w:rsidR="000069B7" w:rsidRPr="00B026C7" w14:paraId="2FC9AF25" w14:textId="77777777" w:rsidTr="004A495F">
        <w:trPr>
          <w:trHeight w:val="567"/>
        </w:trPr>
        <w:tc>
          <w:tcPr>
            <w:tcW w:w="4536" w:type="dxa"/>
            <w:shd w:val="clear" w:color="auto" w:fill="auto"/>
            <w:noWrap/>
            <w:hideMark/>
          </w:tcPr>
          <w:p w14:paraId="731FC991"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Ligament sprain</w:t>
            </w:r>
          </w:p>
        </w:tc>
        <w:tc>
          <w:tcPr>
            <w:tcW w:w="2268" w:type="dxa"/>
            <w:shd w:val="clear" w:color="auto" w:fill="auto"/>
            <w:noWrap/>
            <w:hideMark/>
          </w:tcPr>
          <w:p w14:paraId="2584AB80"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c>
          <w:tcPr>
            <w:tcW w:w="2268" w:type="dxa"/>
            <w:shd w:val="clear" w:color="auto" w:fill="auto"/>
            <w:noWrap/>
            <w:hideMark/>
          </w:tcPr>
          <w:p w14:paraId="6DB40FA9"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4 (2.9)</w:t>
            </w:r>
          </w:p>
        </w:tc>
      </w:tr>
      <w:tr w:rsidR="000069B7" w:rsidRPr="00B026C7" w14:paraId="36884E85" w14:textId="77777777" w:rsidTr="004A495F">
        <w:trPr>
          <w:trHeight w:val="567"/>
        </w:trPr>
        <w:tc>
          <w:tcPr>
            <w:tcW w:w="4536" w:type="dxa"/>
            <w:shd w:val="clear" w:color="auto" w:fill="auto"/>
            <w:noWrap/>
            <w:hideMark/>
          </w:tcPr>
          <w:p w14:paraId="6750F5E1"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Oropharyngeal pain</w:t>
            </w:r>
          </w:p>
        </w:tc>
        <w:tc>
          <w:tcPr>
            <w:tcW w:w="2268" w:type="dxa"/>
            <w:shd w:val="clear" w:color="auto" w:fill="auto"/>
            <w:noWrap/>
            <w:hideMark/>
          </w:tcPr>
          <w:p w14:paraId="27F5B7F8"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4 (2.8)</w:t>
            </w:r>
          </w:p>
        </w:tc>
        <w:tc>
          <w:tcPr>
            <w:tcW w:w="2268" w:type="dxa"/>
            <w:shd w:val="clear" w:color="auto" w:fill="auto"/>
            <w:noWrap/>
            <w:hideMark/>
          </w:tcPr>
          <w:p w14:paraId="189F68E8"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r w:rsidR="000069B7" w:rsidRPr="00B026C7" w14:paraId="1A3D25DA" w14:textId="77777777" w:rsidTr="004A495F">
        <w:trPr>
          <w:trHeight w:val="567"/>
        </w:trPr>
        <w:tc>
          <w:tcPr>
            <w:tcW w:w="4536" w:type="dxa"/>
            <w:shd w:val="clear" w:color="auto" w:fill="auto"/>
            <w:noWrap/>
            <w:hideMark/>
          </w:tcPr>
          <w:p w14:paraId="26390DAC"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Nausea</w:t>
            </w:r>
          </w:p>
        </w:tc>
        <w:tc>
          <w:tcPr>
            <w:tcW w:w="2268" w:type="dxa"/>
            <w:shd w:val="clear" w:color="auto" w:fill="auto"/>
            <w:noWrap/>
            <w:hideMark/>
          </w:tcPr>
          <w:p w14:paraId="75CE52A7"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3 (2.1)</w:t>
            </w:r>
          </w:p>
        </w:tc>
        <w:tc>
          <w:tcPr>
            <w:tcW w:w="2268" w:type="dxa"/>
            <w:shd w:val="clear" w:color="auto" w:fill="auto"/>
            <w:noWrap/>
            <w:hideMark/>
          </w:tcPr>
          <w:p w14:paraId="0745C257"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 (1.4)</w:t>
            </w:r>
          </w:p>
        </w:tc>
      </w:tr>
      <w:tr w:rsidR="000069B7" w:rsidRPr="00B026C7" w14:paraId="1E163AFA" w14:textId="77777777" w:rsidTr="004A495F">
        <w:trPr>
          <w:trHeight w:val="567"/>
        </w:trPr>
        <w:tc>
          <w:tcPr>
            <w:tcW w:w="4536" w:type="dxa"/>
            <w:tcBorders>
              <w:bottom w:val="single" w:sz="4" w:space="0" w:color="auto"/>
            </w:tcBorders>
            <w:shd w:val="clear" w:color="auto" w:fill="auto"/>
            <w:noWrap/>
            <w:hideMark/>
          </w:tcPr>
          <w:p w14:paraId="36E1D00C"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Diarrhea</w:t>
            </w:r>
          </w:p>
        </w:tc>
        <w:tc>
          <w:tcPr>
            <w:tcW w:w="2268" w:type="dxa"/>
            <w:tcBorders>
              <w:bottom w:val="single" w:sz="4" w:space="0" w:color="auto"/>
            </w:tcBorders>
            <w:shd w:val="clear" w:color="auto" w:fill="auto"/>
            <w:noWrap/>
            <w:hideMark/>
          </w:tcPr>
          <w:p w14:paraId="0FF72A83"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c>
          <w:tcPr>
            <w:tcW w:w="2268" w:type="dxa"/>
            <w:tcBorders>
              <w:bottom w:val="single" w:sz="4" w:space="0" w:color="auto"/>
            </w:tcBorders>
            <w:shd w:val="clear" w:color="auto" w:fill="auto"/>
            <w:noWrap/>
            <w:hideMark/>
          </w:tcPr>
          <w:p w14:paraId="1826A860"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3 (2.1)</w:t>
            </w:r>
          </w:p>
        </w:tc>
      </w:tr>
      <w:tr w:rsidR="000069B7" w:rsidRPr="00B026C7" w14:paraId="62DAAB21" w14:textId="77777777" w:rsidTr="004A495F">
        <w:trPr>
          <w:trHeight w:val="567"/>
        </w:trPr>
        <w:tc>
          <w:tcPr>
            <w:tcW w:w="4536" w:type="dxa"/>
            <w:tcBorders>
              <w:top w:val="single" w:sz="4" w:space="0" w:color="auto"/>
              <w:bottom w:val="single" w:sz="4" w:space="0" w:color="auto"/>
            </w:tcBorders>
            <w:shd w:val="clear" w:color="auto" w:fill="auto"/>
            <w:noWrap/>
            <w:hideMark/>
          </w:tcPr>
          <w:p w14:paraId="55E142F7"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Arthralgia</w:t>
            </w:r>
          </w:p>
        </w:tc>
        <w:tc>
          <w:tcPr>
            <w:tcW w:w="2268" w:type="dxa"/>
            <w:tcBorders>
              <w:top w:val="single" w:sz="4" w:space="0" w:color="auto"/>
              <w:bottom w:val="single" w:sz="4" w:space="0" w:color="auto"/>
            </w:tcBorders>
            <w:shd w:val="clear" w:color="auto" w:fill="auto"/>
            <w:noWrap/>
            <w:hideMark/>
          </w:tcPr>
          <w:p w14:paraId="3DD2D5C6"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268" w:type="dxa"/>
            <w:tcBorders>
              <w:top w:val="single" w:sz="4" w:space="0" w:color="auto"/>
              <w:bottom w:val="single" w:sz="4" w:space="0" w:color="auto"/>
            </w:tcBorders>
            <w:shd w:val="clear" w:color="auto" w:fill="auto"/>
            <w:noWrap/>
            <w:hideMark/>
          </w:tcPr>
          <w:p w14:paraId="5C5FD0D0"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3 (2.1)</w:t>
            </w:r>
          </w:p>
        </w:tc>
      </w:tr>
    </w:tbl>
    <w:p w14:paraId="79E3FC95" w14:textId="77777777" w:rsidR="000069B7" w:rsidRPr="00B026C7" w:rsidRDefault="000069B7" w:rsidP="000069B7">
      <w:pPr>
        <w:spacing w:line="480" w:lineRule="auto"/>
        <w:rPr>
          <w:lang w:val="en-US"/>
        </w:rPr>
      </w:pPr>
      <w:r w:rsidRPr="00B026C7">
        <w:rPr>
          <w:lang w:val="en-US"/>
        </w:rPr>
        <w:t xml:space="preserve">COVID-19 = coronavirus disease 2019. EU-tocilizumab = European Union-approved reference tocilizumab. TEAE = treatment-emergent adverse event. </w:t>
      </w:r>
    </w:p>
    <w:p w14:paraId="3A5DDA0A" w14:textId="77777777" w:rsidR="000069B7" w:rsidRPr="00B026C7" w:rsidRDefault="000069B7" w:rsidP="000069B7">
      <w:pPr>
        <w:tabs>
          <w:tab w:val="left" w:pos="1503"/>
        </w:tabs>
        <w:rPr>
          <w:rFonts w:cs="Arial"/>
          <w:lang w:val="en-US"/>
        </w:rPr>
      </w:pPr>
    </w:p>
    <w:p w14:paraId="3D82797D" w14:textId="77777777" w:rsidR="000069B7" w:rsidRPr="00B026C7" w:rsidRDefault="000069B7" w:rsidP="000069B7">
      <w:pPr>
        <w:tabs>
          <w:tab w:val="left" w:pos="1503"/>
        </w:tabs>
        <w:rPr>
          <w:rFonts w:cs="Arial"/>
          <w:lang w:val="en-US"/>
        </w:rPr>
      </w:pPr>
    </w:p>
    <w:p w14:paraId="517B91AB" w14:textId="77777777" w:rsidR="000069B7" w:rsidRPr="00B026C7" w:rsidRDefault="000069B7" w:rsidP="000069B7">
      <w:pPr>
        <w:spacing w:before="0" w:after="160" w:line="259" w:lineRule="auto"/>
        <w:rPr>
          <w:rFonts w:cs="Arial"/>
          <w:b/>
          <w:bCs/>
          <w:lang w:val="en-US"/>
        </w:rPr>
      </w:pPr>
      <w:r w:rsidRPr="00B026C7">
        <w:rPr>
          <w:rFonts w:cs="Arial"/>
          <w:b/>
          <w:bCs/>
          <w:lang w:val="en-US"/>
        </w:rPr>
        <w:br w:type="page"/>
      </w:r>
    </w:p>
    <w:p w14:paraId="0C901E1F" w14:textId="2D66A729" w:rsidR="000069B7" w:rsidRPr="00B026C7" w:rsidRDefault="000069B7" w:rsidP="000069B7">
      <w:pPr>
        <w:pStyle w:val="Heading2"/>
        <w:spacing w:line="480" w:lineRule="auto"/>
      </w:pPr>
      <w:bookmarkStart w:id="19" w:name="_Toc130216898"/>
      <w:r w:rsidRPr="00B026C7">
        <w:lastRenderedPageBreak/>
        <w:t xml:space="preserve">Supplementary Table </w:t>
      </w:r>
      <w:r>
        <w:t>8</w:t>
      </w:r>
      <w:r w:rsidRPr="00B026C7">
        <w:t xml:space="preserve">. </w:t>
      </w:r>
      <w:r w:rsidRPr="00B026C7">
        <w:rPr>
          <w:b w:val="0"/>
          <w:bCs w:val="0"/>
        </w:rPr>
        <w:t>TEAEs of grade ≥3 in intensity, by relationship to study drug (safety set</w:t>
      </w:r>
      <w:r>
        <w:rPr>
          <w:b w:val="0"/>
          <w:bCs w:val="0"/>
        </w:rPr>
        <w:t>; Part 2</w:t>
      </w:r>
      <w:r w:rsidRPr="00B026C7">
        <w:rPr>
          <w:b w:val="0"/>
          <w:bCs w:val="0"/>
        </w:rPr>
        <w:t>).</w:t>
      </w:r>
      <w:bookmarkEnd w:id="19"/>
    </w:p>
    <w:tbl>
      <w:tblPr>
        <w:tblW w:w="8931" w:type="dxa"/>
        <w:tblBorders>
          <w:insideH w:val="single" w:sz="4" w:space="0" w:color="auto"/>
        </w:tblBorders>
        <w:tblLayout w:type="fixed"/>
        <w:tblLook w:val="04A0" w:firstRow="1" w:lastRow="0" w:firstColumn="1" w:lastColumn="0" w:noHBand="0" w:noVBand="1"/>
      </w:tblPr>
      <w:tblGrid>
        <w:gridCol w:w="4678"/>
        <w:gridCol w:w="2126"/>
        <w:gridCol w:w="2127"/>
      </w:tblGrid>
      <w:tr w:rsidR="000069B7" w:rsidRPr="00B026C7" w14:paraId="6D7DD7C9" w14:textId="77777777" w:rsidTr="004A495F">
        <w:trPr>
          <w:trHeight w:val="563"/>
        </w:trPr>
        <w:tc>
          <w:tcPr>
            <w:tcW w:w="4678" w:type="dxa"/>
            <w:tcBorders>
              <w:top w:val="single" w:sz="4" w:space="0" w:color="auto"/>
              <w:bottom w:val="single" w:sz="4" w:space="0" w:color="auto"/>
            </w:tcBorders>
            <w:shd w:val="clear" w:color="auto" w:fill="auto"/>
            <w:noWrap/>
            <w:hideMark/>
          </w:tcPr>
          <w:p w14:paraId="0FE04C4E" w14:textId="77777777" w:rsidR="000069B7" w:rsidRPr="00B026C7" w:rsidRDefault="000069B7" w:rsidP="004A495F">
            <w:pPr>
              <w:spacing w:before="0" w:after="0" w:line="480" w:lineRule="auto"/>
              <w:rPr>
                <w:rFonts w:eastAsia="Times New Roman" w:cs="Arial"/>
                <w:szCs w:val="24"/>
                <w:lang w:val="en-US" w:eastAsia="en-GB"/>
              </w:rPr>
            </w:pPr>
            <w:r w:rsidRPr="00B026C7">
              <w:rPr>
                <w:rFonts w:eastAsia="Times New Roman" w:cs="Arial"/>
                <w:b/>
                <w:bCs/>
                <w:color w:val="000000"/>
                <w:szCs w:val="24"/>
                <w:lang w:val="en-US" w:eastAsia="en-GB"/>
              </w:rPr>
              <w:t>Participants, n (%)</w:t>
            </w:r>
          </w:p>
        </w:tc>
        <w:tc>
          <w:tcPr>
            <w:tcW w:w="2126" w:type="dxa"/>
            <w:tcBorders>
              <w:top w:val="single" w:sz="4" w:space="0" w:color="auto"/>
              <w:bottom w:val="single" w:sz="4" w:space="0" w:color="auto"/>
            </w:tcBorders>
            <w:shd w:val="clear" w:color="auto" w:fill="auto"/>
            <w:noWrap/>
            <w:hideMark/>
          </w:tcPr>
          <w:p w14:paraId="2ADBF2ED" w14:textId="77777777" w:rsidR="000069B7" w:rsidRPr="00B026C7" w:rsidRDefault="000069B7" w:rsidP="004A495F">
            <w:pPr>
              <w:spacing w:before="0" w:after="0" w:line="480" w:lineRule="auto"/>
              <w:jc w:val="center"/>
              <w:rPr>
                <w:rFonts w:eastAsia="Times New Roman" w:cs="Arial"/>
                <w:b/>
                <w:bCs/>
                <w:color w:val="000000"/>
                <w:szCs w:val="24"/>
                <w:lang w:val="en-US" w:eastAsia="en-GB"/>
              </w:rPr>
            </w:pPr>
            <w:r w:rsidRPr="00B026C7">
              <w:rPr>
                <w:rFonts w:eastAsia="Times New Roman" w:cs="Arial"/>
                <w:b/>
                <w:bCs/>
                <w:color w:val="000000"/>
                <w:szCs w:val="24"/>
                <w:lang w:val="en-US" w:eastAsia="en-GB"/>
              </w:rPr>
              <w:t xml:space="preserve">CT-P47 </w:t>
            </w:r>
          </w:p>
          <w:p w14:paraId="5303367A" w14:textId="77777777" w:rsidR="000069B7" w:rsidRPr="00B026C7" w:rsidRDefault="000069B7" w:rsidP="004A495F">
            <w:pPr>
              <w:spacing w:before="0" w:after="0" w:line="480" w:lineRule="auto"/>
              <w:jc w:val="center"/>
              <w:rPr>
                <w:rFonts w:eastAsia="Times New Roman" w:cs="Arial"/>
                <w:b/>
                <w:bCs/>
                <w:color w:val="000000"/>
                <w:szCs w:val="24"/>
                <w:lang w:val="en-US" w:eastAsia="en-GB"/>
              </w:rPr>
            </w:pPr>
            <w:r w:rsidRPr="00B026C7">
              <w:rPr>
                <w:rFonts w:eastAsia="Times New Roman" w:cs="Arial"/>
                <w:b/>
                <w:bCs/>
                <w:color w:val="000000"/>
                <w:szCs w:val="24"/>
                <w:lang w:val="en-US" w:eastAsia="en-GB"/>
              </w:rPr>
              <w:t>(N=144)</w:t>
            </w:r>
          </w:p>
        </w:tc>
        <w:tc>
          <w:tcPr>
            <w:tcW w:w="2127" w:type="dxa"/>
            <w:tcBorders>
              <w:top w:val="single" w:sz="4" w:space="0" w:color="auto"/>
              <w:bottom w:val="single" w:sz="4" w:space="0" w:color="auto"/>
            </w:tcBorders>
            <w:shd w:val="clear" w:color="auto" w:fill="auto"/>
          </w:tcPr>
          <w:p w14:paraId="3D4DD1FE" w14:textId="77777777" w:rsidR="000069B7" w:rsidRPr="00B026C7" w:rsidRDefault="000069B7" w:rsidP="004A495F">
            <w:pPr>
              <w:tabs>
                <w:tab w:val="center" w:pos="1981"/>
                <w:tab w:val="right" w:pos="3962"/>
              </w:tabs>
              <w:spacing w:before="0" w:after="0" w:line="480" w:lineRule="auto"/>
              <w:jc w:val="center"/>
              <w:rPr>
                <w:rFonts w:eastAsia="Times New Roman" w:cs="Arial"/>
                <w:b/>
                <w:bCs/>
                <w:color w:val="000000"/>
                <w:szCs w:val="24"/>
                <w:lang w:val="en-US" w:eastAsia="en-GB"/>
              </w:rPr>
            </w:pPr>
            <w:r w:rsidRPr="00B026C7">
              <w:rPr>
                <w:rFonts w:eastAsia="Times New Roman" w:cs="Arial"/>
                <w:b/>
                <w:bCs/>
                <w:color w:val="000000"/>
                <w:szCs w:val="24"/>
                <w:lang w:val="en-US" w:eastAsia="en-GB"/>
              </w:rPr>
              <w:t>EU-tocilizumab (N=140)</w:t>
            </w:r>
          </w:p>
        </w:tc>
      </w:tr>
      <w:tr w:rsidR="000069B7" w:rsidRPr="00B026C7" w14:paraId="79AB9495" w14:textId="77777777" w:rsidTr="004A495F">
        <w:trPr>
          <w:trHeight w:val="563"/>
        </w:trPr>
        <w:tc>
          <w:tcPr>
            <w:tcW w:w="4678" w:type="dxa"/>
            <w:tcBorders>
              <w:top w:val="single" w:sz="4" w:space="0" w:color="auto"/>
            </w:tcBorders>
            <w:shd w:val="clear" w:color="auto" w:fill="auto"/>
            <w:noWrap/>
            <w:hideMark/>
          </w:tcPr>
          <w:p w14:paraId="0FCC240C"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Neutrophil count decreased</w:t>
            </w:r>
          </w:p>
        </w:tc>
        <w:tc>
          <w:tcPr>
            <w:tcW w:w="2126" w:type="dxa"/>
            <w:tcBorders>
              <w:top w:val="single" w:sz="4" w:space="0" w:color="auto"/>
            </w:tcBorders>
            <w:shd w:val="clear" w:color="auto" w:fill="auto"/>
            <w:noWrap/>
            <w:hideMark/>
          </w:tcPr>
          <w:p w14:paraId="258F94BC"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 xml:space="preserve"> 4 (2.8)</w:t>
            </w:r>
          </w:p>
        </w:tc>
        <w:tc>
          <w:tcPr>
            <w:tcW w:w="2127" w:type="dxa"/>
            <w:tcBorders>
              <w:top w:val="single" w:sz="4" w:space="0" w:color="auto"/>
            </w:tcBorders>
            <w:shd w:val="clear" w:color="auto" w:fill="auto"/>
            <w:noWrap/>
            <w:hideMark/>
          </w:tcPr>
          <w:p w14:paraId="1049C8DE"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7 (5.0)</w:t>
            </w:r>
          </w:p>
        </w:tc>
      </w:tr>
      <w:tr w:rsidR="000069B7" w:rsidRPr="00B026C7" w14:paraId="1A1D5A00" w14:textId="77777777" w:rsidTr="004A495F">
        <w:trPr>
          <w:trHeight w:val="563"/>
        </w:trPr>
        <w:tc>
          <w:tcPr>
            <w:tcW w:w="4678" w:type="dxa"/>
            <w:shd w:val="clear" w:color="auto" w:fill="auto"/>
            <w:noWrap/>
          </w:tcPr>
          <w:p w14:paraId="46701137" w14:textId="77777777" w:rsidR="000069B7" w:rsidRPr="00B026C7" w:rsidRDefault="000069B7" w:rsidP="004A495F">
            <w:pPr>
              <w:spacing w:before="0" w:after="0" w:line="480" w:lineRule="auto"/>
              <w:ind w:left="323"/>
              <w:rPr>
                <w:rFonts w:eastAsia="Times New Roman" w:cs="Arial"/>
                <w:color w:val="000000"/>
                <w:szCs w:val="24"/>
                <w:lang w:val="en-US" w:eastAsia="en-GB"/>
              </w:rPr>
            </w:pPr>
            <w:r w:rsidRPr="00B026C7">
              <w:rPr>
                <w:rFonts w:eastAsia="Times New Roman" w:cs="Arial"/>
                <w:color w:val="000000"/>
                <w:szCs w:val="24"/>
                <w:lang w:val="en-US" w:eastAsia="en-GB"/>
              </w:rPr>
              <w:t>Study drug-related</w:t>
            </w:r>
          </w:p>
        </w:tc>
        <w:tc>
          <w:tcPr>
            <w:tcW w:w="2126" w:type="dxa"/>
            <w:shd w:val="clear" w:color="auto" w:fill="auto"/>
            <w:noWrap/>
          </w:tcPr>
          <w:p w14:paraId="545132D6"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4 (2.8)</w:t>
            </w:r>
          </w:p>
        </w:tc>
        <w:tc>
          <w:tcPr>
            <w:tcW w:w="2127" w:type="dxa"/>
            <w:shd w:val="clear" w:color="auto" w:fill="auto"/>
            <w:noWrap/>
          </w:tcPr>
          <w:p w14:paraId="4A181D00"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7 (5.0)</w:t>
            </w:r>
          </w:p>
        </w:tc>
      </w:tr>
      <w:tr w:rsidR="000069B7" w:rsidRPr="00B026C7" w14:paraId="25561B8E" w14:textId="77777777" w:rsidTr="004A495F">
        <w:trPr>
          <w:trHeight w:val="563"/>
        </w:trPr>
        <w:tc>
          <w:tcPr>
            <w:tcW w:w="4678" w:type="dxa"/>
            <w:shd w:val="clear" w:color="auto" w:fill="auto"/>
            <w:noWrap/>
            <w:hideMark/>
          </w:tcPr>
          <w:p w14:paraId="73127309"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Blood creatine phosphokinase increased</w:t>
            </w:r>
          </w:p>
        </w:tc>
        <w:tc>
          <w:tcPr>
            <w:tcW w:w="2126" w:type="dxa"/>
            <w:shd w:val="clear" w:color="auto" w:fill="auto"/>
            <w:noWrap/>
            <w:hideMark/>
          </w:tcPr>
          <w:p w14:paraId="25D41396" w14:textId="77777777" w:rsidR="000069B7" w:rsidRPr="00F45DA9" w:rsidRDefault="000069B7" w:rsidP="004A495F">
            <w:pPr>
              <w:spacing w:before="0" w:after="0" w:line="480" w:lineRule="auto"/>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2 (1.4)</w:t>
            </w:r>
            <w:r>
              <w:rPr>
                <w:rFonts w:eastAsia="Times New Roman" w:cs="Arial"/>
                <w:color w:val="000000"/>
                <w:szCs w:val="24"/>
                <w:vertAlign w:val="superscript"/>
                <w:lang w:val="en-US" w:eastAsia="en-GB"/>
              </w:rPr>
              <w:t>a</w:t>
            </w:r>
          </w:p>
        </w:tc>
        <w:tc>
          <w:tcPr>
            <w:tcW w:w="2127" w:type="dxa"/>
            <w:shd w:val="clear" w:color="auto" w:fill="auto"/>
            <w:noWrap/>
            <w:hideMark/>
          </w:tcPr>
          <w:p w14:paraId="540029F2"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 (1.4)</w:t>
            </w:r>
            <w:r>
              <w:rPr>
                <w:rFonts w:eastAsia="Times New Roman" w:cs="Arial"/>
                <w:color w:val="000000"/>
                <w:szCs w:val="24"/>
                <w:vertAlign w:val="superscript"/>
                <w:lang w:val="en-US" w:eastAsia="en-GB"/>
              </w:rPr>
              <w:t>a</w:t>
            </w:r>
          </w:p>
        </w:tc>
      </w:tr>
      <w:tr w:rsidR="000069B7" w:rsidRPr="00B026C7" w14:paraId="193EAC68" w14:textId="77777777" w:rsidTr="004A495F">
        <w:trPr>
          <w:trHeight w:val="563"/>
        </w:trPr>
        <w:tc>
          <w:tcPr>
            <w:tcW w:w="4678" w:type="dxa"/>
            <w:shd w:val="clear" w:color="auto" w:fill="auto"/>
            <w:noWrap/>
          </w:tcPr>
          <w:p w14:paraId="736BECFA" w14:textId="77777777" w:rsidR="000069B7" w:rsidRPr="00B026C7" w:rsidRDefault="000069B7" w:rsidP="004A495F">
            <w:pPr>
              <w:spacing w:before="0" w:after="0" w:line="480" w:lineRule="auto"/>
              <w:ind w:left="323"/>
              <w:rPr>
                <w:rFonts w:eastAsia="Times New Roman" w:cs="Arial"/>
                <w:color w:val="000000"/>
                <w:szCs w:val="24"/>
                <w:lang w:val="en-US" w:eastAsia="en-GB"/>
              </w:rPr>
            </w:pPr>
            <w:r w:rsidRPr="00B026C7">
              <w:rPr>
                <w:rFonts w:eastAsia="Times New Roman" w:cs="Arial"/>
                <w:color w:val="000000"/>
                <w:szCs w:val="24"/>
                <w:lang w:val="en-US" w:eastAsia="en-GB"/>
              </w:rPr>
              <w:t>Study drug-related</w:t>
            </w:r>
          </w:p>
        </w:tc>
        <w:tc>
          <w:tcPr>
            <w:tcW w:w="2126" w:type="dxa"/>
            <w:shd w:val="clear" w:color="auto" w:fill="auto"/>
            <w:noWrap/>
          </w:tcPr>
          <w:p w14:paraId="0E6F1D39"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127" w:type="dxa"/>
            <w:shd w:val="clear" w:color="auto" w:fill="auto"/>
            <w:noWrap/>
          </w:tcPr>
          <w:p w14:paraId="57C0C47C" w14:textId="77777777" w:rsidR="000069B7" w:rsidRPr="00AE6298" w:rsidRDefault="000069B7" w:rsidP="004A495F">
            <w:pPr>
              <w:spacing w:before="0" w:after="0" w:line="480" w:lineRule="auto"/>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 (0.7)</w:t>
            </w:r>
            <w:r>
              <w:rPr>
                <w:rFonts w:eastAsia="Times New Roman" w:cs="Arial"/>
                <w:color w:val="000000"/>
                <w:szCs w:val="24"/>
                <w:vertAlign w:val="superscript"/>
                <w:lang w:val="en-US" w:eastAsia="en-GB"/>
              </w:rPr>
              <w:t>a</w:t>
            </w:r>
          </w:p>
        </w:tc>
      </w:tr>
      <w:tr w:rsidR="000069B7" w:rsidRPr="00B026C7" w14:paraId="4FAB76E2" w14:textId="77777777" w:rsidTr="004A495F">
        <w:trPr>
          <w:trHeight w:val="563"/>
        </w:trPr>
        <w:tc>
          <w:tcPr>
            <w:tcW w:w="4678" w:type="dxa"/>
            <w:shd w:val="clear" w:color="auto" w:fill="auto"/>
            <w:noWrap/>
            <w:hideMark/>
          </w:tcPr>
          <w:p w14:paraId="1468BFB7"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Aspartate aminotransferase increased</w:t>
            </w:r>
          </w:p>
        </w:tc>
        <w:tc>
          <w:tcPr>
            <w:tcW w:w="2126" w:type="dxa"/>
            <w:shd w:val="clear" w:color="auto" w:fill="auto"/>
            <w:noWrap/>
            <w:hideMark/>
          </w:tcPr>
          <w:p w14:paraId="118F9039"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127" w:type="dxa"/>
            <w:shd w:val="clear" w:color="auto" w:fill="auto"/>
            <w:noWrap/>
            <w:hideMark/>
          </w:tcPr>
          <w:p w14:paraId="4B9C8BC9" w14:textId="77777777" w:rsidR="000069B7" w:rsidRPr="000717A9" w:rsidRDefault="000069B7" w:rsidP="004A495F">
            <w:pPr>
              <w:spacing w:before="0" w:after="0" w:line="480" w:lineRule="auto"/>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2 (1.4)</w:t>
            </w:r>
            <w:r>
              <w:rPr>
                <w:rFonts w:eastAsia="Times New Roman" w:cs="Arial"/>
                <w:color w:val="000000"/>
                <w:szCs w:val="24"/>
                <w:vertAlign w:val="superscript"/>
                <w:lang w:val="en-US" w:eastAsia="en-GB"/>
              </w:rPr>
              <w:t>b</w:t>
            </w:r>
          </w:p>
        </w:tc>
      </w:tr>
      <w:tr w:rsidR="000069B7" w:rsidRPr="00B026C7" w14:paraId="5BDFBD82" w14:textId="77777777" w:rsidTr="004A495F">
        <w:trPr>
          <w:trHeight w:val="563"/>
        </w:trPr>
        <w:tc>
          <w:tcPr>
            <w:tcW w:w="4678" w:type="dxa"/>
            <w:shd w:val="clear" w:color="auto" w:fill="auto"/>
            <w:noWrap/>
          </w:tcPr>
          <w:p w14:paraId="7FFCA645" w14:textId="77777777" w:rsidR="000069B7" w:rsidRPr="00B026C7" w:rsidRDefault="000069B7" w:rsidP="004A495F">
            <w:pPr>
              <w:spacing w:before="0" w:after="0" w:line="480" w:lineRule="auto"/>
              <w:ind w:left="323"/>
              <w:rPr>
                <w:rFonts w:eastAsia="Times New Roman" w:cs="Arial"/>
                <w:color w:val="000000"/>
                <w:szCs w:val="24"/>
                <w:lang w:val="en-US" w:eastAsia="en-GB"/>
              </w:rPr>
            </w:pPr>
            <w:r w:rsidRPr="00B026C7">
              <w:rPr>
                <w:rFonts w:eastAsia="Times New Roman" w:cs="Arial"/>
                <w:color w:val="000000"/>
                <w:szCs w:val="24"/>
                <w:lang w:val="en-US" w:eastAsia="en-GB"/>
              </w:rPr>
              <w:t>Study drug-related</w:t>
            </w:r>
          </w:p>
        </w:tc>
        <w:tc>
          <w:tcPr>
            <w:tcW w:w="2126" w:type="dxa"/>
            <w:shd w:val="clear" w:color="auto" w:fill="auto"/>
            <w:noWrap/>
          </w:tcPr>
          <w:p w14:paraId="1A83B408"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127" w:type="dxa"/>
            <w:shd w:val="clear" w:color="auto" w:fill="auto"/>
            <w:noWrap/>
          </w:tcPr>
          <w:p w14:paraId="499E6043"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r w:rsidR="000069B7" w:rsidRPr="00B026C7" w14:paraId="48C71A69" w14:textId="77777777" w:rsidTr="004A495F">
        <w:trPr>
          <w:trHeight w:val="563"/>
        </w:trPr>
        <w:tc>
          <w:tcPr>
            <w:tcW w:w="4678" w:type="dxa"/>
            <w:tcBorders>
              <w:bottom w:val="single" w:sz="4" w:space="0" w:color="auto"/>
            </w:tcBorders>
            <w:shd w:val="clear" w:color="auto" w:fill="auto"/>
            <w:noWrap/>
            <w:hideMark/>
          </w:tcPr>
          <w:p w14:paraId="317615E5" w14:textId="77777777" w:rsidR="000069B7" w:rsidRPr="000717A9" w:rsidRDefault="000069B7" w:rsidP="004A495F">
            <w:pPr>
              <w:spacing w:before="0" w:after="0" w:line="480" w:lineRule="auto"/>
              <w:rPr>
                <w:rFonts w:eastAsia="Times New Roman" w:cs="Arial"/>
                <w:color w:val="000000"/>
                <w:szCs w:val="24"/>
                <w:vertAlign w:val="superscript"/>
                <w:lang w:val="en-US" w:eastAsia="en-GB"/>
              </w:rPr>
            </w:pPr>
            <w:r w:rsidRPr="00B026C7">
              <w:rPr>
                <w:rFonts w:eastAsia="Times New Roman" w:cs="Arial"/>
                <w:color w:val="000000"/>
                <w:szCs w:val="24"/>
                <w:lang w:val="en-US" w:eastAsia="en-GB"/>
              </w:rPr>
              <w:t>Neutropenia</w:t>
            </w:r>
          </w:p>
        </w:tc>
        <w:tc>
          <w:tcPr>
            <w:tcW w:w="2126" w:type="dxa"/>
            <w:tcBorders>
              <w:bottom w:val="single" w:sz="4" w:space="0" w:color="auto"/>
            </w:tcBorders>
            <w:shd w:val="clear" w:color="auto" w:fill="auto"/>
            <w:noWrap/>
            <w:hideMark/>
          </w:tcPr>
          <w:p w14:paraId="1A32BABA" w14:textId="77777777" w:rsidR="000069B7" w:rsidRPr="000717A9" w:rsidRDefault="000069B7" w:rsidP="004A495F">
            <w:pPr>
              <w:spacing w:before="0" w:after="0" w:line="480" w:lineRule="auto"/>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 (0.7)</w:t>
            </w:r>
            <w:r>
              <w:rPr>
                <w:rFonts w:eastAsia="Times New Roman" w:cs="Arial"/>
                <w:color w:val="000000"/>
                <w:szCs w:val="24"/>
                <w:vertAlign w:val="superscript"/>
                <w:lang w:val="en-US" w:eastAsia="en-GB"/>
              </w:rPr>
              <w:t>a</w:t>
            </w:r>
          </w:p>
        </w:tc>
        <w:tc>
          <w:tcPr>
            <w:tcW w:w="2127" w:type="dxa"/>
            <w:tcBorders>
              <w:bottom w:val="single" w:sz="4" w:space="0" w:color="auto"/>
            </w:tcBorders>
            <w:shd w:val="clear" w:color="auto" w:fill="auto"/>
            <w:noWrap/>
            <w:hideMark/>
          </w:tcPr>
          <w:p w14:paraId="27321E74" w14:textId="77777777" w:rsidR="000069B7" w:rsidRPr="000717A9" w:rsidRDefault="000069B7" w:rsidP="004A495F">
            <w:pPr>
              <w:spacing w:before="0" w:after="0" w:line="480" w:lineRule="auto"/>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 (0.7)</w:t>
            </w:r>
            <w:r>
              <w:rPr>
                <w:rFonts w:eastAsia="Times New Roman" w:cs="Arial"/>
                <w:color w:val="000000"/>
                <w:szCs w:val="24"/>
                <w:vertAlign w:val="superscript"/>
                <w:lang w:val="en-US" w:eastAsia="en-GB"/>
              </w:rPr>
              <w:t>a</w:t>
            </w:r>
          </w:p>
        </w:tc>
      </w:tr>
      <w:tr w:rsidR="000069B7" w:rsidRPr="00B026C7" w14:paraId="50FE1159" w14:textId="77777777" w:rsidTr="004A495F">
        <w:trPr>
          <w:trHeight w:val="563"/>
        </w:trPr>
        <w:tc>
          <w:tcPr>
            <w:tcW w:w="4678" w:type="dxa"/>
            <w:tcBorders>
              <w:top w:val="single" w:sz="4" w:space="0" w:color="auto"/>
              <w:bottom w:val="single" w:sz="4" w:space="0" w:color="auto"/>
            </w:tcBorders>
            <w:shd w:val="clear" w:color="auto" w:fill="auto"/>
            <w:noWrap/>
          </w:tcPr>
          <w:p w14:paraId="194D18EC" w14:textId="77777777" w:rsidR="000069B7" w:rsidRPr="00B026C7" w:rsidRDefault="000069B7" w:rsidP="004A495F">
            <w:pPr>
              <w:spacing w:before="0" w:after="0" w:line="480" w:lineRule="auto"/>
              <w:ind w:left="323"/>
              <w:rPr>
                <w:rFonts w:eastAsia="Times New Roman" w:cs="Arial"/>
                <w:color w:val="000000"/>
                <w:szCs w:val="24"/>
                <w:lang w:val="en-US" w:eastAsia="en-GB"/>
              </w:rPr>
            </w:pPr>
            <w:r w:rsidRPr="00B026C7">
              <w:rPr>
                <w:rFonts w:eastAsia="Times New Roman" w:cs="Arial"/>
                <w:color w:val="000000"/>
                <w:szCs w:val="24"/>
                <w:lang w:val="en-US" w:eastAsia="en-GB"/>
              </w:rPr>
              <w:t>Study drug-related</w:t>
            </w:r>
          </w:p>
        </w:tc>
        <w:tc>
          <w:tcPr>
            <w:tcW w:w="2126" w:type="dxa"/>
            <w:tcBorders>
              <w:top w:val="single" w:sz="4" w:space="0" w:color="auto"/>
              <w:bottom w:val="single" w:sz="4" w:space="0" w:color="auto"/>
            </w:tcBorders>
            <w:shd w:val="clear" w:color="auto" w:fill="auto"/>
            <w:noWrap/>
          </w:tcPr>
          <w:p w14:paraId="3DC1C2FE" w14:textId="77777777" w:rsidR="000069B7" w:rsidRPr="000717A9" w:rsidRDefault="000069B7" w:rsidP="004A495F">
            <w:pPr>
              <w:spacing w:before="0" w:after="0" w:line="480" w:lineRule="auto"/>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 (0.7)</w:t>
            </w:r>
            <w:r>
              <w:rPr>
                <w:rFonts w:eastAsia="Times New Roman" w:cs="Arial"/>
                <w:color w:val="000000"/>
                <w:szCs w:val="24"/>
                <w:vertAlign w:val="superscript"/>
                <w:lang w:val="en-US" w:eastAsia="en-GB"/>
              </w:rPr>
              <w:t>a</w:t>
            </w:r>
          </w:p>
        </w:tc>
        <w:tc>
          <w:tcPr>
            <w:tcW w:w="2127" w:type="dxa"/>
            <w:tcBorders>
              <w:top w:val="single" w:sz="4" w:space="0" w:color="auto"/>
              <w:bottom w:val="single" w:sz="4" w:space="0" w:color="auto"/>
            </w:tcBorders>
            <w:shd w:val="clear" w:color="auto" w:fill="auto"/>
            <w:noWrap/>
          </w:tcPr>
          <w:p w14:paraId="4D625906" w14:textId="77777777" w:rsidR="000069B7" w:rsidRPr="000717A9" w:rsidRDefault="000069B7" w:rsidP="004A495F">
            <w:pPr>
              <w:spacing w:before="0" w:after="0" w:line="480" w:lineRule="auto"/>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 (0.7)</w:t>
            </w:r>
            <w:r>
              <w:rPr>
                <w:rFonts w:eastAsia="Times New Roman" w:cs="Arial"/>
                <w:color w:val="000000"/>
                <w:szCs w:val="24"/>
                <w:vertAlign w:val="superscript"/>
                <w:lang w:val="en-US" w:eastAsia="en-GB"/>
              </w:rPr>
              <w:t>a</w:t>
            </w:r>
          </w:p>
        </w:tc>
      </w:tr>
      <w:tr w:rsidR="000069B7" w:rsidRPr="00B026C7" w14:paraId="508F41B3" w14:textId="77777777" w:rsidTr="004A495F">
        <w:trPr>
          <w:trHeight w:val="563"/>
        </w:trPr>
        <w:tc>
          <w:tcPr>
            <w:tcW w:w="4678" w:type="dxa"/>
            <w:shd w:val="clear" w:color="auto" w:fill="auto"/>
            <w:noWrap/>
            <w:hideMark/>
          </w:tcPr>
          <w:p w14:paraId="3DEC58D3"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White blood cell count decreased</w:t>
            </w:r>
          </w:p>
        </w:tc>
        <w:tc>
          <w:tcPr>
            <w:tcW w:w="2126" w:type="dxa"/>
            <w:shd w:val="clear" w:color="auto" w:fill="auto"/>
            <w:noWrap/>
            <w:hideMark/>
          </w:tcPr>
          <w:p w14:paraId="2F187A29"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127" w:type="dxa"/>
            <w:shd w:val="clear" w:color="auto" w:fill="auto"/>
            <w:noWrap/>
            <w:hideMark/>
          </w:tcPr>
          <w:p w14:paraId="591332C3"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r w:rsidR="000069B7" w:rsidRPr="00B026C7" w14:paraId="7F873879" w14:textId="77777777" w:rsidTr="004A495F">
        <w:trPr>
          <w:trHeight w:val="563"/>
        </w:trPr>
        <w:tc>
          <w:tcPr>
            <w:tcW w:w="4678" w:type="dxa"/>
            <w:shd w:val="clear" w:color="auto" w:fill="auto"/>
            <w:noWrap/>
          </w:tcPr>
          <w:p w14:paraId="22D84838" w14:textId="77777777" w:rsidR="000069B7" w:rsidRPr="00B026C7" w:rsidRDefault="000069B7" w:rsidP="004A495F">
            <w:pPr>
              <w:spacing w:before="0" w:after="0" w:line="480" w:lineRule="auto"/>
              <w:ind w:left="323"/>
              <w:rPr>
                <w:rFonts w:eastAsia="Times New Roman" w:cs="Arial"/>
                <w:color w:val="000000"/>
                <w:szCs w:val="24"/>
                <w:lang w:val="en-US" w:eastAsia="en-GB"/>
              </w:rPr>
            </w:pPr>
            <w:r w:rsidRPr="00B026C7">
              <w:rPr>
                <w:rFonts w:eastAsia="Times New Roman" w:cs="Arial"/>
                <w:color w:val="000000"/>
                <w:szCs w:val="24"/>
                <w:lang w:val="en-US" w:eastAsia="en-GB"/>
              </w:rPr>
              <w:t>Study drug-related</w:t>
            </w:r>
          </w:p>
        </w:tc>
        <w:tc>
          <w:tcPr>
            <w:tcW w:w="2126" w:type="dxa"/>
            <w:shd w:val="clear" w:color="auto" w:fill="auto"/>
            <w:noWrap/>
          </w:tcPr>
          <w:p w14:paraId="5E575E2A"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127" w:type="dxa"/>
            <w:shd w:val="clear" w:color="auto" w:fill="auto"/>
            <w:noWrap/>
          </w:tcPr>
          <w:p w14:paraId="58C45895"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r w:rsidR="000069B7" w:rsidRPr="00B026C7" w14:paraId="6C6757A9" w14:textId="77777777" w:rsidTr="004A495F">
        <w:trPr>
          <w:trHeight w:val="563"/>
        </w:trPr>
        <w:tc>
          <w:tcPr>
            <w:tcW w:w="4678" w:type="dxa"/>
            <w:shd w:val="clear" w:color="auto" w:fill="auto"/>
            <w:noWrap/>
          </w:tcPr>
          <w:p w14:paraId="018E6CD4"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Blood pressure increased</w:t>
            </w:r>
          </w:p>
        </w:tc>
        <w:tc>
          <w:tcPr>
            <w:tcW w:w="2126" w:type="dxa"/>
            <w:shd w:val="clear" w:color="auto" w:fill="auto"/>
            <w:noWrap/>
          </w:tcPr>
          <w:p w14:paraId="4FF19FA9"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127" w:type="dxa"/>
            <w:shd w:val="clear" w:color="auto" w:fill="auto"/>
            <w:noWrap/>
          </w:tcPr>
          <w:p w14:paraId="0386FB67"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r w:rsidR="000069B7" w:rsidRPr="00B026C7" w14:paraId="46687F1C" w14:textId="77777777" w:rsidTr="004A495F">
        <w:trPr>
          <w:trHeight w:val="563"/>
        </w:trPr>
        <w:tc>
          <w:tcPr>
            <w:tcW w:w="4678" w:type="dxa"/>
            <w:shd w:val="clear" w:color="auto" w:fill="auto"/>
            <w:noWrap/>
          </w:tcPr>
          <w:p w14:paraId="539AE5E7" w14:textId="77777777" w:rsidR="000069B7" w:rsidRPr="00B026C7" w:rsidRDefault="000069B7" w:rsidP="004A495F">
            <w:pPr>
              <w:spacing w:before="0" w:after="0" w:line="480" w:lineRule="auto"/>
              <w:ind w:left="323"/>
              <w:rPr>
                <w:rFonts w:eastAsia="Times New Roman" w:cs="Arial"/>
                <w:color w:val="000000"/>
                <w:szCs w:val="24"/>
                <w:lang w:val="en-US" w:eastAsia="en-GB"/>
              </w:rPr>
            </w:pPr>
            <w:r w:rsidRPr="00B026C7">
              <w:rPr>
                <w:rFonts w:eastAsia="Times New Roman" w:cs="Arial"/>
                <w:color w:val="000000"/>
                <w:szCs w:val="24"/>
                <w:lang w:val="en-US" w:eastAsia="en-GB"/>
              </w:rPr>
              <w:t>Study drug-related</w:t>
            </w:r>
          </w:p>
        </w:tc>
        <w:tc>
          <w:tcPr>
            <w:tcW w:w="2126" w:type="dxa"/>
            <w:shd w:val="clear" w:color="auto" w:fill="auto"/>
            <w:noWrap/>
          </w:tcPr>
          <w:p w14:paraId="7872C454"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127" w:type="dxa"/>
            <w:shd w:val="clear" w:color="auto" w:fill="auto"/>
            <w:noWrap/>
          </w:tcPr>
          <w:p w14:paraId="65E2BC8E"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r w:rsidR="000069B7" w:rsidRPr="00B026C7" w14:paraId="58030AC5" w14:textId="77777777" w:rsidTr="004A495F">
        <w:trPr>
          <w:trHeight w:val="563"/>
        </w:trPr>
        <w:tc>
          <w:tcPr>
            <w:tcW w:w="4678" w:type="dxa"/>
            <w:shd w:val="clear" w:color="auto" w:fill="auto"/>
            <w:noWrap/>
            <w:hideMark/>
          </w:tcPr>
          <w:p w14:paraId="31E121C0"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Alanine aminotransferase increased</w:t>
            </w:r>
          </w:p>
        </w:tc>
        <w:tc>
          <w:tcPr>
            <w:tcW w:w="2126" w:type="dxa"/>
            <w:shd w:val="clear" w:color="auto" w:fill="auto"/>
            <w:noWrap/>
            <w:hideMark/>
          </w:tcPr>
          <w:p w14:paraId="24D88EA8"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127" w:type="dxa"/>
            <w:shd w:val="clear" w:color="auto" w:fill="auto"/>
            <w:noWrap/>
            <w:hideMark/>
          </w:tcPr>
          <w:p w14:paraId="22E57696" w14:textId="77777777" w:rsidR="000069B7" w:rsidRPr="000717A9" w:rsidRDefault="000069B7" w:rsidP="004A495F">
            <w:pPr>
              <w:spacing w:before="0" w:after="0" w:line="480" w:lineRule="auto"/>
              <w:jc w:val="center"/>
              <w:rPr>
                <w:rFonts w:eastAsia="Times New Roman" w:cs="Arial"/>
                <w:color w:val="000000"/>
                <w:szCs w:val="24"/>
                <w:vertAlign w:val="superscript"/>
                <w:lang w:val="en-US" w:eastAsia="en-GB"/>
              </w:rPr>
            </w:pPr>
            <w:r w:rsidRPr="00B026C7">
              <w:rPr>
                <w:rFonts w:eastAsia="Times New Roman" w:cs="Arial"/>
                <w:color w:val="000000"/>
                <w:szCs w:val="24"/>
                <w:lang w:val="en-US" w:eastAsia="en-GB"/>
              </w:rPr>
              <w:t>1 (0.7)</w:t>
            </w:r>
            <w:r>
              <w:rPr>
                <w:rFonts w:eastAsia="Times New Roman" w:cs="Arial"/>
                <w:color w:val="000000"/>
                <w:szCs w:val="24"/>
                <w:vertAlign w:val="superscript"/>
                <w:lang w:val="en-US" w:eastAsia="en-GB"/>
              </w:rPr>
              <w:t>a</w:t>
            </w:r>
          </w:p>
        </w:tc>
      </w:tr>
      <w:tr w:rsidR="000069B7" w:rsidRPr="00B026C7" w14:paraId="05946644" w14:textId="77777777" w:rsidTr="004A495F">
        <w:trPr>
          <w:trHeight w:val="563"/>
        </w:trPr>
        <w:tc>
          <w:tcPr>
            <w:tcW w:w="4678" w:type="dxa"/>
            <w:shd w:val="clear" w:color="auto" w:fill="auto"/>
            <w:noWrap/>
          </w:tcPr>
          <w:p w14:paraId="07C0FCD7" w14:textId="77777777" w:rsidR="000069B7" w:rsidRPr="00B026C7" w:rsidRDefault="000069B7" w:rsidP="004A495F">
            <w:pPr>
              <w:spacing w:before="0" w:after="0" w:line="480" w:lineRule="auto"/>
              <w:ind w:left="323"/>
              <w:rPr>
                <w:rFonts w:eastAsia="Times New Roman" w:cs="Arial"/>
                <w:color w:val="000000"/>
                <w:szCs w:val="24"/>
                <w:lang w:val="en-US" w:eastAsia="en-GB"/>
              </w:rPr>
            </w:pPr>
            <w:r w:rsidRPr="00B026C7">
              <w:rPr>
                <w:rFonts w:eastAsia="Times New Roman" w:cs="Arial"/>
                <w:color w:val="000000"/>
                <w:szCs w:val="24"/>
                <w:lang w:val="en-US" w:eastAsia="en-GB"/>
              </w:rPr>
              <w:t>Study drug-related</w:t>
            </w:r>
          </w:p>
        </w:tc>
        <w:tc>
          <w:tcPr>
            <w:tcW w:w="2126" w:type="dxa"/>
            <w:shd w:val="clear" w:color="auto" w:fill="auto"/>
            <w:noWrap/>
          </w:tcPr>
          <w:p w14:paraId="11B06C58"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127" w:type="dxa"/>
            <w:shd w:val="clear" w:color="auto" w:fill="auto"/>
            <w:noWrap/>
          </w:tcPr>
          <w:p w14:paraId="38393433"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r>
      <w:tr w:rsidR="000069B7" w:rsidRPr="00B026C7" w14:paraId="05782EA2" w14:textId="77777777" w:rsidTr="004A495F">
        <w:trPr>
          <w:trHeight w:val="563"/>
        </w:trPr>
        <w:tc>
          <w:tcPr>
            <w:tcW w:w="4678" w:type="dxa"/>
            <w:tcBorders>
              <w:bottom w:val="single" w:sz="4" w:space="0" w:color="auto"/>
            </w:tcBorders>
            <w:shd w:val="clear" w:color="auto" w:fill="auto"/>
            <w:noWrap/>
            <w:hideMark/>
          </w:tcPr>
          <w:p w14:paraId="2923FB19"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Headache</w:t>
            </w:r>
          </w:p>
        </w:tc>
        <w:tc>
          <w:tcPr>
            <w:tcW w:w="2126" w:type="dxa"/>
            <w:tcBorders>
              <w:bottom w:val="single" w:sz="4" w:space="0" w:color="auto"/>
            </w:tcBorders>
            <w:shd w:val="clear" w:color="auto" w:fill="auto"/>
            <w:noWrap/>
            <w:hideMark/>
          </w:tcPr>
          <w:p w14:paraId="6464B0FE"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127" w:type="dxa"/>
            <w:tcBorders>
              <w:bottom w:val="single" w:sz="4" w:space="0" w:color="auto"/>
            </w:tcBorders>
            <w:shd w:val="clear" w:color="auto" w:fill="auto"/>
            <w:noWrap/>
            <w:hideMark/>
          </w:tcPr>
          <w:p w14:paraId="05E6E1FC"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r w:rsidR="000069B7" w:rsidRPr="00B026C7" w14:paraId="2AEB7EE7" w14:textId="77777777" w:rsidTr="004A495F">
        <w:trPr>
          <w:trHeight w:val="563"/>
        </w:trPr>
        <w:tc>
          <w:tcPr>
            <w:tcW w:w="4678" w:type="dxa"/>
            <w:tcBorders>
              <w:top w:val="single" w:sz="4" w:space="0" w:color="auto"/>
              <w:bottom w:val="single" w:sz="4" w:space="0" w:color="auto"/>
            </w:tcBorders>
            <w:shd w:val="clear" w:color="auto" w:fill="auto"/>
            <w:noWrap/>
          </w:tcPr>
          <w:p w14:paraId="6EA1A529" w14:textId="77777777" w:rsidR="000069B7" w:rsidRPr="00B026C7" w:rsidRDefault="000069B7" w:rsidP="004A495F">
            <w:pPr>
              <w:spacing w:before="0" w:after="0" w:line="480" w:lineRule="auto"/>
              <w:ind w:left="323"/>
              <w:rPr>
                <w:rFonts w:eastAsia="Times New Roman" w:cs="Arial"/>
                <w:color w:val="000000"/>
                <w:szCs w:val="24"/>
                <w:lang w:val="en-US" w:eastAsia="en-GB"/>
              </w:rPr>
            </w:pPr>
            <w:r w:rsidRPr="00B026C7">
              <w:rPr>
                <w:rFonts w:eastAsia="Times New Roman" w:cs="Arial"/>
                <w:color w:val="000000"/>
                <w:szCs w:val="24"/>
                <w:lang w:val="en-US" w:eastAsia="en-GB"/>
              </w:rPr>
              <w:t>Study drug-related</w:t>
            </w:r>
          </w:p>
        </w:tc>
        <w:tc>
          <w:tcPr>
            <w:tcW w:w="2126" w:type="dxa"/>
            <w:tcBorders>
              <w:top w:val="single" w:sz="4" w:space="0" w:color="auto"/>
              <w:bottom w:val="single" w:sz="4" w:space="0" w:color="auto"/>
            </w:tcBorders>
            <w:shd w:val="clear" w:color="auto" w:fill="auto"/>
            <w:noWrap/>
          </w:tcPr>
          <w:p w14:paraId="4A4A0B75"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127" w:type="dxa"/>
            <w:tcBorders>
              <w:top w:val="single" w:sz="4" w:space="0" w:color="auto"/>
              <w:bottom w:val="single" w:sz="4" w:space="0" w:color="auto"/>
            </w:tcBorders>
            <w:shd w:val="clear" w:color="auto" w:fill="auto"/>
            <w:noWrap/>
          </w:tcPr>
          <w:p w14:paraId="15A66132"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bl>
    <w:p w14:paraId="27701F30" w14:textId="77777777" w:rsidR="000069B7" w:rsidRDefault="000069B7" w:rsidP="000069B7">
      <w:pPr>
        <w:spacing w:line="480" w:lineRule="auto"/>
        <w:rPr>
          <w:lang w:val="en-US"/>
        </w:rPr>
      </w:pPr>
      <w:r>
        <w:rPr>
          <w:vertAlign w:val="superscript"/>
          <w:lang w:val="en-US"/>
        </w:rPr>
        <w:t>a</w:t>
      </w:r>
      <w:r>
        <w:rPr>
          <w:lang w:val="en-US"/>
        </w:rPr>
        <w:t>Grade 4 in intensity.</w:t>
      </w:r>
    </w:p>
    <w:p w14:paraId="136941EB" w14:textId="77777777" w:rsidR="000069B7" w:rsidRPr="00AE6298" w:rsidRDefault="000069B7" w:rsidP="000069B7">
      <w:pPr>
        <w:spacing w:line="480" w:lineRule="auto"/>
        <w:rPr>
          <w:lang w:val="en-US"/>
        </w:rPr>
      </w:pPr>
      <w:r>
        <w:rPr>
          <w:vertAlign w:val="superscript"/>
          <w:lang w:val="en-US"/>
        </w:rPr>
        <w:t>b</w:t>
      </w:r>
      <w:r>
        <w:rPr>
          <w:lang w:val="en-US"/>
        </w:rPr>
        <w:t>Grade 4 in intensity for 1 (0.7%) participant; the event was not considered related to study drug.</w:t>
      </w:r>
    </w:p>
    <w:p w14:paraId="481280CE" w14:textId="77777777" w:rsidR="000069B7" w:rsidRPr="00B026C7" w:rsidRDefault="000069B7" w:rsidP="000069B7">
      <w:pPr>
        <w:spacing w:line="480" w:lineRule="auto"/>
        <w:rPr>
          <w:lang w:val="en-US"/>
        </w:rPr>
      </w:pPr>
      <w:r w:rsidRPr="00B026C7">
        <w:rPr>
          <w:lang w:val="en-US"/>
        </w:rPr>
        <w:lastRenderedPageBreak/>
        <w:t xml:space="preserve">EU-tocilizumab = European Union-approved reference tocilizumab. TEAE = treatment-emergent adverse event. </w:t>
      </w:r>
    </w:p>
    <w:p w14:paraId="08E42DAA" w14:textId="77777777" w:rsidR="000069B7" w:rsidRPr="00B026C7" w:rsidRDefault="000069B7" w:rsidP="000069B7">
      <w:pPr>
        <w:spacing w:before="0" w:after="160" w:line="259" w:lineRule="auto"/>
        <w:rPr>
          <w:rFonts w:cs="Arial"/>
          <w:b/>
          <w:bCs/>
          <w:lang w:val="en-US"/>
        </w:rPr>
      </w:pPr>
      <w:r w:rsidRPr="00B026C7">
        <w:rPr>
          <w:rFonts w:cs="Arial"/>
          <w:b/>
          <w:bCs/>
          <w:lang w:val="en-US"/>
        </w:rPr>
        <w:br w:type="page"/>
      </w:r>
    </w:p>
    <w:p w14:paraId="34B88988" w14:textId="42E328A7" w:rsidR="000069B7" w:rsidRPr="00B026C7" w:rsidRDefault="000069B7" w:rsidP="000069B7">
      <w:pPr>
        <w:pStyle w:val="Heading2"/>
        <w:spacing w:line="480" w:lineRule="auto"/>
      </w:pPr>
      <w:bookmarkStart w:id="20" w:name="_Toc130216899"/>
      <w:r w:rsidRPr="00B026C7">
        <w:lastRenderedPageBreak/>
        <w:t xml:space="preserve">Supplementary Table </w:t>
      </w:r>
      <w:r>
        <w:t>9</w:t>
      </w:r>
      <w:r w:rsidRPr="00B026C7">
        <w:t xml:space="preserve">. </w:t>
      </w:r>
      <w:r w:rsidRPr="00B026C7">
        <w:rPr>
          <w:b w:val="0"/>
          <w:bCs w:val="0"/>
        </w:rPr>
        <w:t xml:space="preserve">Hematology and clinical chemistry </w:t>
      </w:r>
      <w:r>
        <w:rPr>
          <w:b w:val="0"/>
          <w:bCs w:val="0"/>
        </w:rPr>
        <w:t>variables</w:t>
      </w:r>
      <w:r w:rsidRPr="00B026C7">
        <w:rPr>
          <w:b w:val="0"/>
          <w:bCs w:val="0"/>
        </w:rPr>
        <w:t xml:space="preserve"> of CTCAE grade ≥3 in intensity (safety set</w:t>
      </w:r>
      <w:r>
        <w:rPr>
          <w:b w:val="0"/>
          <w:bCs w:val="0"/>
        </w:rPr>
        <w:t>; Part 2</w:t>
      </w:r>
      <w:r w:rsidRPr="00B026C7">
        <w:rPr>
          <w:b w:val="0"/>
          <w:bCs w:val="0"/>
        </w:rPr>
        <w:t>).</w:t>
      </w:r>
      <w:bookmarkEnd w:id="20"/>
    </w:p>
    <w:tbl>
      <w:tblPr>
        <w:tblW w:w="8931" w:type="dxa"/>
        <w:tblBorders>
          <w:insideH w:val="single" w:sz="4" w:space="0" w:color="auto"/>
        </w:tblBorders>
        <w:tblLayout w:type="fixed"/>
        <w:tblLook w:val="04A0" w:firstRow="1" w:lastRow="0" w:firstColumn="1" w:lastColumn="0" w:noHBand="0" w:noVBand="1"/>
      </w:tblPr>
      <w:tblGrid>
        <w:gridCol w:w="4759"/>
        <w:gridCol w:w="2086"/>
        <w:gridCol w:w="2086"/>
      </w:tblGrid>
      <w:tr w:rsidR="000069B7" w:rsidRPr="00B026C7" w14:paraId="191FCA70" w14:textId="77777777" w:rsidTr="004A495F">
        <w:trPr>
          <w:trHeight w:val="547"/>
        </w:trPr>
        <w:tc>
          <w:tcPr>
            <w:tcW w:w="4759" w:type="dxa"/>
            <w:tcBorders>
              <w:top w:val="single" w:sz="4" w:space="0" w:color="auto"/>
              <w:bottom w:val="single" w:sz="4" w:space="0" w:color="auto"/>
            </w:tcBorders>
            <w:shd w:val="clear" w:color="auto" w:fill="auto"/>
            <w:noWrap/>
            <w:hideMark/>
          </w:tcPr>
          <w:p w14:paraId="2680F7C8" w14:textId="77777777" w:rsidR="000069B7" w:rsidRPr="00B026C7" w:rsidRDefault="000069B7" w:rsidP="004A495F">
            <w:pPr>
              <w:spacing w:before="0" w:after="0" w:line="480" w:lineRule="auto"/>
              <w:rPr>
                <w:rFonts w:eastAsia="Times New Roman" w:cs="Arial"/>
                <w:b/>
                <w:bCs/>
                <w:color w:val="000000"/>
                <w:szCs w:val="24"/>
                <w:lang w:val="en-US" w:eastAsia="en-GB"/>
              </w:rPr>
            </w:pPr>
            <w:r w:rsidRPr="00B026C7">
              <w:rPr>
                <w:rFonts w:eastAsia="Times New Roman" w:cs="Arial"/>
                <w:b/>
                <w:bCs/>
                <w:color w:val="000000"/>
                <w:szCs w:val="24"/>
                <w:lang w:val="en-US" w:eastAsia="en-GB"/>
              </w:rPr>
              <w:t>Participants, n (%)</w:t>
            </w:r>
          </w:p>
        </w:tc>
        <w:tc>
          <w:tcPr>
            <w:tcW w:w="2086" w:type="dxa"/>
            <w:tcBorders>
              <w:top w:val="single" w:sz="4" w:space="0" w:color="auto"/>
              <w:bottom w:val="single" w:sz="4" w:space="0" w:color="auto"/>
            </w:tcBorders>
            <w:shd w:val="clear" w:color="auto" w:fill="auto"/>
            <w:noWrap/>
            <w:hideMark/>
          </w:tcPr>
          <w:p w14:paraId="3CAE712C" w14:textId="77777777" w:rsidR="000069B7" w:rsidRPr="00B026C7" w:rsidRDefault="000069B7" w:rsidP="004A495F">
            <w:pPr>
              <w:spacing w:before="0" w:after="0" w:line="480" w:lineRule="auto"/>
              <w:jc w:val="center"/>
              <w:rPr>
                <w:rFonts w:eastAsia="Times New Roman" w:cs="Arial"/>
                <w:b/>
                <w:bCs/>
                <w:color w:val="000000"/>
                <w:szCs w:val="24"/>
                <w:lang w:val="en-US" w:eastAsia="en-GB"/>
              </w:rPr>
            </w:pPr>
            <w:r w:rsidRPr="00B026C7">
              <w:rPr>
                <w:rFonts w:eastAsia="Times New Roman" w:cs="Arial"/>
                <w:b/>
                <w:bCs/>
                <w:color w:val="000000"/>
                <w:szCs w:val="24"/>
                <w:lang w:val="en-US" w:eastAsia="en-GB"/>
              </w:rPr>
              <w:t xml:space="preserve">CT-P47 </w:t>
            </w:r>
            <w:r w:rsidRPr="00B026C7">
              <w:rPr>
                <w:rFonts w:eastAsia="Times New Roman" w:cs="Arial"/>
                <w:b/>
                <w:bCs/>
                <w:color w:val="000000"/>
                <w:szCs w:val="24"/>
                <w:lang w:val="en-US" w:eastAsia="en-GB"/>
              </w:rPr>
              <w:br/>
              <w:t>(N=144)</w:t>
            </w:r>
          </w:p>
        </w:tc>
        <w:tc>
          <w:tcPr>
            <w:tcW w:w="2086" w:type="dxa"/>
            <w:tcBorders>
              <w:top w:val="single" w:sz="4" w:space="0" w:color="auto"/>
              <w:bottom w:val="single" w:sz="4" w:space="0" w:color="auto"/>
            </w:tcBorders>
            <w:shd w:val="clear" w:color="auto" w:fill="auto"/>
            <w:noWrap/>
            <w:hideMark/>
          </w:tcPr>
          <w:p w14:paraId="0B3883B3" w14:textId="77777777" w:rsidR="000069B7" w:rsidRPr="00B026C7" w:rsidRDefault="000069B7" w:rsidP="004A495F">
            <w:pPr>
              <w:spacing w:before="0" w:after="0" w:line="480" w:lineRule="auto"/>
              <w:jc w:val="center"/>
              <w:rPr>
                <w:rFonts w:eastAsia="Times New Roman" w:cs="Arial"/>
                <w:b/>
                <w:bCs/>
                <w:color w:val="000000"/>
                <w:szCs w:val="24"/>
                <w:lang w:val="en-US" w:eastAsia="en-GB"/>
              </w:rPr>
            </w:pPr>
            <w:r w:rsidRPr="00B026C7">
              <w:rPr>
                <w:rFonts w:eastAsia="Times New Roman" w:cs="Arial"/>
                <w:b/>
                <w:bCs/>
                <w:color w:val="000000"/>
                <w:szCs w:val="24"/>
                <w:lang w:val="en-US" w:eastAsia="en-GB"/>
              </w:rPr>
              <w:t xml:space="preserve">EU-tocilizumab </w:t>
            </w:r>
          </w:p>
          <w:p w14:paraId="12210DEC" w14:textId="77777777" w:rsidR="000069B7" w:rsidRPr="00B026C7" w:rsidRDefault="000069B7" w:rsidP="004A495F">
            <w:pPr>
              <w:spacing w:before="0" w:after="0" w:line="480" w:lineRule="auto"/>
              <w:jc w:val="center"/>
              <w:rPr>
                <w:rFonts w:eastAsia="Times New Roman" w:cs="Arial"/>
                <w:b/>
                <w:bCs/>
                <w:color w:val="000000"/>
                <w:szCs w:val="24"/>
                <w:lang w:val="en-US" w:eastAsia="en-GB"/>
              </w:rPr>
            </w:pPr>
            <w:r w:rsidRPr="00B026C7">
              <w:rPr>
                <w:rFonts w:eastAsia="Times New Roman" w:cs="Arial"/>
                <w:b/>
                <w:bCs/>
                <w:color w:val="000000"/>
                <w:szCs w:val="24"/>
                <w:lang w:val="en-US" w:eastAsia="en-GB"/>
              </w:rPr>
              <w:t>(N=140)</w:t>
            </w:r>
          </w:p>
        </w:tc>
      </w:tr>
      <w:tr w:rsidR="000069B7" w:rsidRPr="00B026C7" w14:paraId="7346A4E3" w14:textId="77777777" w:rsidTr="004A495F">
        <w:trPr>
          <w:trHeight w:val="547"/>
        </w:trPr>
        <w:tc>
          <w:tcPr>
            <w:tcW w:w="4759" w:type="dxa"/>
            <w:tcBorders>
              <w:top w:val="single" w:sz="4" w:space="0" w:color="auto"/>
            </w:tcBorders>
            <w:shd w:val="clear" w:color="auto" w:fill="auto"/>
            <w:noWrap/>
            <w:hideMark/>
          </w:tcPr>
          <w:p w14:paraId="73A5EAE6"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White blood cell decreased</w:t>
            </w:r>
          </w:p>
        </w:tc>
        <w:tc>
          <w:tcPr>
            <w:tcW w:w="2086" w:type="dxa"/>
            <w:tcBorders>
              <w:top w:val="single" w:sz="4" w:space="0" w:color="auto"/>
            </w:tcBorders>
            <w:shd w:val="clear" w:color="auto" w:fill="auto"/>
            <w:noWrap/>
            <w:hideMark/>
          </w:tcPr>
          <w:p w14:paraId="3F316CF2"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 (1.4)</w:t>
            </w:r>
          </w:p>
        </w:tc>
        <w:tc>
          <w:tcPr>
            <w:tcW w:w="2086" w:type="dxa"/>
            <w:tcBorders>
              <w:top w:val="single" w:sz="4" w:space="0" w:color="auto"/>
            </w:tcBorders>
            <w:shd w:val="clear" w:color="auto" w:fill="auto"/>
            <w:noWrap/>
            <w:hideMark/>
          </w:tcPr>
          <w:p w14:paraId="662D4F43"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 (1.4)</w:t>
            </w:r>
          </w:p>
        </w:tc>
      </w:tr>
      <w:tr w:rsidR="000069B7" w:rsidRPr="00B026C7" w14:paraId="1BCC7B9E" w14:textId="77777777" w:rsidTr="004A495F">
        <w:trPr>
          <w:trHeight w:val="547"/>
        </w:trPr>
        <w:tc>
          <w:tcPr>
            <w:tcW w:w="4759" w:type="dxa"/>
            <w:shd w:val="clear" w:color="auto" w:fill="auto"/>
            <w:noWrap/>
            <w:hideMark/>
          </w:tcPr>
          <w:p w14:paraId="783099B7"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Neutrophil count decreased</w:t>
            </w:r>
          </w:p>
        </w:tc>
        <w:tc>
          <w:tcPr>
            <w:tcW w:w="2086" w:type="dxa"/>
            <w:shd w:val="clear" w:color="auto" w:fill="auto"/>
            <w:noWrap/>
            <w:hideMark/>
          </w:tcPr>
          <w:p w14:paraId="7B85E80E"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14 (9.7)</w:t>
            </w:r>
          </w:p>
        </w:tc>
        <w:tc>
          <w:tcPr>
            <w:tcW w:w="2086" w:type="dxa"/>
            <w:shd w:val="clear" w:color="auto" w:fill="auto"/>
            <w:noWrap/>
            <w:hideMark/>
          </w:tcPr>
          <w:p w14:paraId="5B24548D"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23 (16.4)</w:t>
            </w:r>
          </w:p>
        </w:tc>
      </w:tr>
      <w:tr w:rsidR="000069B7" w:rsidRPr="00B026C7" w14:paraId="5280C7F0" w14:textId="77777777" w:rsidTr="004A495F">
        <w:trPr>
          <w:trHeight w:val="547"/>
        </w:trPr>
        <w:tc>
          <w:tcPr>
            <w:tcW w:w="4759" w:type="dxa"/>
            <w:shd w:val="clear" w:color="auto" w:fill="auto"/>
            <w:noWrap/>
            <w:hideMark/>
          </w:tcPr>
          <w:p w14:paraId="0EAF2070"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Lymphocyte count decreased</w:t>
            </w:r>
          </w:p>
        </w:tc>
        <w:tc>
          <w:tcPr>
            <w:tcW w:w="2086" w:type="dxa"/>
            <w:shd w:val="clear" w:color="auto" w:fill="auto"/>
            <w:noWrap/>
            <w:hideMark/>
          </w:tcPr>
          <w:p w14:paraId="6F7C1977"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c>
          <w:tcPr>
            <w:tcW w:w="2086" w:type="dxa"/>
            <w:shd w:val="clear" w:color="auto" w:fill="auto"/>
            <w:noWrap/>
            <w:hideMark/>
          </w:tcPr>
          <w:p w14:paraId="06E9CD97"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r>
      <w:tr w:rsidR="000069B7" w:rsidRPr="00B026C7" w14:paraId="3DFC9186" w14:textId="77777777" w:rsidTr="004A495F">
        <w:trPr>
          <w:trHeight w:val="547"/>
        </w:trPr>
        <w:tc>
          <w:tcPr>
            <w:tcW w:w="4759" w:type="dxa"/>
            <w:shd w:val="clear" w:color="auto" w:fill="auto"/>
            <w:noWrap/>
            <w:hideMark/>
          </w:tcPr>
          <w:p w14:paraId="318310DD"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Hypermagnesemia</w:t>
            </w:r>
          </w:p>
        </w:tc>
        <w:tc>
          <w:tcPr>
            <w:tcW w:w="2086" w:type="dxa"/>
            <w:shd w:val="clear" w:color="auto" w:fill="auto"/>
            <w:noWrap/>
            <w:hideMark/>
          </w:tcPr>
          <w:p w14:paraId="0C2ABD7D"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 (1.4)</w:t>
            </w:r>
          </w:p>
        </w:tc>
        <w:tc>
          <w:tcPr>
            <w:tcW w:w="2086" w:type="dxa"/>
            <w:shd w:val="clear" w:color="auto" w:fill="auto"/>
            <w:noWrap/>
            <w:hideMark/>
          </w:tcPr>
          <w:p w14:paraId="5EB417A9"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r>
      <w:tr w:rsidR="000069B7" w:rsidRPr="00B026C7" w14:paraId="51B7FD70" w14:textId="77777777" w:rsidTr="004A495F">
        <w:trPr>
          <w:trHeight w:val="547"/>
        </w:trPr>
        <w:tc>
          <w:tcPr>
            <w:tcW w:w="4759" w:type="dxa"/>
            <w:shd w:val="clear" w:color="auto" w:fill="auto"/>
            <w:noWrap/>
            <w:hideMark/>
          </w:tcPr>
          <w:p w14:paraId="1D67A76F"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Alanine aminotransferase increased</w:t>
            </w:r>
          </w:p>
        </w:tc>
        <w:tc>
          <w:tcPr>
            <w:tcW w:w="2086" w:type="dxa"/>
            <w:shd w:val="clear" w:color="auto" w:fill="auto"/>
            <w:noWrap/>
            <w:hideMark/>
          </w:tcPr>
          <w:p w14:paraId="2C8F1A6D"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0</w:t>
            </w:r>
          </w:p>
        </w:tc>
        <w:tc>
          <w:tcPr>
            <w:tcW w:w="2086" w:type="dxa"/>
            <w:shd w:val="clear" w:color="auto" w:fill="auto"/>
            <w:noWrap/>
            <w:hideMark/>
          </w:tcPr>
          <w:p w14:paraId="08F59DEB"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r>
      <w:tr w:rsidR="000069B7" w:rsidRPr="00B026C7" w14:paraId="6AAA6116" w14:textId="77777777" w:rsidTr="004A495F">
        <w:trPr>
          <w:trHeight w:val="547"/>
        </w:trPr>
        <w:tc>
          <w:tcPr>
            <w:tcW w:w="4759" w:type="dxa"/>
            <w:shd w:val="clear" w:color="auto" w:fill="auto"/>
            <w:noWrap/>
            <w:hideMark/>
          </w:tcPr>
          <w:p w14:paraId="1A828CF4"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Aspartate aminotransferase increased</w:t>
            </w:r>
          </w:p>
        </w:tc>
        <w:tc>
          <w:tcPr>
            <w:tcW w:w="2086" w:type="dxa"/>
            <w:shd w:val="clear" w:color="auto" w:fill="auto"/>
            <w:noWrap/>
            <w:hideMark/>
          </w:tcPr>
          <w:p w14:paraId="1D662943"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1 (0.7)</w:t>
            </w:r>
          </w:p>
        </w:tc>
        <w:tc>
          <w:tcPr>
            <w:tcW w:w="2086" w:type="dxa"/>
            <w:shd w:val="clear" w:color="auto" w:fill="auto"/>
            <w:noWrap/>
            <w:hideMark/>
          </w:tcPr>
          <w:p w14:paraId="7349A0CA"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 (1.4)</w:t>
            </w:r>
          </w:p>
        </w:tc>
      </w:tr>
      <w:tr w:rsidR="000069B7" w:rsidRPr="00B026C7" w14:paraId="47AA6E39" w14:textId="77777777" w:rsidTr="004A495F">
        <w:trPr>
          <w:trHeight w:val="547"/>
        </w:trPr>
        <w:tc>
          <w:tcPr>
            <w:tcW w:w="4759" w:type="dxa"/>
            <w:tcBorders>
              <w:bottom w:val="single" w:sz="4" w:space="0" w:color="auto"/>
            </w:tcBorders>
            <w:shd w:val="clear" w:color="auto" w:fill="auto"/>
            <w:noWrap/>
            <w:hideMark/>
          </w:tcPr>
          <w:p w14:paraId="255B8500"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Creatine phosphokinase increased</w:t>
            </w:r>
          </w:p>
        </w:tc>
        <w:tc>
          <w:tcPr>
            <w:tcW w:w="2086" w:type="dxa"/>
            <w:tcBorders>
              <w:bottom w:val="single" w:sz="4" w:space="0" w:color="auto"/>
            </w:tcBorders>
            <w:shd w:val="clear" w:color="auto" w:fill="auto"/>
            <w:noWrap/>
            <w:hideMark/>
          </w:tcPr>
          <w:p w14:paraId="430A1C14"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7 (4.9)</w:t>
            </w:r>
          </w:p>
        </w:tc>
        <w:tc>
          <w:tcPr>
            <w:tcW w:w="2086" w:type="dxa"/>
            <w:tcBorders>
              <w:bottom w:val="single" w:sz="4" w:space="0" w:color="auto"/>
            </w:tcBorders>
            <w:shd w:val="clear" w:color="auto" w:fill="auto"/>
            <w:noWrap/>
            <w:hideMark/>
          </w:tcPr>
          <w:p w14:paraId="75E40540"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2 (1.4)</w:t>
            </w:r>
          </w:p>
        </w:tc>
      </w:tr>
      <w:tr w:rsidR="000069B7" w:rsidRPr="00B026C7" w14:paraId="5960C88E" w14:textId="77777777" w:rsidTr="004A495F">
        <w:trPr>
          <w:trHeight w:val="547"/>
        </w:trPr>
        <w:tc>
          <w:tcPr>
            <w:tcW w:w="4759" w:type="dxa"/>
            <w:tcBorders>
              <w:top w:val="single" w:sz="4" w:space="0" w:color="auto"/>
              <w:bottom w:val="single" w:sz="4" w:space="0" w:color="auto"/>
            </w:tcBorders>
            <w:shd w:val="clear" w:color="auto" w:fill="auto"/>
            <w:noWrap/>
            <w:hideMark/>
          </w:tcPr>
          <w:p w14:paraId="705351DA" w14:textId="77777777" w:rsidR="000069B7" w:rsidRPr="00B026C7" w:rsidRDefault="000069B7" w:rsidP="004A495F">
            <w:pPr>
              <w:spacing w:before="0" w:after="0" w:line="480" w:lineRule="auto"/>
              <w:rPr>
                <w:rFonts w:eastAsia="Times New Roman" w:cs="Arial"/>
                <w:color w:val="000000"/>
                <w:szCs w:val="24"/>
                <w:lang w:val="en-US" w:eastAsia="en-GB"/>
              </w:rPr>
            </w:pPr>
            <w:r w:rsidRPr="00B026C7">
              <w:rPr>
                <w:rFonts w:eastAsia="Times New Roman" w:cs="Arial"/>
                <w:color w:val="000000"/>
                <w:szCs w:val="24"/>
                <w:lang w:val="en-US" w:eastAsia="en-GB"/>
              </w:rPr>
              <w:t>Hypertriglyceridemia</w:t>
            </w:r>
          </w:p>
        </w:tc>
        <w:tc>
          <w:tcPr>
            <w:tcW w:w="2086" w:type="dxa"/>
            <w:tcBorders>
              <w:top w:val="single" w:sz="4" w:space="0" w:color="auto"/>
              <w:bottom w:val="single" w:sz="4" w:space="0" w:color="auto"/>
            </w:tcBorders>
            <w:shd w:val="clear" w:color="auto" w:fill="auto"/>
            <w:noWrap/>
            <w:hideMark/>
          </w:tcPr>
          <w:p w14:paraId="47780D88"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7 (4.9)</w:t>
            </w:r>
          </w:p>
        </w:tc>
        <w:tc>
          <w:tcPr>
            <w:tcW w:w="2086" w:type="dxa"/>
            <w:tcBorders>
              <w:top w:val="single" w:sz="4" w:space="0" w:color="auto"/>
              <w:bottom w:val="single" w:sz="4" w:space="0" w:color="auto"/>
            </w:tcBorders>
            <w:shd w:val="clear" w:color="auto" w:fill="auto"/>
            <w:noWrap/>
            <w:hideMark/>
          </w:tcPr>
          <w:p w14:paraId="63AC05A0" w14:textId="77777777" w:rsidR="000069B7" w:rsidRPr="00B026C7" w:rsidRDefault="000069B7" w:rsidP="004A495F">
            <w:pPr>
              <w:spacing w:before="0" w:after="0" w:line="480" w:lineRule="auto"/>
              <w:jc w:val="center"/>
              <w:rPr>
                <w:rFonts w:eastAsia="Times New Roman" w:cs="Arial"/>
                <w:color w:val="000000"/>
                <w:szCs w:val="24"/>
                <w:lang w:val="en-US" w:eastAsia="en-GB"/>
              </w:rPr>
            </w:pPr>
            <w:r w:rsidRPr="00B026C7">
              <w:rPr>
                <w:rFonts w:eastAsia="Times New Roman" w:cs="Arial"/>
                <w:color w:val="000000"/>
                <w:szCs w:val="24"/>
                <w:lang w:val="en-US" w:eastAsia="en-GB"/>
              </w:rPr>
              <w:t>4 (2.9)</w:t>
            </w:r>
          </w:p>
        </w:tc>
      </w:tr>
    </w:tbl>
    <w:p w14:paraId="70FACBF8" w14:textId="77777777" w:rsidR="000069B7" w:rsidRPr="00B026C7" w:rsidRDefault="000069B7" w:rsidP="000069B7">
      <w:pPr>
        <w:tabs>
          <w:tab w:val="left" w:pos="1503"/>
        </w:tabs>
        <w:spacing w:line="480" w:lineRule="auto"/>
        <w:rPr>
          <w:lang w:val="en-US"/>
        </w:rPr>
      </w:pPr>
      <w:r w:rsidRPr="00B026C7">
        <w:rPr>
          <w:lang w:val="en-US"/>
        </w:rPr>
        <w:t xml:space="preserve">CTCAE = </w:t>
      </w:r>
      <w:r>
        <w:rPr>
          <w:lang w:val="en-US"/>
        </w:rPr>
        <w:t>C</w:t>
      </w:r>
      <w:r w:rsidRPr="00B026C7">
        <w:rPr>
          <w:lang w:val="en-US"/>
        </w:rPr>
        <w:t xml:space="preserve">ommon </w:t>
      </w:r>
      <w:r>
        <w:rPr>
          <w:lang w:val="en-US"/>
        </w:rPr>
        <w:t>T</w:t>
      </w:r>
      <w:r w:rsidRPr="00B026C7">
        <w:rPr>
          <w:lang w:val="en-US"/>
        </w:rPr>
        <w:t xml:space="preserve">erminology </w:t>
      </w:r>
      <w:r>
        <w:rPr>
          <w:lang w:val="en-US"/>
        </w:rPr>
        <w:t>C</w:t>
      </w:r>
      <w:r w:rsidRPr="00B026C7">
        <w:rPr>
          <w:lang w:val="en-US"/>
        </w:rPr>
        <w:t xml:space="preserve">riteria for </w:t>
      </w:r>
      <w:r>
        <w:rPr>
          <w:lang w:val="en-US"/>
        </w:rPr>
        <w:t>A</w:t>
      </w:r>
      <w:r w:rsidRPr="00B026C7">
        <w:rPr>
          <w:lang w:val="en-US"/>
        </w:rPr>
        <w:t xml:space="preserve">dverse </w:t>
      </w:r>
      <w:r>
        <w:rPr>
          <w:lang w:val="en-US"/>
        </w:rPr>
        <w:t>E</w:t>
      </w:r>
      <w:r w:rsidRPr="00B026C7">
        <w:rPr>
          <w:lang w:val="en-US"/>
        </w:rPr>
        <w:t>vents. EU-tocilizumab = European Union-approved reference tocilizumab.</w:t>
      </w:r>
    </w:p>
    <w:p w14:paraId="606FE7DF" w14:textId="77777777" w:rsidR="000069B7" w:rsidRPr="00F53D27" w:rsidRDefault="000069B7" w:rsidP="000069B7">
      <w:pPr>
        <w:rPr>
          <w:lang w:val="en-US"/>
        </w:rPr>
      </w:pPr>
    </w:p>
    <w:p w14:paraId="1E8E95B3" w14:textId="77777777" w:rsidR="002F524E" w:rsidRDefault="002F524E"/>
    <w:sectPr w:rsidR="002F524E" w:rsidSect="00C45928">
      <w:pgSz w:w="1191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 Bayan">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Light">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586616"/>
      <w:docPartObj>
        <w:docPartGallery w:val="Page Numbers (Bottom of Page)"/>
        <w:docPartUnique/>
      </w:docPartObj>
    </w:sdtPr>
    <w:sdtEndPr>
      <w:rPr>
        <w:noProof/>
      </w:rPr>
    </w:sdtEndPr>
    <w:sdtContent>
      <w:p w14:paraId="525BC924" w14:textId="77777777" w:rsidR="008A53FE"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404DBC" w14:textId="77777777" w:rsidR="00F537B9" w:rsidRDefault="00000000">
    <w:pPr>
      <w:pStyle w:val="BodyText"/>
      <w:spacing w:line="14" w:lineRule="auto"/>
      <w:rPr>
        <w:b w:val="0"/>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363B" w14:textId="77777777" w:rsidR="00F537B9" w:rsidRDefault="00000000">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3620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F4F72"/>
    <w:multiLevelType w:val="multilevel"/>
    <w:tmpl w:val="1F2074CE"/>
    <w:lvl w:ilvl="0">
      <w:start w:val="2"/>
      <w:numFmt w:val="decimal"/>
      <w:lvlText w:val="%1."/>
      <w:lvlJc w:val="left"/>
      <w:pPr>
        <w:ind w:left="360" w:hanging="360"/>
      </w:pPr>
      <w:rPr>
        <w:rFonts w:cs="Courier New"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99071AE"/>
    <w:multiLevelType w:val="hybridMultilevel"/>
    <w:tmpl w:val="0E38FD6E"/>
    <w:lvl w:ilvl="0" w:tplc="522CD604">
      <w:start w:val="70"/>
      <w:numFmt w:val="bullet"/>
      <w:lvlText w:val="-"/>
      <w:lvlJc w:val="left"/>
      <w:pPr>
        <w:ind w:left="760" w:hanging="36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207302D"/>
    <w:multiLevelType w:val="hybridMultilevel"/>
    <w:tmpl w:val="F4BE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B09DF"/>
    <w:multiLevelType w:val="multilevel"/>
    <w:tmpl w:val="A8F2B98E"/>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787204"/>
    <w:multiLevelType w:val="hybridMultilevel"/>
    <w:tmpl w:val="AE86C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375CF"/>
    <w:multiLevelType w:val="hybridMultilevel"/>
    <w:tmpl w:val="BBAE960E"/>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F2002D1"/>
    <w:multiLevelType w:val="hybridMultilevel"/>
    <w:tmpl w:val="7CE6025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01E1341"/>
    <w:multiLevelType w:val="hybridMultilevel"/>
    <w:tmpl w:val="25F0D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D0B30"/>
    <w:multiLevelType w:val="hybridMultilevel"/>
    <w:tmpl w:val="0A48BE8A"/>
    <w:lvl w:ilvl="0" w:tplc="5FB05202">
      <w:start w:val="1"/>
      <w:numFmt w:val="bullet"/>
      <w:pStyle w:val="AspireBullet1"/>
      <w:lvlText w:val=""/>
      <w:lvlJc w:val="left"/>
      <w:pPr>
        <w:ind w:left="360" w:hanging="360"/>
      </w:pPr>
      <w:rPr>
        <w:rFonts w:ascii="Symbol" w:hAnsi="Symbol" w:hint="default"/>
      </w:rPr>
    </w:lvl>
    <w:lvl w:ilvl="1" w:tplc="08090003">
      <w:start w:val="1"/>
      <w:numFmt w:val="bullet"/>
      <w:pStyle w:val="AspireBullet2"/>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163946"/>
    <w:multiLevelType w:val="hybridMultilevel"/>
    <w:tmpl w:val="BF22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B7AC3"/>
    <w:multiLevelType w:val="hybridMultilevel"/>
    <w:tmpl w:val="EDB6F9A6"/>
    <w:lvl w:ilvl="0" w:tplc="BFD24CC6">
      <w:start w:val="1"/>
      <w:numFmt w:val="bullet"/>
      <w:lvlText w:val=""/>
      <w:lvlJc w:val="left"/>
      <w:rPr>
        <w:rFonts w:ascii="Symbol" w:hAnsi="Symbol" w:hint="default"/>
      </w:rPr>
    </w:lvl>
    <w:lvl w:ilvl="1" w:tplc="E2AC808A">
      <w:start w:val="1"/>
      <w:numFmt w:val="bullet"/>
      <w:lvlText w:val="o"/>
      <w:lvlJc w:val="left"/>
      <w:pPr>
        <w:ind w:left="714" w:hanging="357"/>
      </w:pPr>
      <w:rPr>
        <w:rFonts w:ascii="Courier New" w:hAnsi="Courier New" w:hint="default"/>
      </w:rPr>
    </w:lvl>
    <w:lvl w:ilvl="2" w:tplc="2BB049CE">
      <w:start w:val="1"/>
      <w:numFmt w:val="bullet"/>
      <w:pStyle w:val="AspireBullet3"/>
      <w:lvlText w:val=""/>
      <w:lvlJc w:val="left"/>
      <w:pPr>
        <w:ind w:left="992" w:hanging="283"/>
      </w:pPr>
      <w:rPr>
        <w:rFonts w:ascii="Wingdings" w:hAnsi="Wingdings" w:hint="default"/>
      </w:rPr>
    </w:lvl>
    <w:lvl w:ilvl="3" w:tplc="B366CDEA">
      <w:start w:val="1"/>
      <w:numFmt w:val="bullet"/>
      <w:pStyle w:val="AspireBullet4"/>
      <w:lvlText w:val="−"/>
      <w:lvlJc w:val="left"/>
      <w:pPr>
        <w:ind w:left="1276" w:hanging="284"/>
      </w:pPr>
      <w:rPr>
        <w:rFonts w:ascii="Cambria" w:hAnsi="Cambria"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0664B"/>
    <w:multiLevelType w:val="hybridMultilevel"/>
    <w:tmpl w:val="CCFC8786"/>
    <w:lvl w:ilvl="0" w:tplc="1CF09C3A">
      <w:start w:val="3"/>
      <w:numFmt w:val="bullet"/>
      <w:lvlText w:val="-"/>
      <w:lvlJc w:val="left"/>
      <w:pPr>
        <w:ind w:left="760" w:hanging="36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5E01460"/>
    <w:multiLevelType w:val="hybridMultilevel"/>
    <w:tmpl w:val="A2D2025E"/>
    <w:lvl w:ilvl="0" w:tplc="D786E978">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76F6827"/>
    <w:multiLevelType w:val="hybridMultilevel"/>
    <w:tmpl w:val="CCDE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17475"/>
    <w:multiLevelType w:val="hybridMultilevel"/>
    <w:tmpl w:val="A490C636"/>
    <w:lvl w:ilvl="0" w:tplc="69FC57D2">
      <w:numFmt w:val="bullet"/>
      <w:lvlText w:val="-"/>
      <w:lvlJc w:val="left"/>
      <w:pPr>
        <w:ind w:left="760" w:hanging="36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B0872E1"/>
    <w:multiLevelType w:val="hybridMultilevel"/>
    <w:tmpl w:val="CB62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400A6"/>
    <w:multiLevelType w:val="hybridMultilevel"/>
    <w:tmpl w:val="4998B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345782">
    <w:abstractNumId w:val="0"/>
  </w:num>
  <w:num w:numId="2" w16cid:durableId="1298145576">
    <w:abstractNumId w:val="11"/>
  </w:num>
  <w:num w:numId="3" w16cid:durableId="1049915027">
    <w:abstractNumId w:val="9"/>
  </w:num>
  <w:num w:numId="4" w16cid:durableId="1113594333">
    <w:abstractNumId w:val="1"/>
  </w:num>
  <w:num w:numId="5" w16cid:durableId="1848211569">
    <w:abstractNumId w:val="4"/>
  </w:num>
  <w:num w:numId="6" w16cid:durableId="1577471862">
    <w:abstractNumId w:val="8"/>
  </w:num>
  <w:num w:numId="7" w16cid:durableId="775177955">
    <w:abstractNumId w:val="14"/>
  </w:num>
  <w:num w:numId="8" w16cid:durableId="981495447">
    <w:abstractNumId w:val="17"/>
  </w:num>
  <w:num w:numId="9" w16cid:durableId="1686203785">
    <w:abstractNumId w:val="3"/>
  </w:num>
  <w:num w:numId="10" w16cid:durableId="13187896">
    <w:abstractNumId w:val="10"/>
  </w:num>
  <w:num w:numId="11" w16cid:durableId="180510372">
    <w:abstractNumId w:val="16"/>
  </w:num>
  <w:num w:numId="12" w16cid:durableId="334579321">
    <w:abstractNumId w:val="5"/>
  </w:num>
  <w:num w:numId="13" w16cid:durableId="1482114472">
    <w:abstractNumId w:val="2"/>
  </w:num>
  <w:num w:numId="14" w16cid:durableId="1875845138">
    <w:abstractNumId w:val="13"/>
  </w:num>
  <w:num w:numId="15" w16cid:durableId="16539730">
    <w:abstractNumId w:val="15"/>
  </w:num>
  <w:num w:numId="16" w16cid:durableId="2099977613">
    <w:abstractNumId w:val="7"/>
  </w:num>
  <w:num w:numId="17" w16cid:durableId="1330136898">
    <w:abstractNumId w:val="12"/>
  </w:num>
  <w:num w:numId="18" w16cid:durableId="1721979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B7"/>
    <w:rsid w:val="000069B7"/>
    <w:rsid w:val="002F524E"/>
    <w:rsid w:val="00604479"/>
    <w:rsid w:val="00625C7C"/>
    <w:rsid w:val="008D39EA"/>
    <w:rsid w:val="00A42E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7864"/>
  <w15:chartTrackingRefBased/>
  <w15:docId w15:val="{DB53290E-2252-425D-BAFE-7B2119E1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spire_Body text"/>
    <w:qFormat/>
    <w:rsid w:val="000069B7"/>
    <w:pPr>
      <w:spacing w:before="200" w:after="200" w:line="360" w:lineRule="auto"/>
    </w:pPr>
    <w:rPr>
      <w:rFonts w:ascii="Arial" w:eastAsia="Batang" w:hAnsi="Arial" w:cs="Courier New"/>
      <w:kern w:val="0"/>
      <w:sz w:val="24"/>
      <w:lang w:val="en-GB"/>
      <w14:ligatures w14:val="none"/>
    </w:rPr>
  </w:style>
  <w:style w:type="paragraph" w:styleId="Heading1">
    <w:name w:val="heading 1"/>
    <w:aliases w:val="Aspire H1"/>
    <w:basedOn w:val="Heading2"/>
    <w:next w:val="Normal"/>
    <w:link w:val="Heading1Char"/>
    <w:uiPriority w:val="9"/>
    <w:qFormat/>
    <w:rsid w:val="000069B7"/>
    <w:pPr>
      <w:outlineLvl w:val="0"/>
    </w:pPr>
    <w:rPr>
      <w:sz w:val="28"/>
    </w:rPr>
  </w:style>
  <w:style w:type="paragraph" w:styleId="Heading2">
    <w:name w:val="heading 2"/>
    <w:aliases w:val="Aspire_H2"/>
    <w:basedOn w:val="Normal"/>
    <w:next w:val="Normal"/>
    <w:link w:val="Heading2Char"/>
    <w:uiPriority w:val="9"/>
    <w:qFormat/>
    <w:rsid w:val="000069B7"/>
    <w:pPr>
      <w:keepNext/>
      <w:spacing w:after="120"/>
      <w:outlineLvl w:val="1"/>
    </w:pPr>
    <w:rPr>
      <w:rFonts w:eastAsia="Times New Roman"/>
      <w:b/>
      <w:bCs/>
      <w:szCs w:val="26"/>
      <w:lang w:val="en-US"/>
    </w:rPr>
  </w:style>
  <w:style w:type="paragraph" w:styleId="Heading3">
    <w:name w:val="heading 3"/>
    <w:aliases w:val="Aspire_H3"/>
    <w:basedOn w:val="Subtitle"/>
    <w:next w:val="Normal"/>
    <w:link w:val="Heading3Char"/>
    <w:uiPriority w:val="9"/>
    <w:qFormat/>
    <w:rsid w:val="000069B7"/>
    <w:pPr>
      <w:spacing w:after="120"/>
      <w:outlineLvl w:val="2"/>
    </w:pPr>
    <w:rPr>
      <w:lang w:val="en-US"/>
    </w:rPr>
  </w:style>
  <w:style w:type="paragraph" w:styleId="Heading4">
    <w:name w:val="heading 4"/>
    <w:aliases w:val="Aspire_H4"/>
    <w:basedOn w:val="Heading3"/>
    <w:next w:val="Normal"/>
    <w:link w:val="Heading4Char"/>
    <w:uiPriority w:val="9"/>
    <w:qFormat/>
    <w:rsid w:val="000069B7"/>
    <w:pPr>
      <w:outlineLvl w:val="3"/>
    </w:pPr>
    <w:rPr>
      <w:u w:val="single"/>
    </w:rPr>
  </w:style>
  <w:style w:type="paragraph" w:styleId="Heading5">
    <w:name w:val="heading 5"/>
    <w:basedOn w:val="Normal"/>
    <w:next w:val="Normal"/>
    <w:link w:val="Heading5Char"/>
    <w:uiPriority w:val="9"/>
    <w:unhideWhenUsed/>
    <w:rsid w:val="000069B7"/>
    <w:pPr>
      <w:keepNext/>
      <w:spacing w:before="240" w:after="60"/>
      <w:outlineLvl w:val="4"/>
    </w:pPr>
    <w:rPr>
      <w:rFonts w:eastAsia="Yu Mincho" w:cs="Times New Roman"/>
      <w:b/>
      <w:bCs/>
      <w:i/>
      <w:iCs/>
      <w:szCs w:val="26"/>
    </w:rPr>
  </w:style>
  <w:style w:type="paragraph" w:styleId="Heading6">
    <w:name w:val="heading 6"/>
    <w:aliases w:val="Table title"/>
    <w:basedOn w:val="Normal"/>
    <w:next w:val="Normal"/>
    <w:link w:val="Heading6Char"/>
    <w:uiPriority w:val="9"/>
    <w:unhideWhenUsed/>
    <w:rsid w:val="000069B7"/>
    <w:pPr>
      <w:spacing w:before="240" w:after="60"/>
      <w:outlineLvl w:val="5"/>
    </w:pPr>
    <w:rPr>
      <w:rFonts w:eastAsia="Yu Mincho" w:cs="Times New Roman"/>
      <w:b/>
      <w:bCs/>
    </w:rPr>
  </w:style>
  <w:style w:type="paragraph" w:styleId="Heading7">
    <w:name w:val="heading 7"/>
    <w:basedOn w:val="Normal"/>
    <w:next w:val="Normal"/>
    <w:link w:val="Heading7Char"/>
    <w:uiPriority w:val="9"/>
    <w:unhideWhenUsed/>
    <w:rsid w:val="000069B7"/>
    <w:pPr>
      <w:spacing w:before="240" w:after="60"/>
      <w:outlineLvl w:val="6"/>
    </w:pPr>
    <w:rPr>
      <w:rFonts w:eastAsia="Yu Mincho"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spire H1 Char"/>
    <w:basedOn w:val="DefaultParagraphFont"/>
    <w:link w:val="Heading1"/>
    <w:uiPriority w:val="9"/>
    <w:rsid w:val="000069B7"/>
    <w:rPr>
      <w:rFonts w:ascii="Arial" w:eastAsia="Times New Roman" w:hAnsi="Arial" w:cs="Courier New"/>
      <w:b/>
      <w:bCs/>
      <w:kern w:val="0"/>
      <w:sz w:val="28"/>
      <w:szCs w:val="26"/>
      <w:lang w:val="en-US"/>
      <w14:ligatures w14:val="none"/>
    </w:rPr>
  </w:style>
  <w:style w:type="character" w:customStyle="1" w:styleId="Heading2Char">
    <w:name w:val="Heading 2 Char"/>
    <w:aliases w:val="Aspire_H2 Char"/>
    <w:basedOn w:val="DefaultParagraphFont"/>
    <w:link w:val="Heading2"/>
    <w:uiPriority w:val="9"/>
    <w:rsid w:val="000069B7"/>
    <w:rPr>
      <w:rFonts w:ascii="Arial" w:eastAsia="Times New Roman" w:hAnsi="Arial" w:cs="Courier New"/>
      <w:b/>
      <w:bCs/>
      <w:kern w:val="0"/>
      <w:sz w:val="24"/>
      <w:szCs w:val="26"/>
      <w:lang w:val="en-US"/>
      <w14:ligatures w14:val="none"/>
    </w:rPr>
  </w:style>
  <w:style w:type="character" w:customStyle="1" w:styleId="Heading3Char">
    <w:name w:val="Heading 3 Char"/>
    <w:aliases w:val="Aspire_H3 Char"/>
    <w:basedOn w:val="DefaultParagraphFont"/>
    <w:link w:val="Heading3"/>
    <w:uiPriority w:val="9"/>
    <w:rsid w:val="000069B7"/>
    <w:rPr>
      <w:rFonts w:ascii="Arial" w:eastAsia="Times New Roman" w:hAnsi="Arial" w:cs="Courier New"/>
      <w:bCs/>
      <w:i/>
      <w:kern w:val="0"/>
      <w:sz w:val="24"/>
      <w:szCs w:val="26"/>
      <w:lang w:val="en-US"/>
      <w14:ligatures w14:val="none"/>
    </w:rPr>
  </w:style>
  <w:style w:type="character" w:customStyle="1" w:styleId="Heading4Char">
    <w:name w:val="Heading 4 Char"/>
    <w:aliases w:val="Aspire_H4 Char"/>
    <w:basedOn w:val="DefaultParagraphFont"/>
    <w:link w:val="Heading4"/>
    <w:uiPriority w:val="9"/>
    <w:rsid w:val="000069B7"/>
    <w:rPr>
      <w:rFonts w:ascii="Arial" w:eastAsia="Times New Roman" w:hAnsi="Arial" w:cs="Courier New"/>
      <w:bCs/>
      <w:i/>
      <w:kern w:val="0"/>
      <w:sz w:val="24"/>
      <w:szCs w:val="26"/>
      <w:u w:val="single"/>
      <w:lang w:val="en-US"/>
      <w14:ligatures w14:val="none"/>
    </w:rPr>
  </w:style>
  <w:style w:type="character" w:customStyle="1" w:styleId="Heading5Char">
    <w:name w:val="Heading 5 Char"/>
    <w:basedOn w:val="DefaultParagraphFont"/>
    <w:link w:val="Heading5"/>
    <w:uiPriority w:val="9"/>
    <w:rsid w:val="000069B7"/>
    <w:rPr>
      <w:rFonts w:ascii="Arial" w:eastAsia="Yu Mincho" w:hAnsi="Arial" w:cs="Times New Roman"/>
      <w:b/>
      <w:bCs/>
      <w:i/>
      <w:iCs/>
      <w:kern w:val="0"/>
      <w:sz w:val="24"/>
      <w:szCs w:val="26"/>
      <w:lang w:val="en-GB"/>
      <w14:ligatures w14:val="none"/>
    </w:rPr>
  </w:style>
  <w:style w:type="character" w:customStyle="1" w:styleId="Heading6Char">
    <w:name w:val="Heading 6 Char"/>
    <w:aliases w:val="Table title Char"/>
    <w:basedOn w:val="DefaultParagraphFont"/>
    <w:link w:val="Heading6"/>
    <w:uiPriority w:val="9"/>
    <w:rsid w:val="000069B7"/>
    <w:rPr>
      <w:rFonts w:ascii="Arial" w:eastAsia="Yu Mincho" w:hAnsi="Arial" w:cs="Times New Roman"/>
      <w:b/>
      <w:bCs/>
      <w:kern w:val="0"/>
      <w:sz w:val="24"/>
      <w:lang w:val="en-GB"/>
      <w14:ligatures w14:val="none"/>
    </w:rPr>
  </w:style>
  <w:style w:type="character" w:customStyle="1" w:styleId="Heading7Char">
    <w:name w:val="Heading 7 Char"/>
    <w:basedOn w:val="DefaultParagraphFont"/>
    <w:link w:val="Heading7"/>
    <w:uiPriority w:val="9"/>
    <w:rsid w:val="000069B7"/>
    <w:rPr>
      <w:rFonts w:ascii="Arial" w:eastAsia="Yu Mincho" w:hAnsi="Arial" w:cs="Times New Roman"/>
      <w:kern w:val="0"/>
      <w:sz w:val="24"/>
      <w:szCs w:val="24"/>
      <w:lang w:val="en-GB"/>
      <w14:ligatures w14:val="none"/>
    </w:rPr>
  </w:style>
  <w:style w:type="paragraph" w:styleId="Header">
    <w:name w:val="header"/>
    <w:basedOn w:val="Normal"/>
    <w:link w:val="HeaderChar"/>
    <w:uiPriority w:val="99"/>
    <w:unhideWhenUsed/>
    <w:rsid w:val="000069B7"/>
    <w:pPr>
      <w:tabs>
        <w:tab w:val="center" w:pos="4513"/>
        <w:tab w:val="right" w:pos="9026"/>
      </w:tabs>
    </w:pPr>
  </w:style>
  <w:style w:type="character" w:customStyle="1" w:styleId="HeaderChar">
    <w:name w:val="Header Char"/>
    <w:basedOn w:val="DefaultParagraphFont"/>
    <w:link w:val="Header"/>
    <w:uiPriority w:val="99"/>
    <w:rsid w:val="000069B7"/>
    <w:rPr>
      <w:rFonts w:ascii="Arial" w:eastAsia="Batang" w:hAnsi="Arial" w:cs="Courier New"/>
      <w:kern w:val="0"/>
      <w:sz w:val="24"/>
      <w:lang w:val="en-GB"/>
      <w14:ligatures w14:val="none"/>
    </w:rPr>
  </w:style>
  <w:style w:type="paragraph" w:styleId="Footer">
    <w:name w:val="footer"/>
    <w:basedOn w:val="Normal"/>
    <w:link w:val="FooterChar"/>
    <w:uiPriority w:val="99"/>
    <w:unhideWhenUsed/>
    <w:rsid w:val="000069B7"/>
    <w:pPr>
      <w:tabs>
        <w:tab w:val="center" w:pos="4513"/>
        <w:tab w:val="right" w:pos="9026"/>
      </w:tabs>
    </w:pPr>
  </w:style>
  <w:style w:type="character" w:customStyle="1" w:styleId="FooterChar">
    <w:name w:val="Footer Char"/>
    <w:basedOn w:val="DefaultParagraphFont"/>
    <w:link w:val="Footer"/>
    <w:uiPriority w:val="99"/>
    <w:rsid w:val="000069B7"/>
    <w:rPr>
      <w:rFonts w:ascii="Arial" w:eastAsia="Batang" w:hAnsi="Arial" w:cs="Courier New"/>
      <w:kern w:val="0"/>
      <w:sz w:val="24"/>
      <w:lang w:val="en-GB"/>
      <w14:ligatures w14:val="none"/>
    </w:rPr>
  </w:style>
  <w:style w:type="character" w:styleId="PageNumber">
    <w:name w:val="page number"/>
    <w:rsid w:val="000069B7"/>
    <w:rPr>
      <w:rFonts w:ascii="Arial" w:eastAsia="Arial Unicode MS" w:hAnsi="Arial"/>
      <w:dstrike w:val="0"/>
      <w:color w:val="auto"/>
      <w:sz w:val="24"/>
      <w:szCs w:val="24"/>
      <w:vertAlign w:val="baseline"/>
    </w:rPr>
  </w:style>
  <w:style w:type="paragraph" w:customStyle="1" w:styleId="MediumGrid21">
    <w:name w:val="Medium Grid 21"/>
    <w:aliases w:val="TWB subtitle"/>
    <w:basedOn w:val="Normal"/>
    <w:uiPriority w:val="1"/>
    <w:rsid w:val="000069B7"/>
    <w:pPr>
      <w:jc w:val="center"/>
    </w:pPr>
    <w:rPr>
      <w:rFonts w:ascii="Times New Roman" w:eastAsia="Times New Roman" w:hAnsi="Times New Roman"/>
      <w:b/>
      <w:bCs/>
      <w:sz w:val="36"/>
      <w:szCs w:val="36"/>
    </w:rPr>
  </w:style>
  <w:style w:type="paragraph" w:styleId="Subtitle">
    <w:name w:val="Subtitle"/>
    <w:aliases w:val="Aspire subtitle"/>
    <w:basedOn w:val="Normal"/>
    <w:next w:val="Normal"/>
    <w:link w:val="SubtitleChar"/>
    <w:uiPriority w:val="11"/>
    <w:qFormat/>
    <w:rsid w:val="000069B7"/>
    <w:pPr>
      <w:keepNext/>
      <w:outlineLvl w:val="3"/>
    </w:pPr>
    <w:rPr>
      <w:rFonts w:eastAsia="Times New Roman"/>
      <w:bCs/>
      <w:i/>
      <w:szCs w:val="26"/>
    </w:rPr>
  </w:style>
  <w:style w:type="character" w:customStyle="1" w:styleId="SubtitleChar">
    <w:name w:val="Subtitle Char"/>
    <w:aliases w:val="Aspire subtitle Char"/>
    <w:basedOn w:val="DefaultParagraphFont"/>
    <w:link w:val="Subtitle"/>
    <w:uiPriority w:val="11"/>
    <w:rsid w:val="000069B7"/>
    <w:rPr>
      <w:rFonts w:ascii="Arial" w:eastAsia="Times New Roman" w:hAnsi="Arial" w:cs="Courier New"/>
      <w:bCs/>
      <w:i/>
      <w:kern w:val="0"/>
      <w:sz w:val="24"/>
      <w:szCs w:val="26"/>
      <w:lang w:val="en-GB"/>
      <w14:ligatures w14:val="none"/>
    </w:rPr>
  </w:style>
  <w:style w:type="paragraph" w:styleId="BalloonText">
    <w:name w:val="Balloon Text"/>
    <w:basedOn w:val="Normal"/>
    <w:link w:val="BalloonTextChar"/>
    <w:uiPriority w:val="99"/>
    <w:semiHidden/>
    <w:unhideWhenUsed/>
    <w:rsid w:val="0000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B7"/>
    <w:rPr>
      <w:rFonts w:ascii="Tahoma" w:eastAsia="Batang" w:hAnsi="Tahoma" w:cs="Tahoma"/>
      <w:kern w:val="0"/>
      <w:sz w:val="16"/>
      <w:szCs w:val="16"/>
      <w:lang w:val="en-GB"/>
      <w14:ligatures w14:val="none"/>
    </w:rPr>
  </w:style>
  <w:style w:type="character" w:styleId="Hyperlink">
    <w:name w:val="Hyperlink"/>
    <w:uiPriority w:val="99"/>
    <w:rsid w:val="000069B7"/>
    <w:rPr>
      <w:color w:val="0000FF"/>
      <w:u w:val="single"/>
    </w:rPr>
  </w:style>
  <w:style w:type="paragraph" w:customStyle="1" w:styleId="ColorfulList-Accent11">
    <w:name w:val="Colorful List - Accent 11"/>
    <w:basedOn w:val="Normal"/>
    <w:uiPriority w:val="34"/>
    <w:rsid w:val="000069B7"/>
    <w:pPr>
      <w:spacing w:line="276" w:lineRule="auto"/>
      <w:ind w:left="720"/>
      <w:contextualSpacing/>
    </w:pPr>
    <w:rPr>
      <w:rFonts w:cs="Times New Roman"/>
    </w:rPr>
  </w:style>
  <w:style w:type="paragraph" w:customStyle="1" w:styleId="GridTable31">
    <w:name w:val="Grid Table 31"/>
    <w:basedOn w:val="Heading1"/>
    <w:next w:val="Normal"/>
    <w:uiPriority w:val="39"/>
    <w:unhideWhenUsed/>
    <w:rsid w:val="000069B7"/>
    <w:pPr>
      <w:keepLines/>
      <w:spacing w:before="480" w:after="0" w:line="276" w:lineRule="auto"/>
      <w:outlineLvl w:val="9"/>
    </w:pPr>
    <w:rPr>
      <w:rFonts w:cs="Times New Roman"/>
      <w:color w:val="365F91"/>
      <w:szCs w:val="28"/>
    </w:rPr>
  </w:style>
  <w:style w:type="paragraph" w:styleId="TOC1">
    <w:name w:val="toc 1"/>
    <w:basedOn w:val="Normal"/>
    <w:next w:val="Normal"/>
    <w:autoRedefine/>
    <w:uiPriority w:val="39"/>
    <w:unhideWhenUsed/>
    <w:rsid w:val="000069B7"/>
    <w:pPr>
      <w:tabs>
        <w:tab w:val="right" w:leader="dot" w:pos="9020"/>
      </w:tabs>
    </w:pPr>
  </w:style>
  <w:style w:type="paragraph" w:styleId="TOC2">
    <w:name w:val="toc 2"/>
    <w:basedOn w:val="Normal"/>
    <w:next w:val="Normal"/>
    <w:autoRedefine/>
    <w:uiPriority w:val="39"/>
    <w:unhideWhenUsed/>
    <w:rsid w:val="000069B7"/>
    <w:pPr>
      <w:ind w:left="220"/>
    </w:pPr>
  </w:style>
  <w:style w:type="paragraph" w:styleId="TOC3">
    <w:name w:val="toc 3"/>
    <w:basedOn w:val="Normal"/>
    <w:next w:val="Normal"/>
    <w:autoRedefine/>
    <w:uiPriority w:val="39"/>
    <w:unhideWhenUsed/>
    <w:rsid w:val="000069B7"/>
    <w:pPr>
      <w:tabs>
        <w:tab w:val="right" w:leader="dot" w:pos="9020"/>
      </w:tabs>
      <w:ind w:left="440"/>
    </w:pPr>
  </w:style>
  <w:style w:type="paragraph" w:customStyle="1" w:styleId="Default">
    <w:name w:val="Default"/>
    <w:rsid w:val="000069B7"/>
    <w:pPr>
      <w:autoSpaceDE w:val="0"/>
      <w:autoSpaceDN w:val="0"/>
      <w:adjustRightInd w:val="0"/>
      <w:spacing w:after="0" w:line="240" w:lineRule="auto"/>
    </w:pPr>
    <w:rPr>
      <w:rFonts w:ascii="Verdana" w:eastAsia="Batang" w:hAnsi="Verdana" w:cs="Verdana"/>
      <w:color w:val="000000"/>
      <w:kern w:val="0"/>
      <w:sz w:val="24"/>
      <w:szCs w:val="24"/>
      <w:lang w:val="en-GB" w:eastAsia="en-GB"/>
      <w14:ligatures w14:val="none"/>
    </w:rPr>
  </w:style>
  <w:style w:type="paragraph" w:customStyle="1" w:styleId="EndNoteBibliographyTitle">
    <w:name w:val="EndNote Bibliography Title"/>
    <w:basedOn w:val="Normal"/>
    <w:link w:val="EndNoteBibliographyTitleChar"/>
    <w:rsid w:val="000069B7"/>
    <w:pPr>
      <w:spacing w:after="0"/>
      <w:jc w:val="center"/>
    </w:pPr>
    <w:rPr>
      <w:rFonts w:ascii="Al Bayan" w:hAnsi="Al Bayan" w:cs="Al Bayan"/>
      <w:noProof/>
      <w:sz w:val="22"/>
      <w:lang w:val="en-US"/>
    </w:rPr>
  </w:style>
  <w:style w:type="character" w:customStyle="1" w:styleId="EndNoteBibliographyTitleChar">
    <w:name w:val="EndNote Bibliography Title Char"/>
    <w:link w:val="EndNoteBibliographyTitle"/>
    <w:rsid w:val="000069B7"/>
    <w:rPr>
      <w:rFonts w:ascii="Al Bayan" w:eastAsia="Batang" w:hAnsi="Al Bayan" w:cs="Al Bayan"/>
      <w:noProof/>
      <w:kern w:val="0"/>
      <w:lang w:val="en-US"/>
      <w14:ligatures w14:val="none"/>
    </w:rPr>
  </w:style>
  <w:style w:type="paragraph" w:customStyle="1" w:styleId="EndNoteBibliography">
    <w:name w:val="EndNote Bibliography"/>
    <w:basedOn w:val="Normal"/>
    <w:link w:val="EndNoteBibliographyChar"/>
    <w:rsid w:val="000069B7"/>
    <w:pPr>
      <w:spacing w:line="240" w:lineRule="auto"/>
    </w:pPr>
    <w:rPr>
      <w:rFonts w:ascii="Al Bayan" w:hAnsi="Al Bayan" w:cs="Al Bayan"/>
      <w:noProof/>
      <w:sz w:val="22"/>
      <w:lang w:val="en-US"/>
    </w:rPr>
  </w:style>
  <w:style w:type="character" w:customStyle="1" w:styleId="EndNoteBibliographyChar">
    <w:name w:val="EndNote Bibliography Char"/>
    <w:link w:val="EndNoteBibliography"/>
    <w:rsid w:val="000069B7"/>
    <w:rPr>
      <w:rFonts w:ascii="Al Bayan" w:eastAsia="Batang" w:hAnsi="Al Bayan" w:cs="Al Bayan"/>
      <w:noProof/>
      <w:kern w:val="0"/>
      <w:lang w:val="en-US"/>
      <w14:ligatures w14:val="none"/>
    </w:rPr>
  </w:style>
  <w:style w:type="character" w:customStyle="1" w:styleId="highlight">
    <w:name w:val="highlight"/>
    <w:rsid w:val="000069B7"/>
  </w:style>
  <w:style w:type="character" w:customStyle="1" w:styleId="PlainTable31">
    <w:name w:val="Plain Table 31"/>
    <w:aliases w:val="Aspire_Main"/>
    <w:uiPriority w:val="19"/>
    <w:rsid w:val="000069B7"/>
    <w:rPr>
      <w:rFonts w:ascii="Times New Roman" w:hAnsi="Times New Roman" w:cs="Times New Roman"/>
      <w:b/>
      <w:sz w:val="52"/>
    </w:rPr>
  </w:style>
  <w:style w:type="paragraph" w:styleId="NormalWeb">
    <w:name w:val="Normal (Web)"/>
    <w:basedOn w:val="Normal"/>
    <w:uiPriority w:val="99"/>
    <w:unhideWhenUsed/>
    <w:rsid w:val="000069B7"/>
    <w:pPr>
      <w:spacing w:before="100" w:beforeAutospacing="1" w:after="100" w:afterAutospacing="1" w:line="240" w:lineRule="auto"/>
    </w:pPr>
    <w:rPr>
      <w:rFonts w:ascii="Times New Roman" w:eastAsia="Times New Roman" w:hAnsi="Times New Roman" w:cs="Times New Roman"/>
      <w:szCs w:val="24"/>
      <w:lang w:val="en-US"/>
    </w:rPr>
  </w:style>
  <w:style w:type="character" w:styleId="CommentReference">
    <w:name w:val="annotation reference"/>
    <w:uiPriority w:val="99"/>
    <w:unhideWhenUsed/>
    <w:rsid w:val="000069B7"/>
    <w:rPr>
      <w:sz w:val="16"/>
      <w:szCs w:val="16"/>
    </w:rPr>
  </w:style>
  <w:style w:type="paragraph" w:styleId="CommentText">
    <w:name w:val="annotation text"/>
    <w:aliases w:val=" Char1,Char1,Comment Text Char1 Char,Comment Text Char Char Char,Comment Text Char1,Char2"/>
    <w:basedOn w:val="Normal"/>
    <w:link w:val="CommentTextChar"/>
    <w:uiPriority w:val="99"/>
    <w:unhideWhenUsed/>
    <w:rsid w:val="000069B7"/>
    <w:rPr>
      <w:sz w:val="20"/>
      <w:szCs w:val="20"/>
    </w:rPr>
  </w:style>
  <w:style w:type="character" w:customStyle="1" w:styleId="CommentTextChar">
    <w:name w:val="Comment Text Char"/>
    <w:aliases w:val=" Char1 Char,Char1 Char,Comment Text Char1 Char Char,Comment Text Char Char Char Char,Comment Text Char1 Char1,Char2 Char"/>
    <w:basedOn w:val="DefaultParagraphFont"/>
    <w:link w:val="CommentText"/>
    <w:uiPriority w:val="99"/>
    <w:rsid w:val="000069B7"/>
    <w:rPr>
      <w:rFonts w:ascii="Arial" w:eastAsia="Batang" w:hAnsi="Arial" w:cs="Courier New"/>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069B7"/>
    <w:rPr>
      <w:b/>
      <w:bCs/>
    </w:rPr>
  </w:style>
  <w:style w:type="character" w:customStyle="1" w:styleId="CommentSubjectChar">
    <w:name w:val="Comment Subject Char"/>
    <w:basedOn w:val="CommentTextChar"/>
    <w:link w:val="CommentSubject"/>
    <w:uiPriority w:val="99"/>
    <w:semiHidden/>
    <w:rsid w:val="000069B7"/>
    <w:rPr>
      <w:rFonts w:ascii="Arial" w:eastAsia="Batang" w:hAnsi="Arial" w:cs="Courier New"/>
      <w:b/>
      <w:bCs/>
      <w:kern w:val="0"/>
      <w:sz w:val="20"/>
      <w:szCs w:val="20"/>
      <w:lang w:val="en-GB"/>
      <w14:ligatures w14:val="none"/>
    </w:rPr>
  </w:style>
  <w:style w:type="character" w:styleId="FollowedHyperlink">
    <w:name w:val="FollowedHyperlink"/>
    <w:uiPriority w:val="99"/>
    <w:semiHidden/>
    <w:unhideWhenUsed/>
    <w:rsid w:val="000069B7"/>
    <w:rPr>
      <w:color w:val="954F72"/>
      <w:u w:val="single"/>
    </w:rPr>
  </w:style>
  <w:style w:type="table" w:customStyle="1" w:styleId="IntenseEmphasis1">
    <w:name w:val="Intense Emphasis1"/>
    <w:basedOn w:val="TableNormal"/>
    <w:uiPriority w:val="21"/>
    <w:qFormat/>
    <w:rsid w:val="000069B7"/>
    <w:pPr>
      <w:spacing w:after="0" w:line="240" w:lineRule="auto"/>
    </w:pPr>
    <w:rPr>
      <w:rFonts w:ascii="Calibri" w:eastAsia="MS Gothic" w:hAnsi="Calibri" w:cs="Times New Roman"/>
      <w:color w:val="000000"/>
      <w:kern w:val="0"/>
      <w:sz w:val="20"/>
      <w:szCs w:val="20"/>
      <w:lang w:val="en-GB" w:eastAsia="en-GB"/>
      <w14:ligatures w14:val="non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0069B7"/>
    <w:pPr>
      <w:spacing w:after="0" w:line="240" w:lineRule="auto"/>
    </w:pPr>
    <w:rPr>
      <w:rFonts w:ascii="Calibri" w:eastAsia="Batang"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069B7"/>
    <w:pPr>
      <w:spacing w:after="0" w:line="240" w:lineRule="auto"/>
    </w:pPr>
    <w:rPr>
      <w:rFonts w:ascii="Cambria" w:eastAsia="Batang" w:hAnsi="Cambria" w:cs="Courier New"/>
      <w:kern w:val="0"/>
      <w:sz w:val="24"/>
      <w:lang w:val="en-GB"/>
      <w14:ligatures w14:val="none"/>
    </w:rPr>
  </w:style>
  <w:style w:type="paragraph" w:styleId="Revision">
    <w:name w:val="Revision"/>
    <w:hidden/>
    <w:uiPriority w:val="99"/>
    <w:semiHidden/>
    <w:rsid w:val="000069B7"/>
    <w:pPr>
      <w:spacing w:after="0" w:line="240" w:lineRule="auto"/>
    </w:pPr>
    <w:rPr>
      <w:rFonts w:ascii="Century" w:eastAsia="Batang" w:hAnsi="Century" w:cs="Courier New"/>
      <w:kern w:val="0"/>
      <w:lang w:val="en-GB"/>
      <w14:ligatures w14:val="none"/>
    </w:rPr>
  </w:style>
  <w:style w:type="paragraph" w:styleId="Title">
    <w:name w:val="Title"/>
    <w:basedOn w:val="Normal"/>
    <w:next w:val="Normal"/>
    <w:link w:val="TitleChar"/>
    <w:uiPriority w:val="10"/>
    <w:rsid w:val="000069B7"/>
    <w:pPr>
      <w:spacing w:before="240" w:after="60"/>
      <w:jc w:val="center"/>
      <w:outlineLvl w:val="0"/>
    </w:pPr>
    <w:rPr>
      <w:rFonts w:ascii="Calibri Light" w:eastAsia="Yu Gothic Light" w:hAnsi="Calibri Light" w:cs="Times New Roman"/>
      <w:b/>
      <w:bCs/>
      <w:kern w:val="28"/>
      <w:sz w:val="32"/>
      <w:szCs w:val="32"/>
    </w:rPr>
  </w:style>
  <w:style w:type="character" w:customStyle="1" w:styleId="TitleChar">
    <w:name w:val="Title Char"/>
    <w:basedOn w:val="DefaultParagraphFont"/>
    <w:link w:val="Title"/>
    <w:uiPriority w:val="10"/>
    <w:rsid w:val="000069B7"/>
    <w:rPr>
      <w:rFonts w:ascii="Calibri Light" w:eastAsia="Yu Gothic Light" w:hAnsi="Calibri Light" w:cs="Times New Roman"/>
      <w:b/>
      <w:bCs/>
      <w:kern w:val="28"/>
      <w:sz w:val="32"/>
      <w:szCs w:val="32"/>
      <w:lang w:val="en-GB"/>
      <w14:ligatures w14:val="none"/>
    </w:rPr>
  </w:style>
  <w:style w:type="paragraph" w:customStyle="1" w:styleId="AspireBullet1">
    <w:name w:val="Aspire_Bullet 1"/>
    <w:basedOn w:val="ListParagraph"/>
    <w:link w:val="AspireBullet1Char"/>
    <w:qFormat/>
    <w:rsid w:val="000069B7"/>
    <w:pPr>
      <w:numPr>
        <w:numId w:val="3"/>
      </w:numPr>
      <w:tabs>
        <w:tab w:val="num" w:pos="360"/>
      </w:tabs>
      <w:ind w:left="709" w:firstLine="0"/>
    </w:pPr>
    <w:rPr>
      <w:lang w:val="en-US"/>
    </w:rPr>
  </w:style>
  <w:style w:type="paragraph" w:styleId="ListParagraph">
    <w:name w:val="List Paragraph"/>
    <w:aliases w:val="Bullet_목록,1.1.1 목록단락,목록 단락 한편괄호"/>
    <w:basedOn w:val="Normal"/>
    <w:link w:val="ListParagraphChar"/>
    <w:uiPriority w:val="34"/>
    <w:qFormat/>
    <w:rsid w:val="000069B7"/>
    <w:pPr>
      <w:ind w:left="720"/>
    </w:pPr>
  </w:style>
  <w:style w:type="paragraph" w:styleId="ListBullet">
    <w:name w:val="List Bullet"/>
    <w:basedOn w:val="Normal"/>
    <w:link w:val="ListBulletChar"/>
    <w:uiPriority w:val="99"/>
    <w:semiHidden/>
    <w:unhideWhenUsed/>
    <w:rsid w:val="000069B7"/>
    <w:pPr>
      <w:numPr>
        <w:numId w:val="1"/>
      </w:numPr>
      <w:contextualSpacing/>
    </w:pPr>
  </w:style>
  <w:style w:type="character" w:customStyle="1" w:styleId="ListBulletChar">
    <w:name w:val="List Bullet Char"/>
    <w:link w:val="ListBullet"/>
    <w:uiPriority w:val="99"/>
    <w:semiHidden/>
    <w:rsid w:val="000069B7"/>
    <w:rPr>
      <w:rFonts w:ascii="Arial" w:eastAsia="Batang" w:hAnsi="Arial" w:cs="Courier New"/>
      <w:kern w:val="0"/>
      <w:sz w:val="24"/>
      <w:lang w:val="en-GB"/>
      <w14:ligatures w14:val="none"/>
    </w:rPr>
  </w:style>
  <w:style w:type="character" w:customStyle="1" w:styleId="AspireBullet1Char">
    <w:name w:val="Aspire_Bullet 1 Char"/>
    <w:link w:val="AspireBullet1"/>
    <w:rsid w:val="000069B7"/>
    <w:rPr>
      <w:rFonts w:ascii="Arial" w:eastAsia="Batang" w:hAnsi="Arial" w:cs="Courier New"/>
      <w:kern w:val="0"/>
      <w:sz w:val="24"/>
      <w:lang w:val="en-US"/>
      <w14:ligatures w14:val="none"/>
    </w:rPr>
  </w:style>
  <w:style w:type="table" w:styleId="ListTable7Colorful">
    <w:name w:val="List Table 7 Colorful"/>
    <w:basedOn w:val="TableNormal"/>
    <w:uiPriority w:val="52"/>
    <w:rsid w:val="000069B7"/>
    <w:pPr>
      <w:spacing w:after="0" w:line="240" w:lineRule="auto"/>
    </w:pPr>
    <w:rPr>
      <w:rFonts w:ascii="Calibri" w:eastAsia="Batang" w:hAnsi="Calibri" w:cs="Times New Roman"/>
      <w:color w:val="000000"/>
      <w:kern w:val="0"/>
      <w:sz w:val="20"/>
      <w:szCs w:val="20"/>
      <w:lang w:val="en-GB" w:eastAsia="en-GB"/>
      <w14:ligatures w14:val="none"/>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000000"/>
        </w:tcBorders>
        <w:shd w:val="clear" w:color="auto" w:fill="FFFFFF"/>
      </w:tcPr>
    </w:tblStylePr>
    <w:tblStylePr w:type="lastRow">
      <w:rPr>
        <w:rFonts w:ascii="Calibri Light" w:eastAsia="@Yu Gothic Light"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000000"/>
        </w:tcBorders>
        <w:shd w:val="clear" w:color="auto" w:fill="FFFFFF"/>
      </w:tcPr>
    </w:tblStylePr>
    <w:tblStylePr w:type="lastCol">
      <w:rPr>
        <w:rFonts w:ascii="Calibri Light" w:eastAsia="@Yu Gothic Light"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
    <w:name w:val="List Table 1 Light"/>
    <w:basedOn w:val="TableNormal"/>
    <w:uiPriority w:val="46"/>
    <w:rsid w:val="000069B7"/>
    <w:pPr>
      <w:spacing w:after="0" w:line="240" w:lineRule="auto"/>
    </w:pPr>
    <w:rPr>
      <w:rFonts w:ascii="Calibri" w:eastAsia="Batang" w:hAnsi="Calibri" w:cs="Times New Roman"/>
      <w:kern w:val="0"/>
      <w:sz w:val="20"/>
      <w:szCs w:val="20"/>
      <w:lang w:val="en-GB" w:eastAsia="en-GB"/>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
    <w:name w:val="List Table 2"/>
    <w:basedOn w:val="TableNormal"/>
    <w:uiPriority w:val="47"/>
    <w:rsid w:val="000069B7"/>
    <w:pPr>
      <w:spacing w:after="0" w:line="240" w:lineRule="auto"/>
    </w:pPr>
    <w:rPr>
      <w:rFonts w:ascii="Calibri" w:eastAsia="Batang" w:hAnsi="Calibri" w:cs="Times New Roman"/>
      <w:kern w:val="0"/>
      <w:sz w:val="20"/>
      <w:szCs w:val="20"/>
      <w:lang w:val="en-GB" w:eastAsia="en-GB"/>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3">
    <w:name w:val="List Table 2 Accent 3"/>
    <w:basedOn w:val="TableNormal"/>
    <w:uiPriority w:val="47"/>
    <w:rsid w:val="000069B7"/>
    <w:pPr>
      <w:spacing w:after="0" w:line="240" w:lineRule="auto"/>
    </w:pPr>
    <w:rPr>
      <w:rFonts w:ascii="Calibri" w:eastAsia="Batang" w:hAnsi="Calibri" w:cs="Times New Roman"/>
      <w:kern w:val="0"/>
      <w:sz w:val="20"/>
      <w:szCs w:val="20"/>
      <w:lang w:val="en-GB" w:eastAsia="en-GB"/>
      <w14:ligatures w14:val="none"/>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7Colorful-Accent6">
    <w:name w:val="Grid Table 7 Colorful Accent 6"/>
    <w:basedOn w:val="TableNormal"/>
    <w:uiPriority w:val="52"/>
    <w:rsid w:val="000069B7"/>
    <w:pPr>
      <w:spacing w:after="0" w:line="240" w:lineRule="auto"/>
    </w:pPr>
    <w:rPr>
      <w:rFonts w:ascii="Calibri" w:eastAsia="Batang" w:hAnsi="Calibri" w:cs="Times New Roman"/>
      <w:color w:val="538135"/>
      <w:kern w:val="0"/>
      <w:sz w:val="20"/>
      <w:szCs w:val="20"/>
      <w:lang w:val="en-GB" w:eastAsia="en-GB"/>
      <w14:ligatures w14:val="non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eGridLight">
    <w:name w:val="Grid Table Light"/>
    <w:basedOn w:val="TableNormal"/>
    <w:uiPriority w:val="40"/>
    <w:rsid w:val="000069B7"/>
    <w:pPr>
      <w:spacing w:after="0" w:line="240" w:lineRule="auto"/>
    </w:pPr>
    <w:rPr>
      <w:rFonts w:ascii="Calibri" w:eastAsia="Batang" w:hAnsi="Calibri" w:cs="Times New Roman"/>
      <w:kern w:val="0"/>
      <w:sz w:val="20"/>
      <w:szCs w:val="20"/>
      <w:lang w:val="en-GB" w:eastAsia="en-GB"/>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0069B7"/>
    <w:pPr>
      <w:spacing w:after="0" w:line="240" w:lineRule="auto"/>
    </w:pPr>
    <w:rPr>
      <w:rFonts w:ascii="Calibri" w:eastAsia="Batang" w:hAnsi="Calibri" w:cs="Times New Roman"/>
      <w:kern w:val="0"/>
      <w:sz w:val="20"/>
      <w:szCs w:val="20"/>
      <w:lang w:val="en-GB" w:eastAsia="en-GB"/>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semiHidden/>
    <w:unhideWhenUsed/>
    <w:rsid w:val="000069B7"/>
    <w:rPr>
      <w:color w:val="605E5C"/>
      <w:shd w:val="clear" w:color="auto" w:fill="E1DFDD"/>
    </w:rPr>
  </w:style>
  <w:style w:type="character" w:styleId="SubtleEmphasis">
    <w:name w:val="Subtle Emphasis"/>
    <w:basedOn w:val="DefaultParagraphFont"/>
    <w:uiPriority w:val="19"/>
    <w:rsid w:val="000069B7"/>
    <w:rPr>
      <w:i/>
      <w:iCs/>
      <w:color w:val="404040" w:themeColor="text1" w:themeTint="BF"/>
    </w:rPr>
  </w:style>
  <w:style w:type="character" w:styleId="Emphasis">
    <w:name w:val="Emphasis"/>
    <w:basedOn w:val="DefaultParagraphFont"/>
    <w:uiPriority w:val="20"/>
    <w:rsid w:val="000069B7"/>
    <w:rPr>
      <w:i/>
      <w:iCs/>
    </w:rPr>
  </w:style>
  <w:style w:type="character" w:styleId="IntenseEmphasis">
    <w:name w:val="Intense Emphasis"/>
    <w:basedOn w:val="DefaultParagraphFont"/>
    <w:uiPriority w:val="21"/>
    <w:rsid w:val="000069B7"/>
    <w:rPr>
      <w:i/>
      <w:iCs/>
      <w:color w:val="4472C4" w:themeColor="accent1"/>
    </w:rPr>
  </w:style>
  <w:style w:type="character" w:styleId="Strong">
    <w:name w:val="Strong"/>
    <w:aliases w:val="Subheading bold"/>
    <w:basedOn w:val="DefaultParagraphFont"/>
    <w:uiPriority w:val="22"/>
    <w:qFormat/>
    <w:rsid w:val="000069B7"/>
    <w:rPr>
      <w:b/>
      <w:bCs/>
    </w:rPr>
  </w:style>
  <w:style w:type="paragraph" w:styleId="Quote">
    <w:name w:val="Quote"/>
    <w:basedOn w:val="Normal"/>
    <w:next w:val="Normal"/>
    <w:link w:val="QuoteChar"/>
    <w:uiPriority w:val="29"/>
    <w:rsid w:val="000069B7"/>
    <w:pPr>
      <w:spacing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69B7"/>
    <w:rPr>
      <w:rFonts w:ascii="Arial" w:eastAsia="Batang" w:hAnsi="Arial" w:cs="Courier New"/>
      <w:i/>
      <w:iCs/>
      <w:color w:val="404040" w:themeColor="text1" w:themeTint="BF"/>
      <w:kern w:val="0"/>
      <w:sz w:val="24"/>
      <w:lang w:val="en-GB"/>
      <w14:ligatures w14:val="none"/>
    </w:rPr>
  </w:style>
  <w:style w:type="paragraph" w:customStyle="1" w:styleId="Tablefiguretitle">
    <w:name w:val="Table/figure title"/>
    <w:basedOn w:val="Normal"/>
    <w:next w:val="Normal"/>
    <w:qFormat/>
    <w:rsid w:val="000069B7"/>
    <w:pPr>
      <w:spacing w:before="240"/>
    </w:pPr>
    <w:rPr>
      <w:b/>
    </w:rPr>
  </w:style>
  <w:style w:type="paragraph" w:customStyle="1" w:styleId="TitleAspiretitle">
    <w:name w:val="Title_Aspire title"/>
    <w:basedOn w:val="Title"/>
    <w:link w:val="TitleAspiretitleChar"/>
    <w:qFormat/>
    <w:rsid w:val="000069B7"/>
    <w:pPr>
      <w:keepNext/>
      <w:spacing w:before="200" w:after="120"/>
      <w:jc w:val="left"/>
    </w:pPr>
    <w:rPr>
      <w:rFonts w:ascii="Arial" w:hAnsi="Arial"/>
    </w:rPr>
  </w:style>
  <w:style w:type="character" w:customStyle="1" w:styleId="TitleAspiretitleChar">
    <w:name w:val="Title_Aspire title Char"/>
    <w:basedOn w:val="TitleChar"/>
    <w:link w:val="TitleAspiretitle"/>
    <w:rsid w:val="000069B7"/>
    <w:rPr>
      <w:rFonts w:ascii="Arial" w:eastAsia="Yu Gothic Light" w:hAnsi="Arial" w:cs="Times New Roman"/>
      <w:b/>
      <w:bCs/>
      <w:kern w:val="28"/>
      <w:sz w:val="32"/>
      <w:szCs w:val="32"/>
      <w:lang w:val="en-GB"/>
      <w14:ligatures w14:val="none"/>
    </w:rPr>
  </w:style>
  <w:style w:type="paragraph" w:customStyle="1" w:styleId="AspireBullet2">
    <w:name w:val="Aspire_Bullet 2"/>
    <w:basedOn w:val="AspireBullet1"/>
    <w:qFormat/>
    <w:rsid w:val="000069B7"/>
    <w:pPr>
      <w:numPr>
        <w:ilvl w:val="1"/>
      </w:numPr>
      <w:tabs>
        <w:tab w:val="num" w:pos="360"/>
      </w:tabs>
    </w:pPr>
    <w:rPr>
      <w:rFonts w:cs="Arial"/>
    </w:rPr>
  </w:style>
  <w:style w:type="paragraph" w:customStyle="1" w:styleId="AspireBullet3">
    <w:name w:val="Aspire_Bullet 3"/>
    <w:basedOn w:val="AspireBullet1"/>
    <w:qFormat/>
    <w:rsid w:val="000069B7"/>
    <w:pPr>
      <w:numPr>
        <w:ilvl w:val="2"/>
        <w:numId w:val="2"/>
      </w:numPr>
      <w:tabs>
        <w:tab w:val="num" w:pos="360"/>
      </w:tabs>
      <w:ind w:left="709" w:firstLine="0"/>
    </w:pPr>
    <w:rPr>
      <w:rFonts w:cs="Arial"/>
    </w:rPr>
  </w:style>
  <w:style w:type="paragraph" w:customStyle="1" w:styleId="AspireBullet4">
    <w:name w:val="Aspire_Bullet 4"/>
    <w:basedOn w:val="AspireBullet1"/>
    <w:qFormat/>
    <w:rsid w:val="000069B7"/>
    <w:pPr>
      <w:numPr>
        <w:ilvl w:val="3"/>
        <w:numId w:val="2"/>
      </w:numPr>
      <w:tabs>
        <w:tab w:val="num" w:pos="360"/>
      </w:tabs>
      <w:ind w:left="709" w:firstLine="0"/>
    </w:pPr>
    <w:rPr>
      <w:rFonts w:cs="Arial"/>
    </w:rPr>
  </w:style>
  <w:style w:type="paragraph" w:customStyle="1" w:styleId="commentcontentpara">
    <w:name w:val="commentcontentpara"/>
    <w:basedOn w:val="Normal"/>
    <w:rsid w:val="000069B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0069B7"/>
    <w:rPr>
      <w:color w:val="605E5C"/>
      <w:shd w:val="clear" w:color="auto" w:fill="E1DFDD"/>
    </w:rPr>
  </w:style>
  <w:style w:type="character" w:customStyle="1" w:styleId="ref-lnk">
    <w:name w:val="ref-lnk"/>
    <w:basedOn w:val="DefaultParagraphFont"/>
    <w:rsid w:val="000069B7"/>
  </w:style>
  <w:style w:type="paragraph" w:customStyle="1" w:styleId="SynopsisText">
    <w:name w:val="Synopsis Text"/>
    <w:basedOn w:val="Normal"/>
    <w:link w:val="SynopsisTextChar"/>
    <w:qFormat/>
    <w:rsid w:val="000069B7"/>
    <w:pPr>
      <w:spacing w:before="0" w:after="120" w:line="240" w:lineRule="auto"/>
    </w:pPr>
    <w:rPr>
      <w:rFonts w:ascii="Times New Roman" w:eastAsia="MS Mincho" w:hAnsi="Times New Roman" w:cs="Times New Roman"/>
      <w:kern w:val="24"/>
      <w:szCs w:val="24"/>
      <w:lang w:val="en-US" w:eastAsia="ja-JP"/>
    </w:rPr>
  </w:style>
  <w:style w:type="character" w:customStyle="1" w:styleId="SynopsisTextChar">
    <w:name w:val="Synopsis Text Char"/>
    <w:link w:val="SynopsisText"/>
    <w:rsid w:val="000069B7"/>
    <w:rPr>
      <w:rFonts w:ascii="Times New Roman" w:eastAsia="MS Mincho" w:hAnsi="Times New Roman" w:cs="Times New Roman"/>
      <w:kern w:val="24"/>
      <w:sz w:val="24"/>
      <w:szCs w:val="24"/>
      <w:lang w:val="en-US" w:eastAsia="ja-JP"/>
      <w14:ligatures w14:val="none"/>
    </w:rPr>
  </w:style>
  <w:style w:type="paragraph" w:customStyle="1" w:styleId="DocumentText">
    <w:name w:val="Document Text"/>
    <w:basedOn w:val="Normal"/>
    <w:link w:val="DocumentTextChar"/>
    <w:qFormat/>
    <w:rsid w:val="000069B7"/>
    <w:pPr>
      <w:spacing w:before="0" w:after="240" w:line="300" w:lineRule="auto"/>
    </w:pPr>
    <w:rPr>
      <w:rFonts w:ascii="Times New Roman" w:eastAsia="MS Mincho" w:hAnsi="Times New Roman" w:cs="Times New Roman"/>
      <w:kern w:val="24"/>
      <w:szCs w:val="24"/>
      <w:lang w:val="en-US" w:eastAsia="ja-JP"/>
    </w:rPr>
  </w:style>
  <w:style w:type="character" w:customStyle="1" w:styleId="DocumentTextChar">
    <w:name w:val="Document Text Char"/>
    <w:link w:val="DocumentText"/>
    <w:rsid w:val="000069B7"/>
    <w:rPr>
      <w:rFonts w:ascii="Times New Roman" w:eastAsia="MS Mincho" w:hAnsi="Times New Roman" w:cs="Times New Roman"/>
      <w:kern w:val="24"/>
      <w:sz w:val="24"/>
      <w:szCs w:val="24"/>
      <w:lang w:val="en-US" w:eastAsia="ja-JP"/>
      <w14:ligatures w14:val="none"/>
    </w:rPr>
  </w:style>
  <w:style w:type="paragraph" w:customStyle="1" w:styleId="TableNoteLettered">
    <w:name w:val="Table Note Lettered"/>
    <w:basedOn w:val="Normal"/>
    <w:rsid w:val="000069B7"/>
    <w:pPr>
      <w:spacing w:before="0" w:after="0" w:line="240" w:lineRule="auto"/>
    </w:pPr>
    <w:rPr>
      <w:rFonts w:ascii="Times New Roman" w:eastAsia="MS Mincho" w:hAnsi="Times New Roman" w:cs="Times New Roman"/>
      <w:kern w:val="20"/>
      <w:sz w:val="20"/>
      <w:szCs w:val="20"/>
      <w:lang w:val="en-US" w:eastAsia="ja-JP"/>
    </w:rPr>
  </w:style>
  <w:style w:type="numbering" w:customStyle="1" w:styleId="NoList1">
    <w:name w:val="No List1"/>
    <w:next w:val="NoList"/>
    <w:uiPriority w:val="99"/>
    <w:semiHidden/>
    <w:unhideWhenUsed/>
    <w:rsid w:val="000069B7"/>
  </w:style>
  <w:style w:type="paragraph" w:styleId="BodyText">
    <w:name w:val="Body Text"/>
    <w:basedOn w:val="Normal"/>
    <w:link w:val="BodyTextChar"/>
    <w:uiPriority w:val="1"/>
    <w:qFormat/>
    <w:rsid w:val="000069B7"/>
    <w:pPr>
      <w:widowControl w:val="0"/>
      <w:autoSpaceDE w:val="0"/>
      <w:autoSpaceDN w:val="0"/>
      <w:spacing w:before="0" w:after="0" w:line="240" w:lineRule="auto"/>
    </w:pPr>
    <w:rPr>
      <w:rFonts w:ascii="Times New Roman" w:eastAsia="Times New Roman" w:hAnsi="Times New Roman" w:cs="Times New Roman"/>
      <w:b/>
      <w:bCs/>
      <w:sz w:val="18"/>
      <w:szCs w:val="18"/>
      <w:lang w:val="en-US"/>
    </w:rPr>
  </w:style>
  <w:style w:type="character" w:customStyle="1" w:styleId="BodyTextChar">
    <w:name w:val="Body Text Char"/>
    <w:basedOn w:val="DefaultParagraphFont"/>
    <w:link w:val="BodyText"/>
    <w:uiPriority w:val="1"/>
    <w:rsid w:val="000069B7"/>
    <w:rPr>
      <w:rFonts w:ascii="Times New Roman" w:eastAsia="Times New Roman" w:hAnsi="Times New Roman" w:cs="Times New Roman"/>
      <w:b/>
      <w:bCs/>
      <w:kern w:val="0"/>
      <w:sz w:val="18"/>
      <w:szCs w:val="18"/>
      <w:lang w:val="en-US"/>
      <w14:ligatures w14:val="none"/>
    </w:rPr>
  </w:style>
  <w:style w:type="paragraph" w:customStyle="1" w:styleId="TableParagraph">
    <w:name w:val="Table Paragraph"/>
    <w:basedOn w:val="Normal"/>
    <w:uiPriority w:val="1"/>
    <w:qFormat/>
    <w:rsid w:val="000069B7"/>
    <w:pPr>
      <w:widowControl w:val="0"/>
      <w:autoSpaceDE w:val="0"/>
      <w:autoSpaceDN w:val="0"/>
      <w:spacing w:before="0" w:after="0" w:line="195" w:lineRule="exact"/>
      <w:jc w:val="center"/>
    </w:pPr>
    <w:rPr>
      <w:rFonts w:ascii="Times New Roman" w:eastAsia="Times New Roman" w:hAnsi="Times New Roman" w:cs="Times New Roman"/>
      <w:sz w:val="22"/>
      <w:lang w:val="en-US"/>
    </w:rPr>
  </w:style>
  <w:style w:type="character" w:customStyle="1" w:styleId="uworddic">
    <w:name w:val="u_word_dic"/>
    <w:basedOn w:val="DefaultParagraphFont"/>
    <w:rsid w:val="000069B7"/>
  </w:style>
  <w:style w:type="character" w:customStyle="1" w:styleId="ListParagraphChar">
    <w:name w:val="List Paragraph Char"/>
    <w:aliases w:val="Bullet_목록 Char,1.1.1 목록단락 Char,목록 단락 한편괄호 Char"/>
    <w:link w:val="ListParagraph"/>
    <w:uiPriority w:val="34"/>
    <w:rsid w:val="000069B7"/>
    <w:rPr>
      <w:rFonts w:ascii="Arial" w:eastAsia="Batang" w:hAnsi="Arial" w:cs="Courier New"/>
      <w:kern w:val="0"/>
      <w:sz w:val="24"/>
      <w:lang w:val="en-GB"/>
      <w14:ligatures w14:val="none"/>
    </w:rPr>
  </w:style>
  <w:style w:type="paragraph" w:styleId="TOCHeading">
    <w:name w:val="TOC Heading"/>
    <w:basedOn w:val="Heading1"/>
    <w:next w:val="Normal"/>
    <w:uiPriority w:val="39"/>
    <w:unhideWhenUsed/>
    <w:qFormat/>
    <w:rsid w:val="000069B7"/>
    <w:pPr>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3237</Words>
  <Characters>18451</Characters>
  <Application>Microsoft Office Word</Application>
  <DocSecurity>0</DocSecurity>
  <Lines>153</Lines>
  <Paragraphs>43</Paragraphs>
  <ScaleCrop>false</ScaleCrop>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e501869</dc:creator>
  <cp:keywords/>
  <dc:description/>
  <cp:lastModifiedBy>e501869</cp:lastModifiedBy>
  <cp:revision>1</cp:revision>
  <dcterms:created xsi:type="dcterms:W3CDTF">2023-03-29T01:07:00Z</dcterms:created>
  <dcterms:modified xsi:type="dcterms:W3CDTF">2023-03-29T01:08:00Z</dcterms:modified>
</cp:coreProperties>
</file>