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42BB" w14:textId="33261C01" w:rsidR="00700E65" w:rsidRPr="00D46083" w:rsidRDefault="00700E65" w:rsidP="00700E65">
      <w:pPr>
        <w:rPr>
          <w:b/>
          <w:bCs/>
          <w:sz w:val="28"/>
          <w:szCs w:val="28"/>
        </w:rPr>
      </w:pPr>
      <w:r w:rsidRPr="00D46083">
        <w:rPr>
          <w:b/>
          <w:bCs/>
          <w:sz w:val="28"/>
          <w:szCs w:val="28"/>
        </w:rPr>
        <w:t>Indirect treatment comparison (ITC) of the efficacy of vutrisiran and tafamidis for hereditary transthyretin-mediated amyloidosis with polyneuropathy</w:t>
      </w:r>
    </w:p>
    <w:p w14:paraId="116B1675" w14:textId="77777777" w:rsidR="00221C68" w:rsidRPr="007C2DAA" w:rsidRDefault="00221C68" w:rsidP="007C2DAA">
      <w:pPr>
        <w:rPr>
          <w:b/>
          <w:bCs/>
          <w:sz w:val="28"/>
          <w:szCs w:val="22"/>
        </w:rPr>
      </w:pPr>
      <w:r w:rsidRPr="007C2DAA">
        <w:rPr>
          <w:b/>
          <w:bCs/>
          <w:sz w:val="28"/>
          <w:szCs w:val="22"/>
        </w:rPr>
        <w:t>Appendix</w:t>
      </w:r>
    </w:p>
    <w:p w14:paraId="54493CDD" w14:textId="11E4B3C1" w:rsidR="00221C68" w:rsidRPr="007C2DAA" w:rsidRDefault="007C2DAA" w:rsidP="007C2DAA">
      <w:pPr>
        <w:rPr>
          <w:b/>
          <w:bCs/>
          <w:sz w:val="28"/>
          <w:szCs w:val="22"/>
        </w:rPr>
      </w:pPr>
      <w:r>
        <w:rPr>
          <w:b/>
          <w:bCs/>
          <w:sz w:val="28"/>
          <w:szCs w:val="22"/>
        </w:rPr>
        <w:t>1</w:t>
      </w:r>
      <w:r w:rsidR="007309D9">
        <w:rPr>
          <w:b/>
          <w:bCs/>
          <w:sz w:val="28"/>
          <w:szCs w:val="22"/>
        </w:rPr>
        <w:t>.0</w:t>
      </w:r>
      <w:r>
        <w:rPr>
          <w:b/>
          <w:bCs/>
          <w:sz w:val="28"/>
          <w:szCs w:val="22"/>
        </w:rPr>
        <w:tab/>
      </w:r>
      <w:r w:rsidR="00221C68" w:rsidRPr="007C2DAA">
        <w:rPr>
          <w:b/>
          <w:bCs/>
          <w:sz w:val="28"/>
          <w:szCs w:val="22"/>
        </w:rPr>
        <w:t>Feasibility of ITCs and addressing differences between the studies</w:t>
      </w:r>
    </w:p>
    <w:p w14:paraId="18B0CEE1" w14:textId="1845B47D" w:rsidR="00221C68" w:rsidRDefault="00221C68" w:rsidP="00221C68">
      <w:r>
        <w:t xml:space="preserve">A review of available documentation and published results from the HELIOS-A, APOLLO, and Fx-005 studies was conducted to become familiar with the trials and to assess the feasibility of conducting ITCs. For the HELIOS-A study, the trial protocols and statistical analysis plans were reviewed. For the APOLLO study, the publication by Adams et al. (2018) </w:t>
      </w:r>
      <w:r>
        <w:rPr>
          <w:noProof/>
        </w:rPr>
        <w:t>[1]</w:t>
      </w:r>
      <w:r>
        <w:t xml:space="preserve"> and the trial protocol were reviewed. For the Fx-005 trial, the following documents were reviewed: Coelho et al. (2012) </w:t>
      </w:r>
      <w:r>
        <w:rPr>
          <w:noProof/>
        </w:rPr>
        <w:t>[2]</w:t>
      </w:r>
      <w:r>
        <w:t xml:space="preserve">; Keohane et al. (2017) </w:t>
      </w:r>
      <w:r>
        <w:rPr>
          <w:noProof/>
        </w:rPr>
        <w:t>[3]</w:t>
      </w:r>
      <w:r>
        <w:t xml:space="preserve">; the European Medicines Agency (EMA) (2013) summary of product characteristics for tafamidis </w:t>
      </w:r>
      <w:r>
        <w:rPr>
          <w:noProof/>
        </w:rPr>
        <w:t>[4]</w:t>
      </w:r>
      <w:r>
        <w:t xml:space="preserve">; and the EMA (2011) public assessment report for tafamidis </w:t>
      </w:r>
      <w:r>
        <w:rPr>
          <w:noProof/>
        </w:rPr>
        <w:t>[5]</w:t>
      </w:r>
      <w:r>
        <w:t>.</w:t>
      </w:r>
    </w:p>
    <w:p w14:paraId="51FD4EC6" w14:textId="77777777" w:rsidR="00221C68" w:rsidRDefault="00221C68" w:rsidP="00221C68"/>
    <w:p w14:paraId="7DC3F53E" w14:textId="77777777" w:rsidR="00221C68" w:rsidRDefault="00221C68" w:rsidP="00221C68">
      <w:r>
        <w:t>The specific aims of the feasibility assessment were to evaluate cross-trial similarities and differences in study design and to inform planning of the ITC analyses, if deemed feasible. This included reviewing, for all trials, the inclusion/exclusion (I/E) criteria, the measured and reported patient baseline characteristics, the outcome definitions and assessments, the reported results, and the analytic approaches.</w:t>
      </w:r>
    </w:p>
    <w:p w14:paraId="61A43A44" w14:textId="77777777" w:rsidR="00221C68" w:rsidRDefault="00221C68" w:rsidP="00221C68"/>
    <w:p w14:paraId="745C2E86" w14:textId="77777777" w:rsidR="00221C68" w:rsidRDefault="00221C68" w:rsidP="00221C68">
      <w:r>
        <w:t>Based on this assessment, ITCs were deemed feasible for vutrisiran and tafamidis using the available study data. There were some differences in the I/E criteria, baseline characteristics, trial design, and outcomes and definitions that may be addressed using the individual patient-level data for the HELIOS-A and APOLLO studies. The differences and approaches to address them are summarized below.</w:t>
      </w:r>
    </w:p>
    <w:p w14:paraId="0F71B322" w14:textId="77777777" w:rsidR="00221C68" w:rsidRDefault="00221C68" w:rsidP="00221C68"/>
    <w:p w14:paraId="4408721F" w14:textId="77777777" w:rsidR="003E02EB" w:rsidRDefault="003E02EB">
      <w:pPr>
        <w:spacing w:line="240" w:lineRule="auto"/>
        <w:jc w:val="left"/>
        <w:rPr>
          <w:b/>
          <w:bCs/>
          <w:sz w:val="24"/>
          <w:szCs w:val="21"/>
        </w:rPr>
      </w:pPr>
      <w:r>
        <w:rPr>
          <w:b/>
          <w:bCs/>
          <w:sz w:val="24"/>
          <w:szCs w:val="21"/>
        </w:rPr>
        <w:br w:type="page"/>
      </w:r>
    </w:p>
    <w:p w14:paraId="17F1DAEC" w14:textId="599F0179" w:rsidR="00221C68" w:rsidRPr="007C2DAA" w:rsidRDefault="009A4D26" w:rsidP="007C2DAA">
      <w:pPr>
        <w:rPr>
          <w:b/>
          <w:bCs/>
          <w:sz w:val="24"/>
          <w:szCs w:val="21"/>
        </w:rPr>
      </w:pPr>
      <w:r>
        <w:rPr>
          <w:b/>
          <w:bCs/>
          <w:sz w:val="24"/>
          <w:szCs w:val="21"/>
        </w:rPr>
        <w:lastRenderedPageBreak/>
        <w:t>1.1</w:t>
      </w:r>
      <w:r>
        <w:rPr>
          <w:b/>
          <w:bCs/>
          <w:sz w:val="24"/>
          <w:szCs w:val="21"/>
        </w:rPr>
        <w:tab/>
      </w:r>
      <w:r w:rsidR="00221C68" w:rsidRPr="007C2DAA">
        <w:rPr>
          <w:b/>
          <w:bCs/>
          <w:sz w:val="24"/>
          <w:szCs w:val="21"/>
        </w:rPr>
        <w:t>Differences in I/E criteria and study design in Fx-005, HELIOS-A, and APOLLO</w:t>
      </w:r>
    </w:p>
    <w:p w14:paraId="346852B9" w14:textId="77777777" w:rsidR="00221C68" w:rsidRDefault="00221C68" w:rsidP="00221C68">
      <w:pPr>
        <w:pStyle w:val="AGTableTitle"/>
        <w:spacing w:line="480" w:lineRule="auto"/>
        <w:jc w:val="both"/>
        <w:rPr>
          <w:b w:val="0"/>
          <w:color w:val="000000"/>
        </w:rPr>
      </w:pPr>
      <w:r>
        <w:rPr>
          <w:b w:val="0"/>
          <w:color w:val="000000"/>
        </w:rPr>
        <w:t xml:space="preserve">The Fx-005 trial only allowed for inclusion of patients with the </w:t>
      </w:r>
      <w:r>
        <w:rPr>
          <w:b w:val="0"/>
          <w:i/>
          <w:color w:val="000000"/>
        </w:rPr>
        <w:t>V30M</w:t>
      </w:r>
      <w:r>
        <w:rPr>
          <w:b w:val="0"/>
          <w:color w:val="000000"/>
        </w:rPr>
        <w:t xml:space="preserve"> </w:t>
      </w:r>
      <w:r>
        <w:rPr>
          <w:b w:val="0"/>
          <w:i/>
          <w:color w:val="000000"/>
        </w:rPr>
        <w:t>TTR</w:t>
      </w:r>
      <w:r>
        <w:rPr>
          <w:b w:val="0"/>
          <w:color w:val="000000"/>
        </w:rPr>
        <w:t xml:space="preserve"> variant and it is assumed that only Familial Amyloid Polyneuropathy</w:t>
      </w:r>
      <w:r>
        <w:rPr>
          <w:color w:val="000000"/>
        </w:rPr>
        <w:t xml:space="preserve"> </w:t>
      </w:r>
      <w:r>
        <w:rPr>
          <w:b w:val="0"/>
          <w:color w:val="000000"/>
        </w:rPr>
        <w:t xml:space="preserve">(FAP) Stage 1 patients were included, while the HELIOS-A and APOLLO studies allowed for the inclusion of patients with Polyneuropathy Disability (PND) Stage ≤ IIIb (equivalent to FAP Stage 1 and 2) and any </w:t>
      </w:r>
      <w:r>
        <w:rPr>
          <w:b w:val="0"/>
          <w:i/>
          <w:color w:val="000000"/>
        </w:rPr>
        <w:t xml:space="preserve">TTR </w:t>
      </w:r>
      <w:r>
        <w:rPr>
          <w:b w:val="0"/>
          <w:color w:val="000000"/>
        </w:rPr>
        <w:t xml:space="preserve">variant. These differences can be partially accounted for by focusing the ITC on HELIOS-A and APOLLO subpopulations that are more similar to the Fx-005 population. In terms of study design, the HELIOS-A study is an open-label trial designed to establish vutrisiran’s efficacy profile, using the external placebo group from the APOLLO study as the comparator. The Fx-005 trial is a randomized, placebo-controlled study of tafamidis vs. placebo. Since the patients were not randomized to the vutrisiran (from HELIOS-A) vs. placebo-treated (from APOLLO) groups, there may be baseline differences between these arms for which adjustments should be considered. This is discussed in </w:t>
      </w:r>
      <w:r>
        <w:rPr>
          <w:b w:val="0"/>
          <w:color w:val="0563C1"/>
          <w:u w:val="single"/>
        </w:rPr>
        <w:t>Section 1.2.1</w:t>
      </w:r>
      <w:r>
        <w:rPr>
          <w:b w:val="0"/>
          <w:color w:val="000000"/>
        </w:rPr>
        <w:t>.</w:t>
      </w:r>
    </w:p>
    <w:p w14:paraId="213A4585" w14:textId="77777777" w:rsidR="00221C68" w:rsidRDefault="00221C68" w:rsidP="00221C68">
      <w:pPr>
        <w:pStyle w:val="AGTableTitle"/>
        <w:spacing w:line="480" w:lineRule="auto"/>
        <w:jc w:val="both"/>
        <w:rPr>
          <w:b w:val="0"/>
          <w:color w:val="000000"/>
        </w:rPr>
      </w:pPr>
    </w:p>
    <w:p w14:paraId="5389CFA3" w14:textId="63BA7092" w:rsidR="00221C68" w:rsidRPr="009A4D26" w:rsidRDefault="009A4D26" w:rsidP="009A4D26">
      <w:pPr>
        <w:rPr>
          <w:b/>
          <w:bCs/>
          <w:sz w:val="24"/>
          <w:szCs w:val="21"/>
        </w:rPr>
      </w:pPr>
      <w:r>
        <w:rPr>
          <w:b/>
          <w:bCs/>
          <w:sz w:val="24"/>
          <w:szCs w:val="21"/>
        </w:rPr>
        <w:t>1.2</w:t>
      </w:r>
      <w:r>
        <w:rPr>
          <w:b/>
          <w:bCs/>
          <w:sz w:val="24"/>
          <w:szCs w:val="21"/>
        </w:rPr>
        <w:tab/>
      </w:r>
      <w:r w:rsidR="00221C68" w:rsidRPr="009A4D26">
        <w:rPr>
          <w:b/>
          <w:bCs/>
          <w:sz w:val="24"/>
          <w:szCs w:val="21"/>
        </w:rPr>
        <w:t>Differences in the distributions of baseline characteristics</w:t>
      </w:r>
    </w:p>
    <w:p w14:paraId="68EF95A0" w14:textId="63BB5BC2" w:rsidR="00221C68" w:rsidRPr="009A4D26" w:rsidRDefault="009A4D26" w:rsidP="009A4D26">
      <w:pPr>
        <w:rPr>
          <w:b/>
          <w:bCs/>
          <w:sz w:val="24"/>
          <w:szCs w:val="21"/>
        </w:rPr>
      </w:pPr>
      <w:r>
        <w:rPr>
          <w:b/>
          <w:bCs/>
          <w:sz w:val="24"/>
          <w:szCs w:val="21"/>
        </w:rPr>
        <w:t>1.2.1</w:t>
      </w:r>
      <w:r>
        <w:rPr>
          <w:b/>
          <w:bCs/>
          <w:sz w:val="24"/>
          <w:szCs w:val="21"/>
        </w:rPr>
        <w:tab/>
      </w:r>
      <w:r w:rsidR="00221C68" w:rsidRPr="009A4D26">
        <w:rPr>
          <w:b/>
          <w:bCs/>
          <w:sz w:val="24"/>
          <w:szCs w:val="21"/>
        </w:rPr>
        <w:t>Differences between the vutrisiran arm of the HELIOS-A study and the placebo arm of the APOLLO study</w:t>
      </w:r>
    </w:p>
    <w:p w14:paraId="4A4C0D2A" w14:textId="77777777" w:rsidR="00221C68" w:rsidRDefault="00221C68" w:rsidP="00221C68">
      <w:r>
        <w:t>ITCs commonly use data from randomized, placebo-controlled trials of each treatment of interest. An indirect treatment effect estimate is obtained by comparing the relative magnitude of the differences between each treatment of interest and a common comparator, usually placebo (i.e. difference between treatment A and treatment B = [difference between treatment A and placebo] – [difference between treatment B and placebo]). When each of the trials are randomized and have concurrent placebo arms, the unadjusted treatment difference relative to placebo in each study is unbiased, as randomization ensures that baseline characteristics, on average, will be similar between the treatment and placebo groups.</w:t>
      </w:r>
    </w:p>
    <w:p w14:paraId="62A1EFA1" w14:textId="77777777" w:rsidR="00221C68" w:rsidRDefault="00221C68" w:rsidP="00221C68"/>
    <w:p w14:paraId="7972D87D" w14:textId="77777777" w:rsidR="00221C68" w:rsidRDefault="00221C68" w:rsidP="00221C68">
      <w:pPr>
        <w:spacing w:before="120" w:after="120"/>
      </w:pPr>
      <w:r>
        <w:lastRenderedPageBreak/>
        <w:t>As described in Section 2.3 of the Methods, HELIOS-A was designed to minimize cross-study differences with APOLLO. This enabled robust cross-study comparison between vutrisiran and the external placebo group from APOLLO. HELIOS-A and APOLLO used similar I/E criteria, overlapping study sites, and enrolled similar proportions of patients with key baseline characteristics. As a result, HELIOS-A and APOLLO study populations were largely overlapping and are clinically comparable. In the ITC reported here, any potential remaining differences in patient baseline characteristics between HELIOS-A and APOLLO were addressed by calculating treatment effects with adjustment based on propensity scores estimated from the pre-specified sensitivity analyses of the HELIOS-A study, using regression adjustment for continuous outcomes and stabilized inverse probability weighting for binary outcomes. The ITC of vutrisiran vs. tafamidis was based on comparing the adjusted differences between vutrisiran and placebo based on HELIOS-A and APOLLO study data, to the unadjusted difference between tafamidis and placebo from Fx-005.</w:t>
      </w:r>
    </w:p>
    <w:p w14:paraId="45E82DEB" w14:textId="77777777" w:rsidR="00221C68" w:rsidRDefault="00221C68" w:rsidP="00221C68"/>
    <w:p w14:paraId="7736699C" w14:textId="5C9A26B1" w:rsidR="00221C68" w:rsidRPr="009A4D26" w:rsidRDefault="009A4D26" w:rsidP="009A4D26">
      <w:pPr>
        <w:rPr>
          <w:b/>
          <w:bCs/>
          <w:sz w:val="24"/>
          <w:szCs w:val="21"/>
        </w:rPr>
      </w:pPr>
      <w:r w:rsidRPr="009A4D26">
        <w:rPr>
          <w:b/>
          <w:bCs/>
          <w:sz w:val="24"/>
          <w:szCs w:val="21"/>
        </w:rPr>
        <w:t>1.2.2</w:t>
      </w:r>
      <w:r w:rsidRPr="009A4D26">
        <w:rPr>
          <w:b/>
          <w:bCs/>
          <w:sz w:val="24"/>
          <w:szCs w:val="21"/>
        </w:rPr>
        <w:tab/>
      </w:r>
      <w:r w:rsidR="00221C68" w:rsidRPr="009A4D26">
        <w:rPr>
          <w:b/>
          <w:bCs/>
          <w:sz w:val="24"/>
          <w:szCs w:val="21"/>
        </w:rPr>
        <w:t>Differences between the HELIOS-A and Fx-005 studies</w:t>
      </w:r>
    </w:p>
    <w:p w14:paraId="7D7E6C52" w14:textId="77777777" w:rsidR="00221C68" w:rsidRDefault="00221C68" w:rsidP="00221C68">
      <w:r>
        <w:rPr>
          <w:lang w:val="zh-TW"/>
        </w:rPr>
        <w:t>The distribution of several baseline characteristics differed between the Fx-005 trial and the vutrisiran arm of the HELIOS-A study. Compared to Fx-005, the vutrisiran arm in HELIOS-A included:</w:t>
      </w:r>
    </w:p>
    <w:p w14:paraId="760E804B" w14:textId="77777777" w:rsidR="00221C68" w:rsidRDefault="00221C68" w:rsidP="00221C68">
      <w:pPr>
        <w:pStyle w:val="ListParagraph"/>
        <w:numPr>
          <w:ilvl w:val="0"/>
          <w:numId w:val="1"/>
        </w:numPr>
        <w:spacing w:before="120" w:after="120"/>
      </w:pPr>
      <w:r>
        <w:t>older patients (mean age: 58 vs. 39)</w:t>
      </w:r>
    </w:p>
    <w:p w14:paraId="255CBCDA" w14:textId="77777777" w:rsidR="00221C68" w:rsidRDefault="00221C68" w:rsidP="00221C68">
      <w:pPr>
        <w:pStyle w:val="ListParagraph"/>
        <w:numPr>
          <w:ilvl w:val="0"/>
          <w:numId w:val="1"/>
        </w:numPr>
        <w:spacing w:before="120" w:after="120"/>
      </w:pPr>
      <w:r>
        <w:t xml:space="preserve">a larger proportion of male patients (65% vs. 46%) </w:t>
      </w:r>
    </w:p>
    <w:p w14:paraId="71C5B78E" w14:textId="77777777" w:rsidR="00221C68" w:rsidRDefault="00221C68" w:rsidP="00221C68">
      <w:pPr>
        <w:pStyle w:val="ListParagraph"/>
        <w:numPr>
          <w:ilvl w:val="0"/>
          <w:numId w:val="1"/>
        </w:numPr>
        <w:spacing w:before="120" w:after="120"/>
      </w:pPr>
      <w:r>
        <w:t xml:space="preserve">a smaller proportion of patients with </w:t>
      </w:r>
      <w:r>
        <w:rPr>
          <w:i/>
        </w:rPr>
        <w:t>V30M</w:t>
      </w:r>
      <w:r>
        <w:t xml:space="preserve"> variant (44% vs. 100%) </w:t>
      </w:r>
    </w:p>
    <w:p w14:paraId="491FC3E9" w14:textId="77777777" w:rsidR="00221C68" w:rsidRDefault="00221C68" w:rsidP="00221C68">
      <w:pPr>
        <w:pStyle w:val="ListParagraph"/>
        <w:numPr>
          <w:ilvl w:val="0"/>
          <w:numId w:val="1"/>
        </w:numPr>
        <w:spacing w:before="120" w:after="120"/>
        <w:rPr>
          <w:b/>
        </w:rPr>
      </w:pPr>
      <w:r>
        <w:t xml:space="preserve">a larger proportion of patients from North America (22% vs. 0%) </w:t>
      </w:r>
    </w:p>
    <w:p w14:paraId="62ABAF43" w14:textId="77777777" w:rsidR="00221C68" w:rsidRDefault="00221C68" w:rsidP="00221C68">
      <w:pPr>
        <w:pStyle w:val="ListParagraph"/>
        <w:numPr>
          <w:ilvl w:val="0"/>
          <w:numId w:val="1"/>
        </w:numPr>
        <w:spacing w:before="120" w:after="120"/>
        <w:rPr>
          <w:b/>
        </w:rPr>
      </w:pPr>
      <w:r>
        <w:t>a smaller proportion of patients with FAP Stage 1 (70% vs. 100%)</w:t>
      </w:r>
    </w:p>
    <w:p w14:paraId="6F6F9393" w14:textId="77777777" w:rsidR="00221C68" w:rsidRDefault="00221C68" w:rsidP="00221C68">
      <w:pPr>
        <w:pStyle w:val="ListParagraph"/>
        <w:numPr>
          <w:ilvl w:val="0"/>
          <w:numId w:val="1"/>
        </w:numPr>
        <w:spacing w:before="120" w:after="120"/>
        <w:rPr>
          <w:b/>
        </w:rPr>
      </w:pPr>
      <w:r>
        <w:t>a larger proportion of patients with prior treatment (59% vs. 0%)</w:t>
      </w:r>
    </w:p>
    <w:p w14:paraId="267D605F" w14:textId="77777777" w:rsidR="00221C68" w:rsidRDefault="00221C68" w:rsidP="00221C68">
      <w:pPr>
        <w:pStyle w:val="ListParagraph"/>
        <w:numPr>
          <w:ilvl w:val="0"/>
          <w:numId w:val="1"/>
        </w:numPr>
        <w:spacing w:before="120" w:after="120"/>
      </w:pPr>
      <w:r>
        <w:t>patients with worse quality of life (QOL) (mean Norfolk Quality of Life – Diabetic Neuropathy questionnaire [Norfolk QOL-DN] scores: 47 vs. 29)</w:t>
      </w:r>
    </w:p>
    <w:p w14:paraId="32E6DAA1" w14:textId="77777777" w:rsidR="00221C68" w:rsidRDefault="00221C68" w:rsidP="00221C68"/>
    <w:p w14:paraId="5D5E1C37" w14:textId="77777777" w:rsidR="00221C68" w:rsidRDefault="00221C68" w:rsidP="00221C68">
      <w:r>
        <w:lastRenderedPageBreak/>
        <w:t xml:space="preserve">The magnitude of these differences is driven by the systematic differences in I/E criteria of the Fx-005 trial as presented in </w:t>
      </w:r>
      <w:r>
        <w:rPr>
          <w:b/>
        </w:rPr>
        <w:t>Supplementary Table 1</w:t>
      </w:r>
      <w:r>
        <w:t xml:space="preserve">. </w:t>
      </w:r>
      <w:r>
        <w:rPr>
          <w:b/>
        </w:rPr>
        <w:t>Supplementary Table 2</w:t>
      </w:r>
      <w:r>
        <w:t xml:space="preserve"> summarizes the differences in baseline and disease characteristics across HELIOS-A, APOLLO, and Fx-005, and </w:t>
      </w:r>
      <w:r>
        <w:rPr>
          <w:b/>
        </w:rPr>
        <w:t>Supplementary Table 3</w:t>
      </w:r>
      <w:r>
        <w:t xml:space="preserve"> summarizes the adjusted baseline characteristics across these studies.</w:t>
      </w:r>
    </w:p>
    <w:p w14:paraId="7E6D5FFD" w14:textId="77777777" w:rsidR="00221C68" w:rsidRDefault="00221C68" w:rsidP="00221C68"/>
    <w:p w14:paraId="45087056" w14:textId="77777777" w:rsidR="00221C68" w:rsidRDefault="00221C68" w:rsidP="00221C68">
      <w:pPr>
        <w:keepNext/>
        <w:rPr>
          <w:b/>
        </w:rPr>
      </w:pPr>
      <w:r>
        <w:rPr>
          <w:b/>
        </w:rPr>
        <w:t>Supplementary Table 1. Overview of the HELIOS-A and Fx-005 studies</w:t>
      </w:r>
    </w:p>
    <w:tbl>
      <w:tblPr>
        <w:tblStyle w:val="Table"/>
        <w:tblW w:w="9016" w:type="dxa"/>
        <w:tblInd w:w="0" w:type="dxa"/>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4A0" w:firstRow="1" w:lastRow="0" w:firstColumn="1" w:lastColumn="0" w:noHBand="0" w:noVBand="1"/>
      </w:tblPr>
      <w:tblGrid>
        <w:gridCol w:w="1838"/>
        <w:gridCol w:w="3545"/>
        <w:gridCol w:w="3633"/>
      </w:tblGrid>
      <w:tr w:rsidR="00221C68" w14:paraId="6DDE9B63" w14:textId="77777777" w:rsidTr="00B216A4">
        <w:trPr>
          <w:trHeight w:val="20"/>
          <w:tblHeader/>
        </w:trPr>
        <w:tc>
          <w:tcPr>
            <w:tcW w:w="183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FCA5DCB" w14:textId="77777777" w:rsidR="00221C68" w:rsidRDefault="00221C68" w:rsidP="00B216A4">
            <w:pPr>
              <w:keepNext/>
              <w:spacing w:line="276" w:lineRule="auto"/>
              <w:rPr>
                <w:sz w:val="18"/>
              </w:rPr>
            </w:pPr>
          </w:p>
        </w:tc>
        <w:tc>
          <w:tcPr>
            <w:tcW w:w="354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17D2AAF" w14:textId="77777777" w:rsidR="00221C68" w:rsidRDefault="00221C68" w:rsidP="00B216A4">
            <w:pPr>
              <w:keepNext/>
              <w:spacing w:line="276" w:lineRule="auto"/>
              <w:jc w:val="left"/>
              <w:rPr>
                <w:b/>
                <w:sz w:val="18"/>
              </w:rPr>
            </w:pPr>
            <w:r>
              <w:rPr>
                <w:b/>
                <w:sz w:val="18"/>
              </w:rPr>
              <w:t>HELIOS-A study</w:t>
            </w:r>
          </w:p>
        </w:tc>
        <w:tc>
          <w:tcPr>
            <w:tcW w:w="363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9DB51D0" w14:textId="77777777" w:rsidR="00221C68" w:rsidRDefault="00221C68" w:rsidP="00B216A4">
            <w:pPr>
              <w:keepNext/>
              <w:spacing w:line="276" w:lineRule="auto"/>
              <w:jc w:val="left"/>
              <w:rPr>
                <w:b/>
                <w:sz w:val="18"/>
              </w:rPr>
            </w:pPr>
            <w:r>
              <w:rPr>
                <w:b/>
                <w:sz w:val="18"/>
              </w:rPr>
              <w:t>Fx-005 study</w:t>
            </w:r>
          </w:p>
        </w:tc>
      </w:tr>
      <w:tr w:rsidR="00221C68" w14:paraId="19E25EED" w14:textId="77777777" w:rsidTr="00B216A4">
        <w:trPr>
          <w:trHeight w:val="2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C0480" w14:textId="77777777" w:rsidR="00221C68" w:rsidRDefault="00221C68" w:rsidP="00B216A4">
            <w:pPr>
              <w:spacing w:line="276" w:lineRule="auto"/>
              <w:jc w:val="left"/>
              <w:rPr>
                <w:b/>
                <w:sz w:val="18"/>
              </w:rPr>
            </w:pPr>
            <w:r>
              <w:rPr>
                <w:b/>
                <w:sz w:val="18"/>
              </w:rPr>
              <w:t>Design</w:t>
            </w:r>
          </w:p>
        </w:tc>
        <w:tc>
          <w:tcPr>
            <w:tcW w:w="3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56CC1" w14:textId="77777777" w:rsidR="00221C68" w:rsidRDefault="00221C68" w:rsidP="00B216A4">
            <w:pPr>
              <w:spacing w:line="276" w:lineRule="auto"/>
              <w:jc w:val="left"/>
              <w:rPr>
                <w:sz w:val="18"/>
              </w:rPr>
            </w:pPr>
            <w:r>
              <w:rPr>
                <w:sz w:val="18"/>
              </w:rPr>
              <w:t>Multicenter, randomized, open-label, phase 3 study of vutrisiran</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A022D" w14:textId="77777777" w:rsidR="00221C68" w:rsidRDefault="00221C68" w:rsidP="00B216A4">
            <w:pPr>
              <w:spacing w:line="276" w:lineRule="auto"/>
              <w:jc w:val="left"/>
              <w:rPr>
                <w:b/>
                <w:sz w:val="18"/>
              </w:rPr>
            </w:pPr>
            <w:r>
              <w:rPr>
                <w:sz w:val="18"/>
              </w:rPr>
              <w:t>Multicenter, randomized, double-blind, placebo-controlled, phase 3 trial of tafamidis</w:t>
            </w:r>
          </w:p>
        </w:tc>
      </w:tr>
      <w:tr w:rsidR="00221C68" w14:paraId="71469045" w14:textId="77777777" w:rsidTr="00B216A4">
        <w:trPr>
          <w:trHeight w:val="2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07720" w14:textId="77777777" w:rsidR="00221C68" w:rsidRDefault="00221C68" w:rsidP="00B216A4">
            <w:pPr>
              <w:spacing w:line="276" w:lineRule="auto"/>
              <w:jc w:val="left"/>
              <w:rPr>
                <w:b/>
                <w:sz w:val="18"/>
              </w:rPr>
            </w:pPr>
            <w:r>
              <w:rPr>
                <w:b/>
                <w:sz w:val="18"/>
              </w:rPr>
              <w:t>Study arms</w:t>
            </w:r>
          </w:p>
        </w:tc>
        <w:tc>
          <w:tcPr>
            <w:tcW w:w="3545" w:type="dxa"/>
            <w:tcBorders>
              <w:top w:val="single" w:sz="4" w:space="0" w:color="000000"/>
              <w:left w:val="single" w:sz="4" w:space="0" w:color="000000"/>
              <w:bottom w:val="single" w:sz="4" w:space="0" w:color="000000"/>
              <w:right w:val="single" w:sz="4" w:space="0" w:color="000000"/>
            </w:tcBorders>
            <w:shd w:val="clear" w:color="auto" w:fill="FFFFFF"/>
          </w:tcPr>
          <w:p w14:paraId="3BC6D5FA"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 xml:space="preserve">Subcutaneous vutrisiran </w:t>
            </w:r>
            <w:r>
              <w:rPr>
                <w:sz w:val="18"/>
              </w:rPr>
              <w:br/>
              <w:t>(25 mg, every 3 months)</w:t>
            </w:r>
          </w:p>
          <w:p w14:paraId="560B9902"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Intravenous patisiran (reference comparator, 0.3 mg/kg of body weight, every 3 months)</w:t>
            </w:r>
          </w:p>
          <w:p w14:paraId="15F9BC9E"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Placebo (external comparator from APOLLO study)</w:t>
            </w:r>
          </w:p>
        </w:tc>
        <w:tc>
          <w:tcPr>
            <w:tcW w:w="3633" w:type="dxa"/>
            <w:tcBorders>
              <w:top w:val="single" w:sz="4" w:space="0" w:color="000000"/>
              <w:left w:val="single" w:sz="4" w:space="0" w:color="000000"/>
              <w:bottom w:val="single" w:sz="4" w:space="0" w:color="000000"/>
              <w:right w:val="single" w:sz="4" w:space="0" w:color="000000"/>
            </w:tcBorders>
            <w:shd w:val="clear" w:color="auto" w:fill="FFFFFF"/>
          </w:tcPr>
          <w:p w14:paraId="28C5B98A"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 xml:space="preserve">Oral tafamidis </w:t>
            </w:r>
            <w:r>
              <w:rPr>
                <w:sz w:val="18"/>
              </w:rPr>
              <w:br/>
              <w:t>(20 mg, once daily)</w:t>
            </w:r>
          </w:p>
          <w:p w14:paraId="446BA931"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Placebo</w:t>
            </w:r>
          </w:p>
        </w:tc>
      </w:tr>
      <w:tr w:rsidR="00221C68" w14:paraId="11D9D1B8" w14:textId="77777777" w:rsidTr="00B216A4">
        <w:trPr>
          <w:trHeight w:val="2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98E3E" w14:textId="77777777" w:rsidR="00221C68" w:rsidRDefault="00221C68" w:rsidP="00B216A4">
            <w:pPr>
              <w:spacing w:line="276" w:lineRule="auto"/>
              <w:jc w:val="left"/>
              <w:rPr>
                <w:b/>
                <w:sz w:val="18"/>
              </w:rPr>
            </w:pPr>
            <w:r>
              <w:rPr>
                <w:b/>
                <w:sz w:val="18"/>
              </w:rPr>
              <w:t>Key inclusion criteria</w:t>
            </w:r>
            <w:r>
              <w:rPr>
                <w:sz w:val="18"/>
                <w:vertAlign w:val="superscript"/>
              </w:rPr>
              <w:t>a</w:t>
            </w:r>
          </w:p>
        </w:tc>
        <w:tc>
          <w:tcPr>
            <w:tcW w:w="3545" w:type="dxa"/>
            <w:tcBorders>
              <w:top w:val="single" w:sz="4" w:space="0" w:color="000000"/>
              <w:left w:val="single" w:sz="4" w:space="0" w:color="000000"/>
              <w:bottom w:val="single" w:sz="4" w:space="0" w:color="000000"/>
              <w:right w:val="single" w:sz="4" w:space="0" w:color="000000"/>
            </w:tcBorders>
            <w:shd w:val="clear" w:color="auto" w:fill="FFFFFF"/>
          </w:tcPr>
          <w:p w14:paraId="5E72BF02" w14:textId="77777777" w:rsidR="00221C68" w:rsidRDefault="00221C68" w:rsidP="00221C68">
            <w:pPr>
              <w:pStyle w:val="ListParagraph"/>
              <w:numPr>
                <w:ilvl w:val="0"/>
                <w:numId w:val="2"/>
              </w:numPr>
              <w:spacing w:before="120" w:after="120" w:line="276" w:lineRule="auto"/>
              <w:ind w:left="432"/>
              <w:rPr>
                <w:sz w:val="18"/>
              </w:rPr>
            </w:pPr>
            <w:r>
              <w:rPr>
                <w:sz w:val="18"/>
              </w:rPr>
              <w:t>18 – 85 years of age</w:t>
            </w:r>
          </w:p>
          <w:p w14:paraId="73168B70" w14:textId="37C1E2B9" w:rsidR="00221C68" w:rsidRDefault="00221C68" w:rsidP="00221C68">
            <w:pPr>
              <w:pStyle w:val="ListParagraph"/>
              <w:numPr>
                <w:ilvl w:val="0"/>
                <w:numId w:val="2"/>
              </w:numPr>
              <w:spacing w:before="120" w:after="120" w:line="276" w:lineRule="auto"/>
              <w:ind w:left="436"/>
              <w:contextualSpacing w:val="0"/>
              <w:jc w:val="left"/>
              <w:rPr>
                <w:sz w:val="18"/>
              </w:rPr>
            </w:pPr>
            <w:r>
              <w:rPr>
                <w:sz w:val="18"/>
              </w:rPr>
              <w:t xml:space="preserve">Diagnosis of </w:t>
            </w:r>
            <w:r w:rsidR="00BD1D7C">
              <w:rPr>
                <w:sz w:val="18"/>
              </w:rPr>
              <w:t>ATTRv</w:t>
            </w:r>
            <w:r>
              <w:rPr>
                <w:sz w:val="18"/>
              </w:rPr>
              <w:t xml:space="preserve"> amyloidosis with documented </w:t>
            </w:r>
            <w:r>
              <w:rPr>
                <w:i/>
                <w:sz w:val="18"/>
              </w:rPr>
              <w:t>TTR</w:t>
            </w:r>
            <w:r>
              <w:rPr>
                <w:sz w:val="18"/>
              </w:rPr>
              <w:t xml:space="preserve"> variant</w:t>
            </w:r>
          </w:p>
          <w:p w14:paraId="42F02E1D" w14:textId="77777777" w:rsidR="00221C68" w:rsidRDefault="00221C68" w:rsidP="00221C68">
            <w:pPr>
              <w:pStyle w:val="ListParagraph"/>
              <w:numPr>
                <w:ilvl w:val="0"/>
                <w:numId w:val="2"/>
              </w:numPr>
              <w:spacing w:before="120" w:after="120" w:line="276" w:lineRule="auto"/>
              <w:ind w:left="436"/>
              <w:contextualSpacing w:val="0"/>
              <w:jc w:val="left"/>
              <w:rPr>
                <w:sz w:val="18"/>
              </w:rPr>
            </w:pPr>
            <w:r>
              <w:rPr>
                <w:sz w:val="18"/>
              </w:rPr>
              <w:t>Karnofsky Performance Status ≥60% (equivalent to &gt;50%)</w:t>
            </w:r>
          </w:p>
          <w:p w14:paraId="1325F411" w14:textId="77777777" w:rsidR="00221C68" w:rsidRDefault="00221C68" w:rsidP="00221C68">
            <w:pPr>
              <w:pStyle w:val="ListParagraph"/>
              <w:numPr>
                <w:ilvl w:val="0"/>
                <w:numId w:val="2"/>
              </w:numPr>
              <w:spacing w:before="120" w:after="120" w:line="276" w:lineRule="auto"/>
              <w:ind w:left="436"/>
              <w:contextualSpacing w:val="0"/>
              <w:jc w:val="left"/>
              <w:rPr>
                <w:sz w:val="18"/>
              </w:rPr>
            </w:pPr>
            <w:r>
              <w:rPr>
                <w:sz w:val="18"/>
              </w:rPr>
              <w:t>PND score ≤ IIIb (equivalent to FAP Stage 1 and Stage 2)</w:t>
            </w:r>
          </w:p>
          <w:p w14:paraId="3210E860" w14:textId="77777777" w:rsidR="00221C68" w:rsidRDefault="00221C68" w:rsidP="00221C68">
            <w:pPr>
              <w:pStyle w:val="ListParagraph"/>
              <w:numPr>
                <w:ilvl w:val="0"/>
                <w:numId w:val="2"/>
              </w:numPr>
              <w:spacing w:before="120" w:after="120" w:line="276" w:lineRule="auto"/>
              <w:ind w:left="436"/>
              <w:contextualSpacing w:val="0"/>
              <w:jc w:val="left"/>
              <w:rPr>
                <w:sz w:val="18"/>
              </w:rPr>
            </w:pPr>
            <w:r>
              <w:rPr>
                <w:sz w:val="18"/>
              </w:rPr>
              <w:t>Neuropathy Impairment Score of 5 – 130</w:t>
            </w:r>
          </w:p>
        </w:tc>
        <w:tc>
          <w:tcPr>
            <w:tcW w:w="3633" w:type="dxa"/>
            <w:tcBorders>
              <w:top w:val="single" w:sz="4" w:space="0" w:color="000000"/>
              <w:left w:val="single" w:sz="4" w:space="0" w:color="000000"/>
              <w:bottom w:val="single" w:sz="4" w:space="0" w:color="000000"/>
              <w:right w:val="single" w:sz="4" w:space="0" w:color="000000"/>
            </w:tcBorders>
            <w:shd w:val="clear" w:color="auto" w:fill="FFFFFF"/>
          </w:tcPr>
          <w:p w14:paraId="4DAF6731"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18 – 75 years of age</w:t>
            </w:r>
          </w:p>
          <w:p w14:paraId="5D16A51B" w14:textId="2423A4BB" w:rsidR="00221C68" w:rsidRDefault="00221C68" w:rsidP="00221C68">
            <w:pPr>
              <w:pStyle w:val="ListParagraph"/>
              <w:numPr>
                <w:ilvl w:val="0"/>
                <w:numId w:val="2"/>
              </w:numPr>
              <w:spacing w:before="120" w:after="120" w:line="276" w:lineRule="auto"/>
              <w:ind w:left="436"/>
              <w:contextualSpacing w:val="0"/>
              <w:jc w:val="left"/>
              <w:rPr>
                <w:sz w:val="18"/>
              </w:rPr>
            </w:pPr>
            <w:r>
              <w:rPr>
                <w:sz w:val="18"/>
              </w:rPr>
              <w:t xml:space="preserve">Diagnosis of </w:t>
            </w:r>
            <w:r w:rsidR="00BD1D7C">
              <w:rPr>
                <w:sz w:val="18"/>
              </w:rPr>
              <w:t>ATTRv</w:t>
            </w:r>
            <w:r>
              <w:rPr>
                <w:sz w:val="18"/>
              </w:rPr>
              <w:t xml:space="preserve"> amyloidosis with documented </w:t>
            </w:r>
            <w:r>
              <w:rPr>
                <w:i/>
                <w:sz w:val="18"/>
              </w:rPr>
              <w:t>V30M</w:t>
            </w:r>
            <w:r>
              <w:rPr>
                <w:sz w:val="18"/>
              </w:rPr>
              <w:t xml:space="preserve"> </w:t>
            </w:r>
            <w:r>
              <w:rPr>
                <w:i/>
                <w:sz w:val="18"/>
              </w:rPr>
              <w:t>TTR</w:t>
            </w:r>
            <w:r>
              <w:rPr>
                <w:sz w:val="18"/>
              </w:rPr>
              <w:t xml:space="preserve"> variant</w:t>
            </w:r>
          </w:p>
          <w:p w14:paraId="48C8E2A3" w14:textId="77777777" w:rsidR="00221C68" w:rsidRDefault="00221C68" w:rsidP="00221C68">
            <w:pPr>
              <w:pStyle w:val="ListParagraph"/>
              <w:numPr>
                <w:ilvl w:val="0"/>
                <w:numId w:val="2"/>
              </w:numPr>
              <w:spacing w:before="120" w:after="120" w:line="276" w:lineRule="auto"/>
              <w:ind w:left="436"/>
              <w:contextualSpacing w:val="0"/>
              <w:jc w:val="left"/>
              <w:rPr>
                <w:sz w:val="18"/>
              </w:rPr>
            </w:pPr>
            <w:r>
              <w:rPr>
                <w:sz w:val="18"/>
              </w:rPr>
              <w:t>Karnofsky Performance Status ≥50% (equivalent to &gt;40%)</w:t>
            </w:r>
          </w:p>
          <w:p w14:paraId="5DAB5B48" w14:textId="77777777" w:rsidR="00221C68" w:rsidRDefault="00221C68" w:rsidP="00B216A4">
            <w:pPr>
              <w:pStyle w:val="ListParagraph"/>
              <w:spacing w:line="276" w:lineRule="auto"/>
              <w:ind w:left="436"/>
              <w:jc w:val="left"/>
              <w:rPr>
                <w:b/>
                <w:sz w:val="18"/>
              </w:rPr>
            </w:pPr>
          </w:p>
        </w:tc>
      </w:tr>
      <w:tr w:rsidR="00221C68" w14:paraId="3FD0CAD0" w14:textId="77777777" w:rsidTr="00B216A4">
        <w:trPr>
          <w:trHeight w:val="2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F3D48" w14:textId="77777777" w:rsidR="00221C68" w:rsidRDefault="00221C68" w:rsidP="00B216A4">
            <w:pPr>
              <w:spacing w:line="276" w:lineRule="auto"/>
              <w:jc w:val="left"/>
              <w:rPr>
                <w:b/>
                <w:sz w:val="18"/>
              </w:rPr>
            </w:pPr>
            <w:r>
              <w:rPr>
                <w:b/>
                <w:sz w:val="18"/>
              </w:rPr>
              <w:t>Key exclusion criteria</w:t>
            </w:r>
          </w:p>
        </w:tc>
        <w:tc>
          <w:tcPr>
            <w:tcW w:w="3545" w:type="dxa"/>
            <w:tcBorders>
              <w:top w:val="single" w:sz="4" w:space="0" w:color="000000"/>
              <w:left w:val="single" w:sz="4" w:space="0" w:color="000000"/>
              <w:bottom w:val="single" w:sz="4" w:space="0" w:color="000000"/>
              <w:right w:val="single" w:sz="4" w:space="0" w:color="000000"/>
            </w:tcBorders>
            <w:shd w:val="clear" w:color="auto" w:fill="FFFFFF"/>
          </w:tcPr>
          <w:p w14:paraId="36EEF143"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Prior liver transplant or likely to undergo liver transplant during the 18-month treatment period</w:t>
            </w:r>
          </w:p>
          <w:p w14:paraId="07AA65CB" w14:textId="06736564"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Known non-</w:t>
            </w:r>
            <w:r w:rsidR="00BD1D7C">
              <w:rPr>
                <w:sz w:val="18"/>
              </w:rPr>
              <w:t>ATTRv</w:t>
            </w:r>
            <w:r>
              <w:rPr>
                <w:sz w:val="18"/>
              </w:rPr>
              <w:t xml:space="preserve"> forms of amyloidosis or clinical evidence of leptomeningeal amyloidosis</w:t>
            </w:r>
          </w:p>
          <w:p w14:paraId="2F0FD70B"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New York Heart Association heart failure classification &gt;2 (equivalent to ≥3)</w:t>
            </w:r>
          </w:p>
        </w:tc>
        <w:tc>
          <w:tcPr>
            <w:tcW w:w="3633" w:type="dxa"/>
            <w:tcBorders>
              <w:top w:val="single" w:sz="4" w:space="0" w:color="000000"/>
              <w:left w:val="single" w:sz="4" w:space="0" w:color="000000"/>
              <w:bottom w:val="single" w:sz="4" w:space="0" w:color="000000"/>
              <w:right w:val="single" w:sz="4" w:space="0" w:color="000000"/>
            </w:tcBorders>
            <w:shd w:val="clear" w:color="auto" w:fill="FFFFFF"/>
          </w:tcPr>
          <w:p w14:paraId="0DB9809D"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Prior liver transplantation</w:t>
            </w:r>
          </w:p>
          <w:p w14:paraId="2087C2AE"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Has known primary amyloidosis</w:t>
            </w:r>
          </w:p>
          <w:p w14:paraId="1344572B"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 xml:space="preserve">Has New York Heart Association heart failure classification ≥3 </w:t>
            </w:r>
          </w:p>
        </w:tc>
      </w:tr>
      <w:tr w:rsidR="00221C68" w14:paraId="6B24DAAA" w14:textId="77777777" w:rsidTr="00B216A4">
        <w:trPr>
          <w:trHeight w:val="2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5E43" w14:textId="77777777" w:rsidR="00221C68" w:rsidRDefault="00221C68" w:rsidP="00B216A4">
            <w:pPr>
              <w:spacing w:line="276" w:lineRule="auto"/>
              <w:jc w:val="left"/>
              <w:rPr>
                <w:b/>
                <w:sz w:val="18"/>
              </w:rPr>
            </w:pPr>
            <w:r>
              <w:rPr>
                <w:b/>
                <w:sz w:val="18"/>
              </w:rPr>
              <w:t>Sample size</w:t>
            </w:r>
          </w:p>
        </w:tc>
        <w:tc>
          <w:tcPr>
            <w:tcW w:w="3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9FBDD"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Vutrisiran: 122</w:t>
            </w:r>
          </w:p>
          <w:p w14:paraId="03905117"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Patisiran: 42</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37FF3"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Tafamidis: 64</w:t>
            </w:r>
          </w:p>
          <w:p w14:paraId="19D067A5" w14:textId="77777777" w:rsidR="00221C68" w:rsidRDefault="00221C68" w:rsidP="00221C68">
            <w:pPr>
              <w:pStyle w:val="ListParagraph"/>
              <w:numPr>
                <w:ilvl w:val="0"/>
                <w:numId w:val="2"/>
              </w:numPr>
              <w:spacing w:after="120" w:line="276" w:lineRule="auto"/>
              <w:ind w:left="436"/>
              <w:jc w:val="left"/>
              <w:rPr>
                <w:sz w:val="18"/>
              </w:rPr>
            </w:pPr>
            <w:r>
              <w:rPr>
                <w:sz w:val="18"/>
              </w:rPr>
              <w:t>Placebo: 61</w:t>
            </w:r>
          </w:p>
        </w:tc>
      </w:tr>
      <w:tr w:rsidR="00221C68" w14:paraId="7E3827FE" w14:textId="77777777" w:rsidTr="00B216A4">
        <w:trPr>
          <w:trHeight w:val="20"/>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58EA9" w14:textId="77777777" w:rsidR="00221C68" w:rsidRDefault="00221C68" w:rsidP="00B216A4">
            <w:pPr>
              <w:spacing w:line="276" w:lineRule="auto"/>
              <w:jc w:val="left"/>
              <w:rPr>
                <w:b/>
                <w:sz w:val="18"/>
              </w:rPr>
            </w:pPr>
            <w:r>
              <w:rPr>
                <w:b/>
                <w:sz w:val="18"/>
              </w:rPr>
              <w:t>Follow-up duration (months)</w:t>
            </w:r>
          </w:p>
        </w:tc>
        <w:tc>
          <w:tcPr>
            <w:tcW w:w="3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EE09C" w14:textId="77777777" w:rsidR="00221C68" w:rsidRDefault="00221C68" w:rsidP="00B216A4">
            <w:pPr>
              <w:spacing w:line="276" w:lineRule="auto"/>
              <w:jc w:val="left"/>
              <w:rPr>
                <w:sz w:val="18"/>
              </w:rPr>
            </w:pPr>
            <w:r>
              <w:rPr>
                <w:sz w:val="18"/>
              </w:rPr>
              <w:t>18</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B73D8" w14:textId="77777777" w:rsidR="00221C68" w:rsidRDefault="00221C68" w:rsidP="00B216A4">
            <w:pPr>
              <w:spacing w:line="276" w:lineRule="auto"/>
              <w:jc w:val="left"/>
              <w:rPr>
                <w:sz w:val="18"/>
              </w:rPr>
            </w:pPr>
            <w:r>
              <w:rPr>
                <w:sz w:val="18"/>
              </w:rPr>
              <w:t>18</w:t>
            </w:r>
          </w:p>
        </w:tc>
      </w:tr>
      <w:tr w:rsidR="00221C68" w14:paraId="312C62DB" w14:textId="77777777" w:rsidTr="00B216A4">
        <w:trPr>
          <w:trHeight w:val="566"/>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3254C" w14:textId="77777777" w:rsidR="00221C68" w:rsidRDefault="00221C68" w:rsidP="00B216A4">
            <w:pPr>
              <w:spacing w:line="276" w:lineRule="auto"/>
              <w:jc w:val="left"/>
              <w:rPr>
                <w:b/>
                <w:sz w:val="18"/>
              </w:rPr>
            </w:pPr>
            <w:r>
              <w:rPr>
                <w:b/>
                <w:sz w:val="18"/>
              </w:rPr>
              <w:lastRenderedPageBreak/>
              <w:t>Study visits (months)</w:t>
            </w:r>
          </w:p>
        </w:tc>
        <w:tc>
          <w:tcPr>
            <w:tcW w:w="35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AAF59" w14:textId="77777777" w:rsidR="00221C68" w:rsidRDefault="00221C68" w:rsidP="00B216A4">
            <w:pPr>
              <w:spacing w:line="276" w:lineRule="auto"/>
              <w:jc w:val="left"/>
              <w:rPr>
                <w:sz w:val="18"/>
              </w:rPr>
            </w:pPr>
            <w:r>
              <w:rPr>
                <w:sz w:val="18"/>
              </w:rPr>
              <w:t>9 and 18</w:t>
            </w:r>
            <w:r>
              <w:rPr>
                <w:sz w:val="18"/>
                <w:vertAlign w:val="superscript"/>
              </w:rPr>
              <w:t>b</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5C1E7" w14:textId="77777777" w:rsidR="00221C68" w:rsidRDefault="00221C68" w:rsidP="00B216A4">
            <w:pPr>
              <w:spacing w:line="276" w:lineRule="auto"/>
              <w:jc w:val="left"/>
              <w:rPr>
                <w:sz w:val="18"/>
              </w:rPr>
            </w:pPr>
            <w:r>
              <w:rPr>
                <w:sz w:val="18"/>
              </w:rPr>
              <w:t>6, 12, and 18</w:t>
            </w:r>
          </w:p>
        </w:tc>
      </w:tr>
      <w:tr w:rsidR="00221C68" w14:paraId="24B214EB" w14:textId="77777777" w:rsidTr="00B216A4">
        <w:trPr>
          <w:trHeight w:val="20"/>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14:paraId="0ED93E48" w14:textId="77777777" w:rsidR="00221C68" w:rsidRDefault="00221C68" w:rsidP="00B216A4">
            <w:pPr>
              <w:spacing w:line="276" w:lineRule="auto"/>
              <w:jc w:val="left"/>
              <w:rPr>
                <w:b/>
                <w:sz w:val="18"/>
              </w:rPr>
            </w:pPr>
            <w:r>
              <w:rPr>
                <w:b/>
                <w:sz w:val="18"/>
              </w:rPr>
              <w:t>Primary endpoints</w:t>
            </w:r>
          </w:p>
        </w:tc>
        <w:tc>
          <w:tcPr>
            <w:tcW w:w="3545" w:type="dxa"/>
            <w:tcBorders>
              <w:top w:val="single" w:sz="4" w:space="0" w:color="000000"/>
              <w:left w:val="single" w:sz="4" w:space="0" w:color="000000"/>
              <w:bottom w:val="single" w:sz="4" w:space="0" w:color="000000"/>
              <w:right w:val="single" w:sz="4" w:space="0" w:color="000000"/>
            </w:tcBorders>
            <w:shd w:val="clear" w:color="auto" w:fill="FFFFFF"/>
          </w:tcPr>
          <w:p w14:paraId="3F371803" w14:textId="77777777" w:rsidR="00221C68" w:rsidRDefault="00221C68" w:rsidP="00221C68">
            <w:pPr>
              <w:pStyle w:val="ListParagraph"/>
              <w:numPr>
                <w:ilvl w:val="0"/>
                <w:numId w:val="2"/>
              </w:numPr>
              <w:spacing w:before="120" w:after="120" w:line="276" w:lineRule="auto"/>
              <w:ind w:left="436"/>
              <w:jc w:val="left"/>
              <w:rPr>
                <w:sz w:val="18"/>
              </w:rPr>
            </w:pPr>
            <w:r>
              <w:rPr>
                <w:sz w:val="18"/>
              </w:rPr>
              <w:t>Change from baseline in mNIS+7</w:t>
            </w:r>
            <w:r>
              <w:rPr>
                <w:sz w:val="18"/>
                <w:vertAlign w:val="subscript"/>
              </w:rPr>
              <w:t xml:space="preserve">Alnylam </w:t>
            </w:r>
            <w:r>
              <w:rPr>
                <w:sz w:val="18"/>
              </w:rPr>
              <w:t>at month 9 (for the United States, Japan, and Brazil) and at month 18 (for the European Union) vs. placebo</w:t>
            </w:r>
          </w:p>
        </w:tc>
        <w:tc>
          <w:tcPr>
            <w:tcW w:w="3633" w:type="dxa"/>
            <w:tcBorders>
              <w:top w:val="single" w:sz="4" w:space="0" w:color="000000"/>
              <w:left w:val="single" w:sz="4" w:space="0" w:color="000000"/>
              <w:bottom w:val="single" w:sz="4" w:space="0" w:color="000000"/>
              <w:right w:val="single" w:sz="4" w:space="0" w:color="000000"/>
            </w:tcBorders>
            <w:shd w:val="clear" w:color="auto" w:fill="FFFFFF"/>
          </w:tcPr>
          <w:p w14:paraId="3FA10C59"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Improvement or stabilization in NIS-LL (NIS-LL Responder) (increase from baseline in NIS-LL &lt;2 points or any decrease) at month 18</w:t>
            </w:r>
          </w:p>
          <w:p w14:paraId="20638355" w14:textId="77777777" w:rsidR="00221C68" w:rsidRDefault="00221C68" w:rsidP="00221C68">
            <w:pPr>
              <w:pStyle w:val="ListParagraph"/>
              <w:numPr>
                <w:ilvl w:val="0"/>
                <w:numId w:val="2"/>
              </w:numPr>
              <w:spacing w:before="120" w:after="120" w:line="276" w:lineRule="auto"/>
              <w:ind w:left="432"/>
              <w:contextualSpacing w:val="0"/>
              <w:jc w:val="left"/>
              <w:rPr>
                <w:sz w:val="18"/>
              </w:rPr>
            </w:pPr>
            <w:r>
              <w:rPr>
                <w:sz w:val="18"/>
              </w:rPr>
              <w:t>Change from baseline in Norfolk QOL-DN total score</w:t>
            </w:r>
            <w:r>
              <w:rPr>
                <w:sz w:val="18"/>
                <w:vertAlign w:val="subscript"/>
              </w:rPr>
              <w:t xml:space="preserve"> </w:t>
            </w:r>
            <w:r>
              <w:rPr>
                <w:sz w:val="18"/>
              </w:rPr>
              <w:t>at month 18</w:t>
            </w:r>
          </w:p>
        </w:tc>
      </w:tr>
      <w:tr w:rsidR="00221C68" w14:paraId="43228C17" w14:textId="77777777" w:rsidTr="00B216A4">
        <w:trPr>
          <w:trHeight w:val="20"/>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14:paraId="5ED94852" w14:textId="77777777" w:rsidR="00221C68" w:rsidRDefault="00221C68" w:rsidP="00B216A4">
            <w:pPr>
              <w:spacing w:line="276" w:lineRule="auto"/>
              <w:jc w:val="left"/>
              <w:rPr>
                <w:b/>
                <w:sz w:val="18"/>
              </w:rPr>
            </w:pPr>
            <w:r>
              <w:rPr>
                <w:b/>
                <w:sz w:val="18"/>
              </w:rPr>
              <w:t>Selected secondary endpoints</w:t>
            </w:r>
          </w:p>
        </w:tc>
        <w:tc>
          <w:tcPr>
            <w:tcW w:w="3545" w:type="dxa"/>
            <w:tcBorders>
              <w:top w:val="single" w:sz="4" w:space="0" w:color="000000"/>
              <w:left w:val="single" w:sz="4" w:space="0" w:color="000000"/>
              <w:bottom w:val="single" w:sz="4" w:space="0" w:color="000000"/>
              <w:right w:val="single" w:sz="4" w:space="0" w:color="000000"/>
            </w:tcBorders>
            <w:shd w:val="clear" w:color="auto" w:fill="FFFFFF"/>
          </w:tcPr>
          <w:p w14:paraId="50B86088" w14:textId="77777777" w:rsidR="00221C68" w:rsidRDefault="00221C68" w:rsidP="00221C68">
            <w:pPr>
              <w:pStyle w:val="ListParagraph"/>
              <w:numPr>
                <w:ilvl w:val="0"/>
                <w:numId w:val="2"/>
              </w:numPr>
              <w:spacing w:before="120" w:after="120" w:line="276" w:lineRule="auto"/>
              <w:ind w:left="436"/>
              <w:contextualSpacing w:val="0"/>
              <w:jc w:val="left"/>
              <w:rPr>
                <w:sz w:val="18"/>
              </w:rPr>
            </w:pPr>
            <w:r>
              <w:rPr>
                <w:sz w:val="18"/>
              </w:rPr>
              <w:t>Change from baseline in Norfolk QOL-DN total score at months 9 and 18 vs. placebo</w:t>
            </w:r>
          </w:p>
          <w:p w14:paraId="4C5C2D14" w14:textId="77777777" w:rsidR="00221C68" w:rsidRDefault="00221C68" w:rsidP="00B216A4">
            <w:pPr>
              <w:spacing w:before="120" w:after="120" w:line="276" w:lineRule="auto"/>
              <w:jc w:val="left"/>
              <w:rPr>
                <w:sz w:val="18"/>
              </w:rPr>
            </w:pPr>
          </w:p>
        </w:tc>
        <w:tc>
          <w:tcPr>
            <w:tcW w:w="3633" w:type="dxa"/>
            <w:tcBorders>
              <w:top w:val="single" w:sz="4" w:space="0" w:color="000000"/>
              <w:left w:val="single" w:sz="4" w:space="0" w:color="000000"/>
              <w:bottom w:val="single" w:sz="4" w:space="0" w:color="000000"/>
              <w:right w:val="single" w:sz="4" w:space="0" w:color="000000"/>
            </w:tcBorders>
            <w:shd w:val="clear" w:color="auto" w:fill="FFFFFF"/>
          </w:tcPr>
          <w:p w14:paraId="073A32C8" w14:textId="77777777" w:rsidR="00221C68" w:rsidRDefault="00221C68" w:rsidP="00221C68">
            <w:pPr>
              <w:pStyle w:val="ListParagraph"/>
              <w:numPr>
                <w:ilvl w:val="0"/>
                <w:numId w:val="2"/>
              </w:numPr>
              <w:spacing w:before="120" w:after="120" w:line="276" w:lineRule="auto"/>
              <w:ind w:left="436"/>
              <w:contextualSpacing w:val="0"/>
              <w:jc w:val="left"/>
              <w:rPr>
                <w:sz w:val="18"/>
              </w:rPr>
            </w:pPr>
            <w:r>
              <w:rPr>
                <w:sz w:val="18"/>
              </w:rPr>
              <w:t>Change from baseline in mBMI</w:t>
            </w:r>
            <w:r>
              <w:rPr>
                <w:sz w:val="18"/>
                <w:vertAlign w:val="superscript"/>
              </w:rPr>
              <w:t>C</w:t>
            </w:r>
            <w:r>
              <w:rPr>
                <w:sz w:val="18"/>
              </w:rPr>
              <w:t xml:space="preserve"> at month 18</w:t>
            </w:r>
          </w:p>
          <w:p w14:paraId="5EBAE651" w14:textId="77777777" w:rsidR="00221C68" w:rsidRDefault="00221C68" w:rsidP="00221C68">
            <w:pPr>
              <w:pStyle w:val="ListParagraph"/>
              <w:numPr>
                <w:ilvl w:val="0"/>
                <w:numId w:val="2"/>
              </w:numPr>
              <w:spacing w:before="120" w:after="120" w:line="276" w:lineRule="auto"/>
              <w:ind w:left="436"/>
              <w:contextualSpacing w:val="0"/>
              <w:jc w:val="left"/>
              <w:rPr>
                <w:sz w:val="18"/>
              </w:rPr>
            </w:pPr>
            <w:r>
              <w:rPr>
                <w:sz w:val="18"/>
              </w:rPr>
              <w:t>Change from baseline in NIS-LL at month 18</w:t>
            </w:r>
          </w:p>
        </w:tc>
      </w:tr>
      <w:tr w:rsidR="00221C68" w14:paraId="08F99E47" w14:textId="77777777" w:rsidTr="00B216A4">
        <w:trPr>
          <w:trHeight w:val="20"/>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14:paraId="1F651FF4" w14:textId="77777777" w:rsidR="00221C68" w:rsidRDefault="00221C68" w:rsidP="00B216A4">
            <w:pPr>
              <w:spacing w:line="276" w:lineRule="auto"/>
              <w:jc w:val="left"/>
              <w:rPr>
                <w:b/>
                <w:sz w:val="18"/>
              </w:rPr>
            </w:pPr>
            <w:r>
              <w:rPr>
                <w:b/>
                <w:sz w:val="18"/>
              </w:rPr>
              <w:t>Selected exploratory endpoints</w:t>
            </w:r>
          </w:p>
        </w:tc>
        <w:tc>
          <w:tcPr>
            <w:tcW w:w="3545" w:type="dxa"/>
            <w:tcBorders>
              <w:top w:val="single" w:sz="4" w:space="0" w:color="000000"/>
              <w:left w:val="single" w:sz="4" w:space="0" w:color="000000"/>
              <w:bottom w:val="single" w:sz="4" w:space="0" w:color="000000"/>
              <w:right w:val="single" w:sz="4" w:space="0" w:color="000000"/>
            </w:tcBorders>
            <w:shd w:val="clear" w:color="auto" w:fill="FFFFFF"/>
          </w:tcPr>
          <w:p w14:paraId="0587A611" w14:textId="77777777" w:rsidR="00221C68" w:rsidRDefault="00221C68" w:rsidP="00221C68">
            <w:pPr>
              <w:pStyle w:val="ListParagraph"/>
              <w:numPr>
                <w:ilvl w:val="0"/>
                <w:numId w:val="2"/>
              </w:numPr>
              <w:spacing w:before="120" w:after="120" w:line="276" w:lineRule="auto"/>
              <w:ind w:left="436"/>
              <w:contextualSpacing w:val="0"/>
              <w:jc w:val="left"/>
              <w:rPr>
                <w:sz w:val="18"/>
              </w:rPr>
            </w:pPr>
            <w:r>
              <w:rPr>
                <w:sz w:val="18"/>
              </w:rPr>
              <w:t>Change from baseline in mBMI</w:t>
            </w:r>
            <w:r>
              <w:rPr>
                <w:sz w:val="18"/>
                <w:vertAlign w:val="superscript"/>
              </w:rPr>
              <w:t>C</w:t>
            </w:r>
            <w:r>
              <w:rPr>
                <w:sz w:val="18"/>
              </w:rPr>
              <w:t xml:space="preserve"> at months 9 and 18 vs. placebo</w:t>
            </w:r>
          </w:p>
        </w:tc>
        <w:tc>
          <w:tcPr>
            <w:tcW w:w="3633" w:type="dxa"/>
            <w:tcBorders>
              <w:top w:val="single" w:sz="4" w:space="0" w:color="000000"/>
              <w:left w:val="single" w:sz="4" w:space="0" w:color="000000"/>
              <w:bottom w:val="single" w:sz="4" w:space="0" w:color="000000"/>
              <w:right w:val="single" w:sz="4" w:space="0" w:color="000000"/>
            </w:tcBorders>
            <w:shd w:val="clear" w:color="auto" w:fill="FFFFFF"/>
          </w:tcPr>
          <w:p w14:paraId="3FFA8629" w14:textId="77777777" w:rsidR="00221C68" w:rsidRDefault="00221C68" w:rsidP="00B216A4">
            <w:pPr>
              <w:spacing w:before="120" w:after="120" w:line="276" w:lineRule="auto"/>
              <w:ind w:left="76"/>
              <w:jc w:val="left"/>
              <w:rPr>
                <w:sz w:val="18"/>
              </w:rPr>
            </w:pPr>
          </w:p>
        </w:tc>
      </w:tr>
    </w:tbl>
    <w:p w14:paraId="52F1481F" w14:textId="77777777" w:rsidR="00797408" w:rsidRDefault="00797408" w:rsidP="00221C68">
      <w:pPr>
        <w:spacing w:line="240" w:lineRule="auto"/>
        <w:rPr>
          <w:sz w:val="18"/>
        </w:rPr>
      </w:pPr>
    </w:p>
    <w:p w14:paraId="6B39B2ED" w14:textId="63D70789" w:rsidR="00221C68" w:rsidRDefault="00B8013C" w:rsidP="00221C68">
      <w:pPr>
        <w:spacing w:line="240" w:lineRule="auto"/>
        <w:rPr>
          <w:sz w:val="18"/>
        </w:rPr>
      </w:pPr>
      <w:r>
        <w:rPr>
          <w:sz w:val="18"/>
        </w:rPr>
        <w:t xml:space="preserve">ATTRv: </w:t>
      </w:r>
      <w:r w:rsidR="00424F01">
        <w:rPr>
          <w:sz w:val="18"/>
        </w:rPr>
        <w:t>h</w:t>
      </w:r>
      <w:r>
        <w:rPr>
          <w:sz w:val="18"/>
        </w:rPr>
        <w:t xml:space="preserve">ereditary transthyretin-mediated; </w:t>
      </w:r>
      <w:r w:rsidR="00221C68">
        <w:rPr>
          <w:sz w:val="18"/>
        </w:rPr>
        <w:t>FAP: Familial Amyloid Polyneuropathy; mBMI; modified Body Mass Index; mNIS+7</w:t>
      </w:r>
      <w:r w:rsidR="00221C68">
        <w:rPr>
          <w:sz w:val="18"/>
          <w:vertAlign w:val="subscript"/>
        </w:rPr>
        <w:t>Alnylam</w:t>
      </w:r>
      <w:r w:rsidR="00221C68">
        <w:rPr>
          <w:sz w:val="18"/>
        </w:rPr>
        <w:t xml:space="preserve">: modified Neuropathy Impairment Score +7 (Alnylam version); NIS-LL: Neuropathy Impairment Score–Lower Limbs; Norfolk QOL-DN: Norfolk Quality of Life-Diabetic Polyneuropathy PND: polyneuropathy disability; </w:t>
      </w:r>
      <w:r w:rsidR="00221C68">
        <w:rPr>
          <w:i/>
          <w:sz w:val="18"/>
        </w:rPr>
        <w:t>TTR</w:t>
      </w:r>
      <w:r w:rsidR="00221C68">
        <w:rPr>
          <w:sz w:val="18"/>
        </w:rPr>
        <w:t xml:space="preserve">: transthyretin; </w:t>
      </w:r>
      <w:r w:rsidR="00221C68">
        <w:rPr>
          <w:i/>
          <w:sz w:val="18"/>
        </w:rPr>
        <w:t>V30M</w:t>
      </w:r>
      <w:r w:rsidR="00221C68">
        <w:rPr>
          <w:sz w:val="18"/>
        </w:rPr>
        <w:t xml:space="preserve">: valine to methionine variant at amino acid 30. </w:t>
      </w:r>
    </w:p>
    <w:p w14:paraId="1F922396" w14:textId="6436EAD8" w:rsidR="00221C68" w:rsidRPr="00326EF1" w:rsidRDefault="00221C68" w:rsidP="00221C68">
      <w:pPr>
        <w:spacing w:line="240" w:lineRule="auto"/>
        <w:rPr>
          <w:sz w:val="18"/>
          <w:szCs w:val="18"/>
        </w:rPr>
      </w:pPr>
      <w:r>
        <w:rPr>
          <w:sz w:val="18"/>
          <w:vertAlign w:val="superscript"/>
        </w:rPr>
        <w:t>a</w:t>
      </w:r>
      <w:r>
        <w:rPr>
          <w:sz w:val="18"/>
        </w:rPr>
        <w:t xml:space="preserve"> FAP Stage 1 is not explicitly an inclusion criterion in Fx-005. However, it is assumed that the entire Fx-005 population was FAP Stage 1. Tafamidis was approved for treating transthyretin amyloidosis in adult patients with Stage 1 symptomatic polyneuropathy in the European Union, largely on the basis of </w:t>
      </w:r>
      <w:r w:rsidRPr="00326EF1">
        <w:rPr>
          <w:sz w:val="18"/>
          <w:szCs w:val="18"/>
        </w:rPr>
        <w:t xml:space="preserve">this trial </w:t>
      </w:r>
      <w:r w:rsidRPr="00562B61">
        <w:rPr>
          <w:noProof/>
          <w:sz w:val="18"/>
          <w:szCs w:val="18"/>
        </w:rPr>
        <w:t>[5]</w:t>
      </w:r>
      <w:r w:rsidRPr="00326EF1">
        <w:rPr>
          <w:sz w:val="18"/>
          <w:szCs w:val="18"/>
        </w:rPr>
        <w:t xml:space="preserve">. The European Medicines Agency specified that 126/128 (98%) patients in Fx-005 had FAP Stage 1 disease </w:t>
      </w:r>
      <w:r w:rsidRPr="00562B61">
        <w:rPr>
          <w:noProof/>
          <w:sz w:val="18"/>
          <w:szCs w:val="18"/>
        </w:rPr>
        <w:t>[4]</w:t>
      </w:r>
      <w:r w:rsidRPr="00326EF1">
        <w:rPr>
          <w:sz w:val="18"/>
          <w:szCs w:val="18"/>
        </w:rPr>
        <w:t>, although it is unclear how this was ascertained.</w:t>
      </w:r>
    </w:p>
    <w:p w14:paraId="446C0423" w14:textId="77777777" w:rsidR="00221C68" w:rsidRDefault="00221C68" w:rsidP="00221C68">
      <w:pPr>
        <w:spacing w:line="240" w:lineRule="auto"/>
        <w:rPr>
          <w:sz w:val="18"/>
        </w:rPr>
      </w:pPr>
      <w:r w:rsidRPr="00326EF1">
        <w:rPr>
          <w:sz w:val="18"/>
          <w:szCs w:val="18"/>
          <w:vertAlign w:val="superscript"/>
        </w:rPr>
        <w:t>b</w:t>
      </w:r>
      <w:r w:rsidRPr="00326EF1">
        <w:rPr>
          <w:sz w:val="18"/>
          <w:szCs w:val="18"/>
        </w:rPr>
        <w:t xml:space="preserve"> In situations where a month 9 or month 18 efficacy visit was unable to be</w:t>
      </w:r>
      <w:r>
        <w:rPr>
          <w:sz w:val="18"/>
        </w:rPr>
        <w:t xml:space="preserve"> completed due to the Coronavirus disease 2019 (COVID-19) pandemic, assessments were completed within 6 months after the intended time point (i.e. up to month 15 or month 24, respectively) after consultation with the Medical Monitor.</w:t>
      </w:r>
    </w:p>
    <w:p w14:paraId="7EE799F6" w14:textId="77777777" w:rsidR="00221C68" w:rsidRDefault="00221C68" w:rsidP="00221C68">
      <w:pPr>
        <w:spacing w:line="240" w:lineRule="auto"/>
        <w:rPr>
          <w:sz w:val="18"/>
          <w:vertAlign w:val="superscript"/>
        </w:rPr>
      </w:pPr>
      <w:r>
        <w:rPr>
          <w:sz w:val="18"/>
          <w:vertAlign w:val="superscript"/>
          <w:lang w:val="en-GB"/>
        </w:rPr>
        <w:t xml:space="preserve">C </w:t>
      </w:r>
      <w:r>
        <w:rPr>
          <w:sz w:val="18"/>
          <w:lang w:val="en-GB"/>
        </w:rPr>
        <w:t>mBMI value = (weight [kg] / height [m</w:t>
      </w:r>
      <w:r>
        <w:rPr>
          <w:sz w:val="18"/>
          <w:vertAlign w:val="superscript"/>
          <w:lang w:val="en-GB"/>
        </w:rPr>
        <w:t>2</w:t>
      </w:r>
      <w:r>
        <w:rPr>
          <w:sz w:val="18"/>
          <w:lang w:val="en-GB"/>
        </w:rPr>
        <w:t xml:space="preserve">]) x (albumin [g/L]); higher values indicate more favorable nutritional status. </w:t>
      </w:r>
    </w:p>
    <w:p w14:paraId="3C49959E" w14:textId="77777777" w:rsidR="00797408" w:rsidRDefault="00797408">
      <w:pPr>
        <w:spacing w:line="240" w:lineRule="auto"/>
        <w:jc w:val="left"/>
        <w:rPr>
          <w:b/>
        </w:rPr>
      </w:pPr>
      <w:r>
        <w:rPr>
          <w:b/>
        </w:rPr>
        <w:br w:type="page"/>
      </w:r>
    </w:p>
    <w:p w14:paraId="160A7E1D" w14:textId="49255D46" w:rsidR="00221C68" w:rsidRDefault="00221C68" w:rsidP="00221C68">
      <w:pPr>
        <w:keepNext/>
        <w:rPr>
          <w:b/>
        </w:rPr>
      </w:pPr>
      <w:r>
        <w:rPr>
          <w:b/>
        </w:rPr>
        <w:lastRenderedPageBreak/>
        <w:t>Supplementary Table 2. Baseline characteristics and disease characteristics of patients with FAP Stage 1 in the APOLLO</w:t>
      </w:r>
      <w:r w:rsidR="0056016C">
        <w:rPr>
          <w:b/>
        </w:rPr>
        <w:t>,</w:t>
      </w:r>
      <w:r>
        <w:rPr>
          <w:b/>
        </w:rPr>
        <w:t>HELIOS-A</w:t>
      </w:r>
      <w:r w:rsidR="0056016C">
        <w:rPr>
          <w:b/>
        </w:rPr>
        <w:t>,</w:t>
      </w:r>
      <w:r>
        <w:rPr>
          <w:b/>
        </w:rPr>
        <w:t xml:space="preserve"> and Fx-005 </w:t>
      </w:r>
      <w:r w:rsidR="0056016C">
        <w:rPr>
          <w:b/>
        </w:rPr>
        <w:t>studies</w:t>
      </w:r>
    </w:p>
    <w:tbl>
      <w:tblPr>
        <w:tblStyle w:val="Table"/>
        <w:tblW w:w="9016" w:type="dxa"/>
        <w:tblInd w:w="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547"/>
        <w:gridCol w:w="1618"/>
        <w:gridCol w:w="1617"/>
        <w:gridCol w:w="1617"/>
        <w:gridCol w:w="1617"/>
      </w:tblGrid>
      <w:tr w:rsidR="00221C68" w:rsidRPr="00A94464" w14:paraId="2B9AE87B" w14:textId="77777777" w:rsidTr="00B216A4">
        <w:trPr>
          <w:trHeight w:val="580"/>
          <w:tblHeader/>
        </w:trPr>
        <w:tc>
          <w:tcPr>
            <w:tcW w:w="2547"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0" w:type="dxa"/>
              <w:right w:w="15" w:type="dxa"/>
            </w:tcMar>
            <w:vAlign w:val="center"/>
          </w:tcPr>
          <w:p w14:paraId="2B94C8DF" w14:textId="77777777" w:rsidR="00221C68" w:rsidRPr="00A94464" w:rsidRDefault="00221C68" w:rsidP="00B216A4">
            <w:pPr>
              <w:keepNext/>
              <w:spacing w:line="276" w:lineRule="auto"/>
              <w:rPr>
                <w:b/>
                <w:sz w:val="18"/>
                <w:szCs w:val="18"/>
              </w:rPr>
            </w:pPr>
          </w:p>
        </w:tc>
        <w:tc>
          <w:tcPr>
            <w:tcW w:w="1618"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0" w:type="dxa"/>
              <w:right w:w="15" w:type="dxa"/>
            </w:tcMar>
            <w:vAlign w:val="center"/>
          </w:tcPr>
          <w:p w14:paraId="05EADE8B" w14:textId="77777777" w:rsidR="00221C68" w:rsidRPr="00A94464" w:rsidRDefault="00221C68" w:rsidP="00B216A4">
            <w:pPr>
              <w:keepNext/>
              <w:spacing w:line="276" w:lineRule="auto"/>
              <w:jc w:val="center"/>
              <w:rPr>
                <w:b/>
                <w:sz w:val="18"/>
                <w:szCs w:val="18"/>
              </w:rPr>
            </w:pPr>
            <w:r w:rsidRPr="00A94464">
              <w:rPr>
                <w:b/>
                <w:sz w:val="18"/>
                <w:szCs w:val="18"/>
              </w:rPr>
              <w:t xml:space="preserve">APOLLO </w:t>
            </w:r>
          </w:p>
          <w:p w14:paraId="1E683192" w14:textId="77777777" w:rsidR="00221C68" w:rsidRPr="00A94464" w:rsidRDefault="00221C68" w:rsidP="00B216A4">
            <w:pPr>
              <w:keepNext/>
              <w:spacing w:line="276" w:lineRule="auto"/>
              <w:jc w:val="center"/>
              <w:rPr>
                <w:b/>
                <w:sz w:val="18"/>
                <w:szCs w:val="18"/>
              </w:rPr>
            </w:pPr>
            <w:r w:rsidRPr="00A94464">
              <w:rPr>
                <w:b/>
                <w:sz w:val="18"/>
                <w:szCs w:val="18"/>
              </w:rPr>
              <w:t>FAP Stage 1 subgroup</w:t>
            </w:r>
          </w:p>
        </w:tc>
        <w:tc>
          <w:tcPr>
            <w:tcW w:w="1617"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0" w:type="dxa"/>
              <w:right w:w="15" w:type="dxa"/>
            </w:tcMar>
            <w:vAlign w:val="center"/>
          </w:tcPr>
          <w:p w14:paraId="1E4274EC" w14:textId="77777777" w:rsidR="00221C68" w:rsidRPr="00A94464" w:rsidRDefault="00221C68" w:rsidP="00B216A4">
            <w:pPr>
              <w:keepNext/>
              <w:spacing w:line="276" w:lineRule="auto"/>
              <w:jc w:val="center"/>
              <w:rPr>
                <w:b/>
                <w:sz w:val="18"/>
                <w:szCs w:val="18"/>
              </w:rPr>
            </w:pPr>
            <w:r w:rsidRPr="00A94464">
              <w:rPr>
                <w:b/>
                <w:sz w:val="18"/>
                <w:szCs w:val="18"/>
              </w:rPr>
              <w:t xml:space="preserve">HELIOS-A </w:t>
            </w:r>
          </w:p>
          <w:p w14:paraId="768C5520" w14:textId="77777777" w:rsidR="00221C68" w:rsidRPr="00A94464" w:rsidRDefault="00221C68" w:rsidP="00B216A4">
            <w:pPr>
              <w:keepNext/>
              <w:spacing w:line="276" w:lineRule="auto"/>
              <w:jc w:val="center"/>
              <w:rPr>
                <w:b/>
                <w:sz w:val="18"/>
                <w:szCs w:val="18"/>
              </w:rPr>
            </w:pPr>
            <w:r w:rsidRPr="00A94464">
              <w:rPr>
                <w:b/>
                <w:sz w:val="18"/>
                <w:szCs w:val="18"/>
              </w:rPr>
              <w:t xml:space="preserve">FAP Stage 1 </w:t>
            </w:r>
          </w:p>
          <w:p w14:paraId="00AAB333" w14:textId="77777777" w:rsidR="00221C68" w:rsidRPr="00A94464" w:rsidRDefault="00221C68" w:rsidP="00B216A4">
            <w:pPr>
              <w:keepNext/>
              <w:spacing w:line="276" w:lineRule="auto"/>
              <w:jc w:val="center"/>
              <w:rPr>
                <w:b/>
                <w:sz w:val="18"/>
                <w:szCs w:val="18"/>
              </w:rPr>
            </w:pPr>
            <w:r w:rsidRPr="00A94464">
              <w:rPr>
                <w:b/>
                <w:sz w:val="18"/>
                <w:szCs w:val="18"/>
              </w:rPr>
              <w:t>subgroup</w:t>
            </w:r>
          </w:p>
        </w:tc>
        <w:tc>
          <w:tcPr>
            <w:tcW w:w="3234" w:type="dxa"/>
            <w:gridSpan w:val="2"/>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0" w:type="dxa"/>
              <w:right w:w="15" w:type="dxa"/>
            </w:tcMar>
            <w:vAlign w:val="center"/>
          </w:tcPr>
          <w:p w14:paraId="2FA967B2" w14:textId="77777777" w:rsidR="00221C68" w:rsidRPr="00A94464" w:rsidRDefault="00221C68" w:rsidP="00B216A4">
            <w:pPr>
              <w:keepNext/>
              <w:spacing w:line="276" w:lineRule="auto"/>
              <w:jc w:val="center"/>
              <w:rPr>
                <w:b/>
                <w:sz w:val="18"/>
                <w:szCs w:val="18"/>
              </w:rPr>
            </w:pPr>
            <w:r w:rsidRPr="00A94464">
              <w:rPr>
                <w:b/>
                <w:sz w:val="18"/>
                <w:szCs w:val="18"/>
              </w:rPr>
              <w:t>Fx-005</w:t>
            </w:r>
          </w:p>
          <w:p w14:paraId="10FBEC0A" w14:textId="77777777" w:rsidR="00221C68" w:rsidRPr="00A94464" w:rsidRDefault="00221C68" w:rsidP="00B216A4">
            <w:pPr>
              <w:keepNext/>
              <w:spacing w:line="276" w:lineRule="auto"/>
              <w:jc w:val="center"/>
              <w:rPr>
                <w:b/>
                <w:sz w:val="18"/>
                <w:szCs w:val="18"/>
              </w:rPr>
            </w:pPr>
            <w:r w:rsidRPr="00A94464">
              <w:rPr>
                <w:b/>
                <w:sz w:val="18"/>
                <w:szCs w:val="18"/>
              </w:rPr>
              <w:t>ITT population</w:t>
            </w:r>
          </w:p>
        </w:tc>
      </w:tr>
      <w:tr w:rsidR="00221C68" w:rsidRPr="00A94464" w14:paraId="701E2FA9" w14:textId="77777777" w:rsidTr="00B216A4">
        <w:trPr>
          <w:trHeight w:val="580"/>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0D57249" w14:textId="77777777" w:rsidR="00221C68" w:rsidRPr="00A94464" w:rsidRDefault="00221C68" w:rsidP="00B216A4">
            <w:pPr>
              <w:keepNext/>
              <w:spacing w:line="276" w:lineRule="auto"/>
              <w:rPr>
                <w:b/>
                <w:sz w:val="18"/>
                <w:szCs w:val="18"/>
              </w:rPr>
            </w:pP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78E5A89" w14:textId="77777777" w:rsidR="00221C68" w:rsidRPr="00A94464" w:rsidRDefault="00221C68" w:rsidP="00B216A4">
            <w:pPr>
              <w:keepNext/>
              <w:spacing w:line="276" w:lineRule="auto"/>
              <w:jc w:val="center"/>
              <w:rPr>
                <w:b/>
                <w:sz w:val="18"/>
                <w:szCs w:val="18"/>
              </w:rPr>
            </w:pPr>
            <w:r w:rsidRPr="00A94464">
              <w:rPr>
                <w:b/>
                <w:sz w:val="18"/>
                <w:szCs w:val="18"/>
              </w:rPr>
              <w:t xml:space="preserve">Placebo </w:t>
            </w:r>
          </w:p>
          <w:p w14:paraId="3B340D51" w14:textId="77777777" w:rsidR="00221C68" w:rsidRPr="00A94464" w:rsidRDefault="00221C68" w:rsidP="00B216A4">
            <w:pPr>
              <w:keepNext/>
              <w:spacing w:line="276" w:lineRule="auto"/>
              <w:jc w:val="center"/>
              <w:rPr>
                <w:sz w:val="18"/>
                <w:szCs w:val="18"/>
              </w:rPr>
            </w:pPr>
            <w:r w:rsidRPr="00A94464">
              <w:rPr>
                <w:b/>
                <w:sz w:val="18"/>
                <w:szCs w:val="18"/>
              </w:rPr>
              <w:t>(</w:t>
            </w:r>
            <w:r w:rsidRPr="00A94464">
              <w:rPr>
                <w:b/>
                <w:i/>
                <w:sz w:val="18"/>
                <w:szCs w:val="18"/>
              </w:rPr>
              <w:t>n</w:t>
            </w:r>
            <w:r w:rsidRPr="00A94464">
              <w:rPr>
                <w:b/>
                <w:sz w:val="18"/>
                <w:szCs w:val="18"/>
              </w:rPr>
              <w:t>=37)</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6EFA435" w14:textId="77777777" w:rsidR="00221C68" w:rsidRPr="00A94464" w:rsidRDefault="00221C68" w:rsidP="00B216A4">
            <w:pPr>
              <w:keepNext/>
              <w:spacing w:line="276" w:lineRule="auto"/>
              <w:jc w:val="center"/>
              <w:rPr>
                <w:b/>
                <w:sz w:val="18"/>
                <w:szCs w:val="18"/>
              </w:rPr>
            </w:pPr>
            <w:r w:rsidRPr="00A94464">
              <w:rPr>
                <w:b/>
                <w:sz w:val="18"/>
                <w:szCs w:val="18"/>
              </w:rPr>
              <w:t xml:space="preserve">Vutrisiran </w:t>
            </w:r>
          </w:p>
          <w:p w14:paraId="427B5F8B" w14:textId="77777777" w:rsidR="00221C68" w:rsidRPr="00A94464" w:rsidRDefault="00221C68" w:rsidP="00B216A4">
            <w:pPr>
              <w:keepNext/>
              <w:spacing w:line="276" w:lineRule="auto"/>
              <w:jc w:val="center"/>
              <w:rPr>
                <w:sz w:val="18"/>
                <w:szCs w:val="18"/>
              </w:rPr>
            </w:pPr>
            <w:r w:rsidRPr="00A94464">
              <w:rPr>
                <w:b/>
                <w:sz w:val="18"/>
                <w:szCs w:val="18"/>
              </w:rPr>
              <w:t>(</w:t>
            </w:r>
            <w:r w:rsidRPr="00A94464">
              <w:rPr>
                <w:b/>
                <w:i/>
                <w:sz w:val="18"/>
                <w:szCs w:val="18"/>
              </w:rPr>
              <w:t>n</w:t>
            </w:r>
            <w:r w:rsidRPr="00A94464">
              <w:rPr>
                <w:b/>
                <w:sz w:val="18"/>
                <w:szCs w:val="18"/>
              </w:rPr>
              <w:t xml:space="preserve">=85) </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20D2C9E" w14:textId="77777777" w:rsidR="00221C68" w:rsidRPr="00A94464" w:rsidRDefault="00221C68" w:rsidP="00B216A4">
            <w:pPr>
              <w:keepNext/>
              <w:spacing w:line="276" w:lineRule="auto"/>
              <w:jc w:val="center"/>
              <w:rPr>
                <w:sz w:val="18"/>
                <w:szCs w:val="18"/>
              </w:rPr>
            </w:pPr>
            <w:r w:rsidRPr="00A94464">
              <w:rPr>
                <w:b/>
                <w:sz w:val="18"/>
                <w:szCs w:val="18"/>
              </w:rPr>
              <w:t xml:space="preserve">Placebo </w:t>
            </w:r>
          </w:p>
          <w:p w14:paraId="1E756A10" w14:textId="77777777" w:rsidR="00221C68" w:rsidRPr="00A94464" w:rsidRDefault="00221C68" w:rsidP="00B216A4">
            <w:pPr>
              <w:keepNext/>
              <w:spacing w:line="276" w:lineRule="auto"/>
              <w:jc w:val="center"/>
              <w:rPr>
                <w:sz w:val="18"/>
                <w:szCs w:val="18"/>
              </w:rPr>
            </w:pPr>
            <w:r w:rsidRPr="00A94464">
              <w:rPr>
                <w:b/>
                <w:sz w:val="18"/>
                <w:szCs w:val="18"/>
              </w:rPr>
              <w:t>(</w:t>
            </w:r>
            <w:r w:rsidRPr="00A94464">
              <w:rPr>
                <w:b/>
                <w:i/>
                <w:sz w:val="18"/>
                <w:szCs w:val="18"/>
              </w:rPr>
              <w:t>n</w:t>
            </w:r>
            <w:r w:rsidRPr="00A94464">
              <w:rPr>
                <w:b/>
                <w:sz w:val="18"/>
                <w:szCs w:val="18"/>
              </w:rPr>
              <w:t>=61)</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972B84A" w14:textId="77777777" w:rsidR="00221C68" w:rsidRPr="00A94464" w:rsidRDefault="00221C68" w:rsidP="00B216A4">
            <w:pPr>
              <w:keepNext/>
              <w:spacing w:line="276" w:lineRule="auto"/>
              <w:jc w:val="center"/>
              <w:rPr>
                <w:sz w:val="18"/>
                <w:szCs w:val="18"/>
              </w:rPr>
            </w:pPr>
            <w:r w:rsidRPr="00A94464">
              <w:rPr>
                <w:b/>
                <w:sz w:val="18"/>
                <w:szCs w:val="18"/>
              </w:rPr>
              <w:t xml:space="preserve">Tafamidis </w:t>
            </w:r>
          </w:p>
          <w:p w14:paraId="6114A581" w14:textId="77777777" w:rsidR="00221C68" w:rsidRPr="00A94464" w:rsidRDefault="00221C68" w:rsidP="00B216A4">
            <w:pPr>
              <w:keepNext/>
              <w:spacing w:line="276" w:lineRule="auto"/>
              <w:jc w:val="center"/>
              <w:rPr>
                <w:sz w:val="18"/>
                <w:szCs w:val="18"/>
              </w:rPr>
            </w:pPr>
            <w:r w:rsidRPr="00A94464">
              <w:rPr>
                <w:b/>
                <w:sz w:val="18"/>
                <w:szCs w:val="18"/>
              </w:rPr>
              <w:t>(</w:t>
            </w:r>
            <w:r w:rsidRPr="00A94464">
              <w:rPr>
                <w:b/>
                <w:i/>
                <w:sz w:val="18"/>
                <w:szCs w:val="18"/>
              </w:rPr>
              <w:t>n</w:t>
            </w:r>
            <w:r w:rsidRPr="00A94464">
              <w:rPr>
                <w:b/>
                <w:sz w:val="18"/>
                <w:szCs w:val="18"/>
              </w:rPr>
              <w:t>=64)</w:t>
            </w:r>
          </w:p>
        </w:tc>
      </w:tr>
      <w:tr w:rsidR="00221C68" w:rsidRPr="00A94464" w14:paraId="6FEF1917" w14:textId="77777777" w:rsidTr="00B216A4">
        <w:trPr>
          <w:trHeight w:val="338"/>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1175284" w14:textId="77777777" w:rsidR="00221C68" w:rsidRPr="00A94464" w:rsidRDefault="00221C68" w:rsidP="00B216A4">
            <w:pPr>
              <w:spacing w:line="276" w:lineRule="auto"/>
              <w:ind w:left="112"/>
              <w:rPr>
                <w:b/>
                <w:sz w:val="18"/>
                <w:szCs w:val="18"/>
              </w:rPr>
            </w:pPr>
            <w:r w:rsidRPr="00A94464">
              <w:rPr>
                <w:b/>
                <w:sz w:val="18"/>
                <w:szCs w:val="18"/>
              </w:rPr>
              <w:t>Age, mean (SD), years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6C56FFE" w14:textId="77777777" w:rsidR="00221C68" w:rsidRPr="00A94464" w:rsidRDefault="00221C68" w:rsidP="00B216A4">
            <w:pPr>
              <w:spacing w:line="276" w:lineRule="auto"/>
              <w:jc w:val="center"/>
              <w:rPr>
                <w:sz w:val="18"/>
                <w:szCs w:val="18"/>
              </w:rPr>
            </w:pPr>
            <w:r w:rsidRPr="00A94464">
              <w:rPr>
                <w:sz w:val="18"/>
                <w:szCs w:val="18"/>
              </w:rPr>
              <w:t>60.1 (11.2)</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F66152D" w14:textId="77777777" w:rsidR="00221C68" w:rsidRPr="00A94464" w:rsidRDefault="00221C68" w:rsidP="00B216A4">
            <w:pPr>
              <w:spacing w:line="276" w:lineRule="auto"/>
              <w:jc w:val="center"/>
              <w:rPr>
                <w:sz w:val="18"/>
                <w:szCs w:val="18"/>
              </w:rPr>
            </w:pPr>
            <w:r w:rsidRPr="00A94464">
              <w:rPr>
                <w:sz w:val="18"/>
                <w:szCs w:val="18"/>
              </w:rPr>
              <w:t>54.4 (13.3)</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A473823" w14:textId="77777777" w:rsidR="00221C68" w:rsidRPr="00A94464" w:rsidRDefault="00221C68" w:rsidP="00B216A4">
            <w:pPr>
              <w:spacing w:line="276" w:lineRule="auto"/>
              <w:jc w:val="center"/>
              <w:rPr>
                <w:sz w:val="18"/>
                <w:szCs w:val="18"/>
              </w:rPr>
            </w:pPr>
            <w:r w:rsidRPr="00A94464">
              <w:rPr>
                <w:sz w:val="18"/>
                <w:szCs w:val="18"/>
              </w:rPr>
              <w:t>38.4 (12.9)</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94179EB" w14:textId="77777777" w:rsidR="00221C68" w:rsidRPr="00A94464" w:rsidRDefault="00221C68" w:rsidP="00B216A4">
            <w:pPr>
              <w:spacing w:line="276" w:lineRule="auto"/>
              <w:jc w:val="center"/>
              <w:rPr>
                <w:sz w:val="18"/>
                <w:szCs w:val="18"/>
              </w:rPr>
            </w:pPr>
            <w:r w:rsidRPr="00A94464">
              <w:rPr>
                <w:sz w:val="18"/>
                <w:szCs w:val="18"/>
              </w:rPr>
              <w:t>39.8 (12.7)</w:t>
            </w:r>
          </w:p>
        </w:tc>
      </w:tr>
      <w:tr w:rsidR="00221C68" w:rsidRPr="00A94464" w14:paraId="23802CF7" w14:textId="77777777" w:rsidTr="00B216A4">
        <w:trPr>
          <w:trHeight w:val="430"/>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2A276B3" w14:textId="77777777" w:rsidR="00221C68" w:rsidRPr="00A94464" w:rsidRDefault="00221C68" w:rsidP="00B216A4">
            <w:pPr>
              <w:spacing w:line="276" w:lineRule="auto"/>
              <w:ind w:left="112"/>
              <w:rPr>
                <w:b/>
                <w:sz w:val="18"/>
                <w:szCs w:val="18"/>
              </w:rPr>
            </w:pPr>
            <w:r w:rsidRPr="00A94464">
              <w:rPr>
                <w:b/>
                <w:sz w:val="18"/>
                <w:szCs w:val="18"/>
              </w:rPr>
              <w:t xml:space="preserve">Sex, male </w:t>
            </w:r>
            <w:r w:rsidRPr="00A94464">
              <w:rPr>
                <w:b/>
                <w:i/>
                <w:sz w:val="18"/>
                <w:szCs w:val="18"/>
              </w:rPr>
              <w:t>n</w:t>
            </w:r>
            <w:r w:rsidRPr="00A94464">
              <w:rPr>
                <w:b/>
                <w:sz w:val="18"/>
                <w:szCs w:val="18"/>
              </w:rPr>
              <w:t xml:space="preserve">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DB087DE" w14:textId="77777777" w:rsidR="00221C68" w:rsidRPr="00A94464" w:rsidRDefault="00221C68" w:rsidP="00B216A4">
            <w:pPr>
              <w:spacing w:line="276" w:lineRule="auto"/>
              <w:jc w:val="center"/>
              <w:rPr>
                <w:sz w:val="18"/>
                <w:szCs w:val="18"/>
              </w:rPr>
            </w:pPr>
            <w:r w:rsidRPr="00A94464">
              <w:rPr>
                <w:sz w:val="18"/>
                <w:szCs w:val="18"/>
              </w:rPr>
              <w:t>25 (67.6)</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8593D7F" w14:textId="77777777" w:rsidR="00221C68" w:rsidRPr="00A94464" w:rsidRDefault="00221C68" w:rsidP="00B216A4">
            <w:pPr>
              <w:spacing w:line="276" w:lineRule="auto"/>
              <w:jc w:val="center"/>
              <w:rPr>
                <w:sz w:val="18"/>
                <w:szCs w:val="18"/>
              </w:rPr>
            </w:pPr>
            <w:r w:rsidRPr="00A94464">
              <w:rPr>
                <w:sz w:val="18"/>
                <w:szCs w:val="18"/>
              </w:rPr>
              <w:t>55 (64.7)</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298EFB5" w14:textId="77777777" w:rsidR="00221C68" w:rsidRPr="00A94464" w:rsidRDefault="00221C68" w:rsidP="00B216A4">
            <w:pPr>
              <w:spacing w:line="276" w:lineRule="auto"/>
              <w:jc w:val="center"/>
              <w:rPr>
                <w:sz w:val="18"/>
                <w:szCs w:val="18"/>
              </w:rPr>
            </w:pPr>
            <w:r w:rsidRPr="00A94464">
              <w:rPr>
                <w:sz w:val="18"/>
                <w:szCs w:val="18"/>
              </w:rPr>
              <w:t>26 (43)</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0309991" w14:textId="77777777" w:rsidR="00221C68" w:rsidRPr="00A94464" w:rsidRDefault="00221C68" w:rsidP="00B216A4">
            <w:pPr>
              <w:spacing w:line="276" w:lineRule="auto"/>
              <w:jc w:val="center"/>
              <w:rPr>
                <w:sz w:val="18"/>
                <w:szCs w:val="18"/>
              </w:rPr>
            </w:pPr>
            <w:r w:rsidRPr="00A94464">
              <w:rPr>
                <w:sz w:val="18"/>
                <w:szCs w:val="18"/>
              </w:rPr>
              <w:t>32 (50)</w:t>
            </w:r>
          </w:p>
        </w:tc>
      </w:tr>
      <w:tr w:rsidR="00221C68" w:rsidRPr="00A94464" w14:paraId="77031984" w14:textId="77777777" w:rsidTr="00B216A4">
        <w:trPr>
          <w:trHeight w:val="462"/>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80" w:type="dxa"/>
              <w:bottom w:w="0" w:type="dxa"/>
              <w:right w:w="15" w:type="dxa"/>
            </w:tcMar>
            <w:vAlign w:val="center"/>
          </w:tcPr>
          <w:p w14:paraId="0749CFAF" w14:textId="77777777" w:rsidR="00221C68" w:rsidRPr="00A94464" w:rsidRDefault="00221C68" w:rsidP="00B216A4">
            <w:pPr>
              <w:spacing w:line="276" w:lineRule="auto"/>
              <w:ind w:left="-55"/>
              <w:rPr>
                <w:b/>
                <w:sz w:val="18"/>
                <w:szCs w:val="18"/>
              </w:rPr>
            </w:pPr>
            <w:r w:rsidRPr="00A94464">
              <w:rPr>
                <w:b/>
                <w:i/>
                <w:sz w:val="18"/>
                <w:szCs w:val="18"/>
              </w:rPr>
              <w:t>TTR</w:t>
            </w:r>
            <w:r w:rsidRPr="00A94464">
              <w:rPr>
                <w:b/>
                <w:sz w:val="18"/>
                <w:szCs w:val="18"/>
              </w:rPr>
              <w:t xml:space="preserve"> variant </w:t>
            </w:r>
            <w:r w:rsidRPr="00A94464">
              <w:rPr>
                <w:b/>
                <w:i/>
                <w:sz w:val="18"/>
                <w:szCs w:val="18"/>
              </w:rPr>
              <w:t>V30M</w:t>
            </w:r>
            <w:r w:rsidRPr="00A94464">
              <w:rPr>
                <w:b/>
                <w:sz w:val="18"/>
                <w:szCs w:val="18"/>
              </w:rPr>
              <w:t xml:space="preserve">, </w:t>
            </w:r>
            <w:r w:rsidRPr="00A94464">
              <w:rPr>
                <w:b/>
                <w:i/>
                <w:sz w:val="18"/>
                <w:szCs w:val="18"/>
              </w:rPr>
              <w:t>n</w:t>
            </w:r>
            <w:r w:rsidRPr="00A94464">
              <w:rPr>
                <w:b/>
                <w:sz w:val="18"/>
                <w:szCs w:val="18"/>
              </w:rPr>
              <w:t xml:space="preserve">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5B118C8" w14:textId="77777777" w:rsidR="00221C68" w:rsidRPr="00A94464" w:rsidRDefault="00221C68" w:rsidP="00B216A4">
            <w:pPr>
              <w:spacing w:line="276" w:lineRule="auto"/>
              <w:jc w:val="center"/>
              <w:rPr>
                <w:sz w:val="18"/>
                <w:szCs w:val="18"/>
              </w:rPr>
            </w:pPr>
            <w:r w:rsidRPr="00A94464">
              <w:rPr>
                <w:sz w:val="18"/>
                <w:szCs w:val="18"/>
              </w:rPr>
              <w:t>20 (54.1)</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61090F0" w14:textId="77777777" w:rsidR="00221C68" w:rsidRPr="00A94464" w:rsidRDefault="00221C68" w:rsidP="00B216A4">
            <w:pPr>
              <w:spacing w:line="276" w:lineRule="auto"/>
              <w:jc w:val="center"/>
              <w:rPr>
                <w:sz w:val="18"/>
                <w:szCs w:val="18"/>
              </w:rPr>
            </w:pPr>
            <w:r w:rsidRPr="00A94464">
              <w:rPr>
                <w:sz w:val="18"/>
                <w:szCs w:val="18"/>
              </w:rPr>
              <w:t>41 (48.2)</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49530B0" w14:textId="77777777" w:rsidR="00221C68" w:rsidRPr="00A94464" w:rsidRDefault="00221C68" w:rsidP="00B216A4">
            <w:pPr>
              <w:spacing w:line="276" w:lineRule="auto"/>
              <w:jc w:val="center"/>
              <w:rPr>
                <w:sz w:val="18"/>
                <w:szCs w:val="18"/>
              </w:rPr>
            </w:pPr>
            <w:r w:rsidRPr="00A94464">
              <w:rPr>
                <w:sz w:val="18"/>
                <w:szCs w:val="18"/>
              </w:rPr>
              <w:t>61 (100)</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A79A030" w14:textId="77777777" w:rsidR="00221C68" w:rsidRPr="00A94464" w:rsidRDefault="00221C68" w:rsidP="00B216A4">
            <w:pPr>
              <w:spacing w:line="276" w:lineRule="auto"/>
              <w:jc w:val="center"/>
              <w:rPr>
                <w:sz w:val="18"/>
                <w:szCs w:val="18"/>
              </w:rPr>
            </w:pPr>
            <w:r w:rsidRPr="00A94464">
              <w:rPr>
                <w:sz w:val="18"/>
                <w:szCs w:val="18"/>
              </w:rPr>
              <w:t>64 (100)</w:t>
            </w:r>
          </w:p>
        </w:tc>
      </w:tr>
      <w:tr w:rsidR="00221C68" w:rsidRPr="00A94464" w14:paraId="0299E4F2" w14:textId="77777777" w:rsidTr="00B216A4">
        <w:trPr>
          <w:trHeight w:val="611"/>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CF6D31D" w14:textId="77777777" w:rsidR="00221C68" w:rsidRPr="00A94464" w:rsidRDefault="00221C68" w:rsidP="00B216A4">
            <w:pPr>
              <w:spacing w:line="276" w:lineRule="auto"/>
              <w:ind w:left="112"/>
              <w:jc w:val="left"/>
              <w:rPr>
                <w:b/>
                <w:sz w:val="18"/>
                <w:szCs w:val="18"/>
              </w:rPr>
            </w:pPr>
            <w:r w:rsidRPr="00A94464">
              <w:rPr>
                <w:b/>
                <w:sz w:val="18"/>
                <w:szCs w:val="18"/>
              </w:rPr>
              <w:t>Disease duration, mean (SD), years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40DEA9C" w14:textId="77777777" w:rsidR="00221C68" w:rsidRPr="00A94464" w:rsidRDefault="00221C68" w:rsidP="00B216A4">
            <w:pPr>
              <w:spacing w:line="276" w:lineRule="auto"/>
              <w:jc w:val="center"/>
              <w:rPr>
                <w:sz w:val="18"/>
                <w:szCs w:val="18"/>
              </w:rPr>
            </w:pPr>
            <w:r w:rsidRPr="00A94464">
              <w:rPr>
                <w:sz w:val="18"/>
                <w:szCs w:val="18"/>
              </w:rPr>
              <w:t>2.4 (3.0)</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4EE2BCE" w14:textId="77777777" w:rsidR="00221C68" w:rsidRPr="00A94464" w:rsidRDefault="00221C68" w:rsidP="00B216A4">
            <w:pPr>
              <w:spacing w:line="276" w:lineRule="auto"/>
              <w:jc w:val="center"/>
              <w:rPr>
                <w:sz w:val="18"/>
                <w:szCs w:val="18"/>
              </w:rPr>
            </w:pPr>
            <w:r w:rsidRPr="00A94464">
              <w:rPr>
                <w:sz w:val="18"/>
                <w:szCs w:val="18"/>
              </w:rPr>
              <w:t>4.0 (4.2)</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0133C1B" w14:textId="77777777" w:rsidR="00221C68" w:rsidRPr="00A94464" w:rsidRDefault="00221C68" w:rsidP="00B216A4">
            <w:pPr>
              <w:spacing w:line="276" w:lineRule="auto"/>
              <w:jc w:val="center"/>
              <w:rPr>
                <w:sz w:val="18"/>
                <w:szCs w:val="18"/>
              </w:rPr>
            </w:pPr>
            <w:r w:rsidRPr="00A94464">
              <w:rPr>
                <w:sz w:val="18"/>
                <w:szCs w:val="18"/>
              </w:rPr>
              <w:t>2.9 (2.7)</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CF5891C" w14:textId="77777777" w:rsidR="00221C68" w:rsidRPr="00A94464" w:rsidRDefault="00221C68" w:rsidP="00B216A4">
            <w:pPr>
              <w:spacing w:line="276" w:lineRule="auto"/>
              <w:jc w:val="center"/>
              <w:rPr>
                <w:sz w:val="18"/>
                <w:szCs w:val="18"/>
              </w:rPr>
            </w:pPr>
            <w:r w:rsidRPr="00A94464">
              <w:rPr>
                <w:sz w:val="18"/>
                <w:szCs w:val="18"/>
              </w:rPr>
              <w:t xml:space="preserve">3.9 (4.0) </w:t>
            </w:r>
          </w:p>
        </w:tc>
      </w:tr>
      <w:tr w:rsidR="00221C68" w:rsidRPr="00A94464" w14:paraId="394DB8F3" w14:textId="77777777" w:rsidTr="00B216A4">
        <w:trPr>
          <w:trHeight w:val="611"/>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4F0CF5C" w14:textId="77777777" w:rsidR="00221C68" w:rsidRPr="00A94464" w:rsidRDefault="00221C68" w:rsidP="00B216A4">
            <w:pPr>
              <w:spacing w:line="276" w:lineRule="auto"/>
              <w:ind w:left="112"/>
              <w:jc w:val="left"/>
              <w:rPr>
                <w:b/>
                <w:sz w:val="18"/>
                <w:szCs w:val="18"/>
              </w:rPr>
            </w:pPr>
            <w:r w:rsidRPr="00A94464">
              <w:rPr>
                <w:b/>
                <w:sz w:val="18"/>
                <w:szCs w:val="18"/>
              </w:rPr>
              <w:t xml:space="preserve">Prior treatment with tafamidis or diflunisal, </w:t>
            </w:r>
            <w:r w:rsidRPr="00A94464">
              <w:rPr>
                <w:b/>
                <w:i/>
                <w:sz w:val="18"/>
                <w:szCs w:val="18"/>
              </w:rPr>
              <w:t>n</w:t>
            </w:r>
            <w:r w:rsidRPr="00A94464">
              <w:rPr>
                <w:b/>
                <w:sz w:val="18"/>
                <w:szCs w:val="18"/>
              </w:rPr>
              <w:t xml:space="preserve">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54FE627" w14:textId="77777777" w:rsidR="00221C68" w:rsidRPr="00A94464" w:rsidRDefault="00221C68" w:rsidP="00B216A4">
            <w:pPr>
              <w:spacing w:line="276" w:lineRule="auto"/>
              <w:jc w:val="center"/>
              <w:rPr>
                <w:sz w:val="18"/>
                <w:szCs w:val="18"/>
              </w:rPr>
            </w:pPr>
            <w:r w:rsidRPr="00A94464">
              <w:rPr>
                <w:sz w:val="18"/>
                <w:szCs w:val="18"/>
              </w:rPr>
              <w:t>20 (54.1)</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53D1598" w14:textId="77777777" w:rsidR="00221C68" w:rsidRPr="00A94464" w:rsidRDefault="00221C68" w:rsidP="00B216A4">
            <w:pPr>
              <w:spacing w:line="276" w:lineRule="auto"/>
              <w:jc w:val="center"/>
              <w:rPr>
                <w:sz w:val="18"/>
                <w:szCs w:val="18"/>
              </w:rPr>
            </w:pPr>
            <w:r w:rsidRPr="00A94464">
              <w:rPr>
                <w:sz w:val="18"/>
                <w:szCs w:val="18"/>
              </w:rPr>
              <w:t>53 (62.4)</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3726798" w14:textId="77777777" w:rsidR="00221C68" w:rsidRPr="00A94464" w:rsidRDefault="00221C68" w:rsidP="00B216A4">
            <w:pPr>
              <w:spacing w:line="276" w:lineRule="auto"/>
              <w:jc w:val="center"/>
              <w:rPr>
                <w:sz w:val="18"/>
                <w:szCs w:val="18"/>
              </w:rPr>
            </w:pPr>
            <w:r w:rsidRPr="00A94464">
              <w:rPr>
                <w:sz w:val="18"/>
                <w:szCs w:val="18"/>
              </w:rPr>
              <w:t>0 (0)</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6FD2A55" w14:textId="77777777" w:rsidR="00221C68" w:rsidRPr="00A94464" w:rsidRDefault="00221C68" w:rsidP="00B216A4">
            <w:pPr>
              <w:spacing w:line="276" w:lineRule="auto"/>
              <w:jc w:val="center"/>
              <w:rPr>
                <w:sz w:val="18"/>
                <w:szCs w:val="18"/>
              </w:rPr>
            </w:pPr>
            <w:r w:rsidRPr="00A94464">
              <w:rPr>
                <w:sz w:val="18"/>
                <w:szCs w:val="18"/>
              </w:rPr>
              <w:t>0 (0)</w:t>
            </w:r>
          </w:p>
        </w:tc>
      </w:tr>
      <w:tr w:rsidR="00221C68" w:rsidRPr="00A94464" w14:paraId="534F2AD1" w14:textId="77777777" w:rsidTr="00B216A4">
        <w:trPr>
          <w:trHeight w:val="611"/>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5BD1359" w14:textId="77777777" w:rsidR="00221C68" w:rsidRPr="00A94464" w:rsidRDefault="00221C68" w:rsidP="00B216A4">
            <w:pPr>
              <w:spacing w:line="276" w:lineRule="auto"/>
              <w:ind w:left="112"/>
              <w:rPr>
                <w:b/>
                <w:sz w:val="18"/>
                <w:szCs w:val="18"/>
              </w:rPr>
            </w:pPr>
            <w:r w:rsidRPr="00A94464">
              <w:rPr>
                <w:b/>
                <w:sz w:val="18"/>
                <w:szCs w:val="18"/>
              </w:rPr>
              <w:t>mBMI, mean (SD)</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19C2BB3" w14:textId="77777777" w:rsidR="00221C68" w:rsidRPr="00A94464" w:rsidRDefault="00221C68" w:rsidP="00B216A4">
            <w:pPr>
              <w:spacing w:line="276" w:lineRule="auto"/>
              <w:jc w:val="center"/>
              <w:rPr>
                <w:sz w:val="18"/>
                <w:szCs w:val="18"/>
              </w:rPr>
            </w:pPr>
            <w:r w:rsidRPr="00A94464">
              <w:rPr>
                <w:sz w:val="18"/>
                <w:szCs w:val="18"/>
              </w:rPr>
              <w:t>1027.4 (219.0)</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F45614D" w14:textId="77777777" w:rsidR="00221C68" w:rsidRPr="00A94464" w:rsidRDefault="00221C68" w:rsidP="00B216A4">
            <w:pPr>
              <w:spacing w:line="276" w:lineRule="auto"/>
              <w:jc w:val="center"/>
              <w:rPr>
                <w:sz w:val="18"/>
                <w:szCs w:val="18"/>
              </w:rPr>
            </w:pPr>
            <w:r w:rsidRPr="00A94464">
              <w:rPr>
                <w:sz w:val="18"/>
                <w:szCs w:val="18"/>
              </w:rPr>
              <w:t xml:space="preserve">1080.5 (232.9) </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3B27068" w14:textId="77777777" w:rsidR="00221C68" w:rsidRPr="00A94464" w:rsidRDefault="00221C68" w:rsidP="00B216A4">
            <w:pPr>
              <w:spacing w:line="276" w:lineRule="auto"/>
              <w:jc w:val="center"/>
              <w:rPr>
                <w:sz w:val="18"/>
                <w:szCs w:val="18"/>
              </w:rPr>
            </w:pPr>
            <w:r w:rsidRPr="00A94464">
              <w:rPr>
                <w:sz w:val="18"/>
                <w:szCs w:val="18"/>
              </w:rPr>
              <w:t>1011.5 (212.9)</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F8F30C8" w14:textId="77777777" w:rsidR="00221C68" w:rsidRPr="00A94464" w:rsidRDefault="00221C68" w:rsidP="00B216A4">
            <w:pPr>
              <w:spacing w:line="276" w:lineRule="auto"/>
              <w:jc w:val="center"/>
              <w:rPr>
                <w:sz w:val="18"/>
                <w:szCs w:val="18"/>
              </w:rPr>
            </w:pPr>
            <w:r w:rsidRPr="00A94464">
              <w:rPr>
                <w:sz w:val="18"/>
                <w:szCs w:val="18"/>
              </w:rPr>
              <w:t>1004.6 (165.2)</w:t>
            </w:r>
          </w:p>
        </w:tc>
      </w:tr>
      <w:tr w:rsidR="00221C68" w:rsidRPr="00A94464" w14:paraId="06F585D8" w14:textId="77777777" w:rsidTr="009950B8">
        <w:trPr>
          <w:trHeight w:val="611"/>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F2A7CAE" w14:textId="77777777" w:rsidR="00221C68" w:rsidRPr="00A94464" w:rsidRDefault="00221C68" w:rsidP="00B216A4">
            <w:pPr>
              <w:spacing w:line="276" w:lineRule="auto"/>
              <w:ind w:left="112"/>
              <w:rPr>
                <w:b/>
                <w:sz w:val="18"/>
                <w:szCs w:val="18"/>
              </w:rPr>
            </w:pPr>
            <w:r w:rsidRPr="00A94464">
              <w:rPr>
                <w:b/>
                <w:sz w:val="18"/>
                <w:szCs w:val="18"/>
              </w:rPr>
              <w:t>Norfolk QOL-DN, mean (SD)</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BFDD024" w14:textId="77777777" w:rsidR="00221C68" w:rsidRPr="00A94464" w:rsidRDefault="00221C68" w:rsidP="00B216A4">
            <w:pPr>
              <w:spacing w:line="276" w:lineRule="auto"/>
              <w:jc w:val="center"/>
              <w:rPr>
                <w:sz w:val="18"/>
                <w:szCs w:val="18"/>
              </w:rPr>
            </w:pPr>
            <w:r w:rsidRPr="00A94464">
              <w:rPr>
                <w:sz w:val="18"/>
                <w:szCs w:val="18"/>
              </w:rPr>
              <w:t>43.7 (21.2)</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326C002" w14:textId="77777777" w:rsidR="00221C68" w:rsidRPr="00A94464" w:rsidRDefault="00221C68" w:rsidP="00B216A4">
            <w:pPr>
              <w:spacing w:line="276" w:lineRule="auto"/>
              <w:jc w:val="center"/>
              <w:rPr>
                <w:sz w:val="18"/>
                <w:szCs w:val="18"/>
              </w:rPr>
            </w:pPr>
            <w:r w:rsidRPr="00A94464">
              <w:rPr>
                <w:sz w:val="18"/>
                <w:szCs w:val="18"/>
              </w:rPr>
              <w:t>40.4 (24.4)</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0A0D8C7" w14:textId="77777777" w:rsidR="00221C68" w:rsidRPr="00A94464" w:rsidRDefault="00221C68" w:rsidP="00B216A4">
            <w:pPr>
              <w:spacing w:line="276" w:lineRule="auto"/>
              <w:jc w:val="center"/>
              <w:rPr>
                <w:sz w:val="18"/>
                <w:szCs w:val="18"/>
              </w:rPr>
            </w:pPr>
            <w:r w:rsidRPr="00A94464">
              <w:rPr>
                <w:sz w:val="18"/>
                <w:szCs w:val="18"/>
              </w:rPr>
              <w:t>30.8 (26.7)</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5A93225" w14:textId="77777777" w:rsidR="00221C68" w:rsidRPr="00A94464" w:rsidRDefault="00221C68" w:rsidP="009950B8">
            <w:pPr>
              <w:pStyle w:val="ListParagraph"/>
              <w:spacing w:line="276" w:lineRule="auto"/>
              <w:ind w:left="0"/>
              <w:jc w:val="center"/>
              <w:rPr>
                <w:sz w:val="18"/>
                <w:szCs w:val="18"/>
              </w:rPr>
            </w:pPr>
            <w:r w:rsidRPr="00A94464">
              <w:rPr>
                <w:sz w:val="18"/>
                <w:szCs w:val="18"/>
              </w:rPr>
              <w:t>27.3 (24.2)</w:t>
            </w:r>
          </w:p>
        </w:tc>
      </w:tr>
      <w:tr w:rsidR="00221C68" w:rsidRPr="00A94464" w14:paraId="09AD862F" w14:textId="77777777" w:rsidTr="009950B8">
        <w:trPr>
          <w:trHeight w:val="611"/>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41C5F20" w14:textId="77777777" w:rsidR="00221C68" w:rsidRPr="00A94464" w:rsidRDefault="00221C68" w:rsidP="00B216A4">
            <w:pPr>
              <w:spacing w:line="276" w:lineRule="auto"/>
              <w:ind w:left="112"/>
              <w:rPr>
                <w:b/>
                <w:sz w:val="18"/>
                <w:szCs w:val="18"/>
              </w:rPr>
            </w:pPr>
            <w:r w:rsidRPr="00A94464">
              <w:rPr>
                <w:b/>
                <w:sz w:val="18"/>
                <w:szCs w:val="18"/>
              </w:rPr>
              <w:t>NIS-LL, mean (SD)</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F7A162F" w14:textId="77777777" w:rsidR="00221C68" w:rsidRPr="00A94464" w:rsidRDefault="00221C68" w:rsidP="00B216A4">
            <w:pPr>
              <w:spacing w:line="276" w:lineRule="auto"/>
              <w:jc w:val="center"/>
              <w:rPr>
                <w:sz w:val="18"/>
                <w:szCs w:val="18"/>
              </w:rPr>
            </w:pPr>
            <w:r w:rsidRPr="00A94464">
              <w:rPr>
                <w:sz w:val="18"/>
                <w:szCs w:val="18"/>
              </w:rPr>
              <w:t>20.9 (11.7)</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9B1CE76" w14:textId="77777777" w:rsidR="00221C68" w:rsidRPr="00A94464" w:rsidRDefault="00221C68" w:rsidP="00B216A4">
            <w:pPr>
              <w:spacing w:line="276" w:lineRule="auto"/>
              <w:jc w:val="center"/>
              <w:rPr>
                <w:sz w:val="18"/>
                <w:szCs w:val="18"/>
              </w:rPr>
            </w:pPr>
            <w:r w:rsidRPr="00A94464">
              <w:rPr>
                <w:sz w:val="18"/>
                <w:szCs w:val="18"/>
              </w:rPr>
              <w:t>21.3 (14.0)</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C858C73" w14:textId="41FCFF97" w:rsidR="00221C68" w:rsidRPr="00A94464" w:rsidRDefault="00221C68" w:rsidP="009950B8">
            <w:pPr>
              <w:spacing w:line="276" w:lineRule="auto"/>
              <w:jc w:val="center"/>
              <w:rPr>
                <w:sz w:val="18"/>
                <w:szCs w:val="18"/>
              </w:rPr>
            </w:pPr>
            <w:r w:rsidRPr="00A94464">
              <w:rPr>
                <w:sz w:val="18"/>
                <w:szCs w:val="18"/>
              </w:rPr>
              <w:t>11.4 (13.5)</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D950A00" w14:textId="3DDE64AF" w:rsidR="00221C68" w:rsidRPr="00A94464" w:rsidRDefault="00221C68" w:rsidP="009950B8">
            <w:pPr>
              <w:pStyle w:val="ListParagraph"/>
              <w:spacing w:line="276" w:lineRule="auto"/>
              <w:ind w:left="0"/>
              <w:jc w:val="center"/>
              <w:rPr>
                <w:sz w:val="18"/>
                <w:szCs w:val="18"/>
              </w:rPr>
            </w:pPr>
            <w:r w:rsidRPr="00A94464">
              <w:rPr>
                <w:sz w:val="18"/>
                <w:szCs w:val="18"/>
              </w:rPr>
              <w:t>8.4 (11.4)</w:t>
            </w:r>
          </w:p>
        </w:tc>
      </w:tr>
    </w:tbl>
    <w:p w14:paraId="61016701" w14:textId="77777777" w:rsidR="00221C68" w:rsidRDefault="00221C68" w:rsidP="00221C68">
      <w:pPr>
        <w:spacing w:line="240" w:lineRule="auto"/>
        <w:rPr>
          <w:sz w:val="18"/>
        </w:rPr>
      </w:pPr>
      <w:r>
        <w:rPr>
          <w:sz w:val="18"/>
        </w:rPr>
        <w:t xml:space="preserve">FAP: Familial Amyloid Polyneuropathy; mBMI; modified Body Mass Index; NIS-LL: Neuropathy Impairment Score - Lower Limbs; Norfolk QOL-DN: Norfolk Quality of Life-Diabetic Polyneuropathy; SD; standard deviation; </w:t>
      </w:r>
      <w:r>
        <w:rPr>
          <w:i/>
          <w:sz w:val="18"/>
        </w:rPr>
        <w:t>TTR</w:t>
      </w:r>
      <w:r>
        <w:rPr>
          <w:sz w:val="18"/>
        </w:rPr>
        <w:t xml:space="preserve">: transthyretin; </w:t>
      </w:r>
      <w:r>
        <w:rPr>
          <w:i/>
          <w:sz w:val="18"/>
        </w:rPr>
        <w:t>V30M</w:t>
      </w:r>
      <w:r>
        <w:rPr>
          <w:sz w:val="18"/>
        </w:rPr>
        <w:t>: valine to methionine variant at amino acid 30.</w:t>
      </w:r>
    </w:p>
    <w:p w14:paraId="0DD97878" w14:textId="77777777" w:rsidR="00221C68" w:rsidRDefault="00221C68" w:rsidP="00221C68">
      <w:pPr>
        <w:rPr>
          <w:b/>
        </w:rPr>
      </w:pPr>
    </w:p>
    <w:p w14:paraId="6AEF44AB" w14:textId="77777777" w:rsidR="00221C68" w:rsidRDefault="00221C68" w:rsidP="00221C68">
      <w:pPr>
        <w:keepNext/>
        <w:rPr>
          <w:b/>
        </w:rPr>
      </w:pPr>
      <w:r>
        <w:rPr>
          <w:b/>
        </w:rPr>
        <w:lastRenderedPageBreak/>
        <w:t>Supplementary Table 3. Baseline characteristics and disease characteristics in the full APOLLO and HELIOS-A mITT populations and Fx-005 ITT population</w:t>
      </w:r>
    </w:p>
    <w:tbl>
      <w:tblPr>
        <w:tblStyle w:val="Table"/>
        <w:tblW w:w="9016" w:type="dxa"/>
        <w:tblInd w:w="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547"/>
        <w:gridCol w:w="1618"/>
        <w:gridCol w:w="1617"/>
        <w:gridCol w:w="1617"/>
        <w:gridCol w:w="1617"/>
      </w:tblGrid>
      <w:tr w:rsidR="00221C68" w:rsidRPr="00FB215E" w14:paraId="6D92496E" w14:textId="77777777" w:rsidTr="00AD3F6F">
        <w:trPr>
          <w:trHeight w:val="580"/>
          <w:tblHeader/>
        </w:trPr>
        <w:tc>
          <w:tcPr>
            <w:tcW w:w="2547"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0" w:type="dxa"/>
              <w:right w:w="15" w:type="dxa"/>
            </w:tcMar>
            <w:vAlign w:val="center"/>
          </w:tcPr>
          <w:p w14:paraId="782A5359" w14:textId="77777777" w:rsidR="00221C68" w:rsidRPr="00FB215E" w:rsidRDefault="00221C68" w:rsidP="00B216A4">
            <w:pPr>
              <w:keepNext/>
              <w:spacing w:line="276" w:lineRule="auto"/>
              <w:rPr>
                <w:b/>
                <w:sz w:val="18"/>
                <w:szCs w:val="18"/>
              </w:rPr>
            </w:pPr>
          </w:p>
        </w:tc>
        <w:tc>
          <w:tcPr>
            <w:tcW w:w="1618"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0" w:type="dxa"/>
              <w:right w:w="15" w:type="dxa"/>
            </w:tcMar>
            <w:vAlign w:val="center"/>
          </w:tcPr>
          <w:p w14:paraId="0ACC67A9" w14:textId="49BACD55" w:rsidR="00221C68" w:rsidRPr="00FB215E" w:rsidRDefault="00221C68" w:rsidP="00AD3F6F">
            <w:pPr>
              <w:keepNext/>
              <w:spacing w:line="276" w:lineRule="auto"/>
              <w:jc w:val="center"/>
              <w:rPr>
                <w:b/>
                <w:sz w:val="18"/>
                <w:szCs w:val="18"/>
              </w:rPr>
            </w:pPr>
            <w:r w:rsidRPr="00FB215E">
              <w:rPr>
                <w:b/>
                <w:sz w:val="18"/>
                <w:szCs w:val="18"/>
              </w:rPr>
              <w:t>APOLLO</w:t>
            </w:r>
          </w:p>
          <w:p w14:paraId="5EB16847" w14:textId="77777777" w:rsidR="00221C68" w:rsidRPr="00FB215E" w:rsidRDefault="00221C68" w:rsidP="00AD3F6F">
            <w:pPr>
              <w:keepNext/>
              <w:spacing w:line="276" w:lineRule="auto"/>
              <w:jc w:val="center"/>
              <w:rPr>
                <w:b/>
                <w:sz w:val="18"/>
                <w:szCs w:val="18"/>
              </w:rPr>
            </w:pPr>
            <w:r w:rsidRPr="00FB215E">
              <w:rPr>
                <w:b/>
                <w:sz w:val="18"/>
                <w:szCs w:val="18"/>
              </w:rPr>
              <w:t>full</w:t>
            </w:r>
          </w:p>
          <w:p w14:paraId="56FA5A3C" w14:textId="77777777" w:rsidR="00221C68" w:rsidRPr="00FB215E" w:rsidRDefault="00221C68" w:rsidP="00AD3F6F">
            <w:pPr>
              <w:keepNext/>
              <w:spacing w:line="276" w:lineRule="auto"/>
              <w:jc w:val="center"/>
              <w:rPr>
                <w:b/>
                <w:sz w:val="18"/>
                <w:szCs w:val="18"/>
              </w:rPr>
            </w:pPr>
            <w:r w:rsidRPr="00FB215E">
              <w:rPr>
                <w:b/>
                <w:sz w:val="18"/>
                <w:szCs w:val="18"/>
              </w:rPr>
              <w:t>mITT population</w:t>
            </w:r>
          </w:p>
        </w:tc>
        <w:tc>
          <w:tcPr>
            <w:tcW w:w="1617"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0" w:type="dxa"/>
              <w:right w:w="15" w:type="dxa"/>
            </w:tcMar>
            <w:vAlign w:val="center"/>
          </w:tcPr>
          <w:p w14:paraId="5D64A5F5" w14:textId="1E640229" w:rsidR="00221C68" w:rsidRPr="00FB215E" w:rsidRDefault="00221C68" w:rsidP="00AD3F6F">
            <w:pPr>
              <w:keepNext/>
              <w:spacing w:line="276" w:lineRule="auto"/>
              <w:jc w:val="center"/>
              <w:rPr>
                <w:b/>
                <w:sz w:val="18"/>
                <w:szCs w:val="18"/>
              </w:rPr>
            </w:pPr>
            <w:r w:rsidRPr="00FB215E">
              <w:rPr>
                <w:b/>
                <w:sz w:val="18"/>
                <w:szCs w:val="18"/>
              </w:rPr>
              <w:t>HELIOS-A</w:t>
            </w:r>
          </w:p>
          <w:p w14:paraId="793F9300" w14:textId="77777777" w:rsidR="00221C68" w:rsidRPr="00FB215E" w:rsidRDefault="00221C68" w:rsidP="00AD3F6F">
            <w:pPr>
              <w:keepNext/>
              <w:spacing w:line="276" w:lineRule="auto"/>
              <w:jc w:val="center"/>
              <w:rPr>
                <w:b/>
                <w:sz w:val="18"/>
                <w:szCs w:val="18"/>
              </w:rPr>
            </w:pPr>
            <w:r w:rsidRPr="00FB215E">
              <w:rPr>
                <w:b/>
                <w:sz w:val="18"/>
                <w:szCs w:val="18"/>
              </w:rPr>
              <w:t>full</w:t>
            </w:r>
          </w:p>
          <w:p w14:paraId="16F74F87" w14:textId="77777777" w:rsidR="00221C68" w:rsidRPr="00FB215E" w:rsidRDefault="00221C68" w:rsidP="00AD3F6F">
            <w:pPr>
              <w:keepNext/>
              <w:spacing w:line="276" w:lineRule="auto"/>
              <w:jc w:val="center"/>
              <w:rPr>
                <w:b/>
                <w:sz w:val="18"/>
                <w:szCs w:val="18"/>
              </w:rPr>
            </w:pPr>
            <w:r w:rsidRPr="00FB215E">
              <w:rPr>
                <w:b/>
                <w:sz w:val="18"/>
                <w:szCs w:val="18"/>
              </w:rPr>
              <w:t>mITT population</w:t>
            </w:r>
          </w:p>
        </w:tc>
        <w:tc>
          <w:tcPr>
            <w:tcW w:w="3234" w:type="dxa"/>
            <w:gridSpan w:val="2"/>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0" w:type="dxa"/>
              <w:right w:w="15" w:type="dxa"/>
            </w:tcMar>
            <w:vAlign w:val="center"/>
          </w:tcPr>
          <w:p w14:paraId="28B2B082" w14:textId="77777777" w:rsidR="00221C68" w:rsidRPr="00FB215E" w:rsidRDefault="00221C68" w:rsidP="00AD3F6F">
            <w:pPr>
              <w:keepNext/>
              <w:spacing w:line="276" w:lineRule="auto"/>
              <w:jc w:val="center"/>
              <w:rPr>
                <w:b/>
                <w:sz w:val="18"/>
                <w:szCs w:val="18"/>
              </w:rPr>
            </w:pPr>
            <w:r w:rsidRPr="00FB215E">
              <w:rPr>
                <w:b/>
                <w:sz w:val="18"/>
                <w:szCs w:val="18"/>
              </w:rPr>
              <w:t>Fx-005</w:t>
            </w:r>
          </w:p>
          <w:p w14:paraId="6A2A231F" w14:textId="77777777" w:rsidR="00221C68" w:rsidRPr="00FB215E" w:rsidRDefault="00221C68" w:rsidP="00AD3F6F">
            <w:pPr>
              <w:keepNext/>
              <w:spacing w:line="276" w:lineRule="auto"/>
              <w:jc w:val="center"/>
              <w:rPr>
                <w:b/>
                <w:sz w:val="18"/>
                <w:szCs w:val="18"/>
              </w:rPr>
            </w:pPr>
            <w:r w:rsidRPr="00FB215E">
              <w:rPr>
                <w:b/>
                <w:sz w:val="18"/>
                <w:szCs w:val="18"/>
              </w:rPr>
              <w:t>ITT population</w:t>
            </w:r>
          </w:p>
        </w:tc>
      </w:tr>
      <w:tr w:rsidR="00221C68" w:rsidRPr="00FB215E" w14:paraId="4E25DD16" w14:textId="77777777" w:rsidTr="00AD3F6F">
        <w:trPr>
          <w:trHeight w:val="580"/>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017F3C1" w14:textId="77777777" w:rsidR="00221C68" w:rsidRPr="00FB215E" w:rsidRDefault="00221C68" w:rsidP="00B216A4">
            <w:pPr>
              <w:keepNext/>
              <w:spacing w:line="276" w:lineRule="auto"/>
              <w:rPr>
                <w:b/>
                <w:sz w:val="18"/>
                <w:szCs w:val="18"/>
              </w:rPr>
            </w:pP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1EEF114" w14:textId="7DB38EEC" w:rsidR="00221C68" w:rsidRPr="00FB215E" w:rsidRDefault="00221C68" w:rsidP="00AD3F6F">
            <w:pPr>
              <w:keepNext/>
              <w:spacing w:line="276" w:lineRule="auto"/>
              <w:jc w:val="center"/>
              <w:rPr>
                <w:b/>
                <w:sz w:val="18"/>
                <w:szCs w:val="18"/>
              </w:rPr>
            </w:pPr>
            <w:r w:rsidRPr="00FB215E">
              <w:rPr>
                <w:b/>
                <w:sz w:val="18"/>
                <w:szCs w:val="18"/>
              </w:rPr>
              <w:t>Placebo</w:t>
            </w:r>
          </w:p>
          <w:p w14:paraId="56A36E6C" w14:textId="77777777" w:rsidR="00221C68" w:rsidRPr="00FB215E" w:rsidRDefault="00221C68" w:rsidP="00AD3F6F">
            <w:pPr>
              <w:keepNext/>
              <w:spacing w:line="276" w:lineRule="auto"/>
              <w:jc w:val="center"/>
              <w:rPr>
                <w:sz w:val="18"/>
                <w:szCs w:val="18"/>
              </w:rPr>
            </w:pPr>
            <w:r w:rsidRPr="00FB215E">
              <w:rPr>
                <w:b/>
                <w:sz w:val="18"/>
                <w:szCs w:val="18"/>
              </w:rPr>
              <w:t>(</w:t>
            </w:r>
            <w:r w:rsidRPr="00FB215E">
              <w:rPr>
                <w:b/>
                <w:i/>
                <w:sz w:val="18"/>
                <w:szCs w:val="18"/>
              </w:rPr>
              <w:t>n</w:t>
            </w:r>
            <w:r w:rsidRPr="00FB215E">
              <w:rPr>
                <w:b/>
                <w:sz w:val="18"/>
                <w:szCs w:val="18"/>
              </w:rPr>
              <w:t>=77)</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6CFFD20" w14:textId="6C7EDE21" w:rsidR="00221C68" w:rsidRPr="00FB215E" w:rsidRDefault="00221C68" w:rsidP="00AD3F6F">
            <w:pPr>
              <w:keepNext/>
              <w:spacing w:line="276" w:lineRule="auto"/>
              <w:jc w:val="center"/>
              <w:rPr>
                <w:b/>
                <w:sz w:val="18"/>
                <w:szCs w:val="18"/>
              </w:rPr>
            </w:pPr>
            <w:r w:rsidRPr="00FB215E">
              <w:rPr>
                <w:b/>
                <w:sz w:val="18"/>
                <w:szCs w:val="18"/>
              </w:rPr>
              <w:t>Vutrisiran</w:t>
            </w:r>
          </w:p>
          <w:p w14:paraId="042E90F1" w14:textId="5A1C957E" w:rsidR="00221C68" w:rsidRPr="00FB215E" w:rsidRDefault="00221C68" w:rsidP="00AD3F6F">
            <w:pPr>
              <w:keepNext/>
              <w:spacing w:line="276" w:lineRule="auto"/>
              <w:jc w:val="center"/>
              <w:rPr>
                <w:sz w:val="18"/>
                <w:szCs w:val="18"/>
              </w:rPr>
            </w:pPr>
            <w:r w:rsidRPr="00FB215E">
              <w:rPr>
                <w:b/>
                <w:sz w:val="18"/>
                <w:szCs w:val="18"/>
              </w:rPr>
              <w:t>(</w:t>
            </w:r>
            <w:r w:rsidRPr="00FB215E">
              <w:rPr>
                <w:b/>
                <w:i/>
                <w:sz w:val="18"/>
                <w:szCs w:val="18"/>
              </w:rPr>
              <w:t>n</w:t>
            </w:r>
            <w:r w:rsidRPr="00FB215E">
              <w:rPr>
                <w:b/>
                <w:sz w:val="18"/>
                <w:szCs w:val="18"/>
              </w:rPr>
              <w:t>=122)</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97B18A3" w14:textId="159FE635" w:rsidR="00221C68" w:rsidRPr="00FB215E" w:rsidRDefault="00221C68" w:rsidP="00AD3F6F">
            <w:pPr>
              <w:keepNext/>
              <w:spacing w:line="276" w:lineRule="auto"/>
              <w:jc w:val="center"/>
              <w:rPr>
                <w:sz w:val="18"/>
                <w:szCs w:val="18"/>
              </w:rPr>
            </w:pPr>
            <w:r w:rsidRPr="00FB215E">
              <w:rPr>
                <w:b/>
                <w:sz w:val="18"/>
                <w:szCs w:val="18"/>
              </w:rPr>
              <w:t>Placebo</w:t>
            </w:r>
          </w:p>
          <w:p w14:paraId="526CE9B3" w14:textId="77777777" w:rsidR="00221C68" w:rsidRPr="00FB215E" w:rsidRDefault="00221C68" w:rsidP="00AD3F6F">
            <w:pPr>
              <w:keepNext/>
              <w:spacing w:line="276" w:lineRule="auto"/>
              <w:jc w:val="center"/>
              <w:rPr>
                <w:sz w:val="18"/>
                <w:szCs w:val="18"/>
              </w:rPr>
            </w:pPr>
            <w:r w:rsidRPr="00FB215E">
              <w:rPr>
                <w:b/>
                <w:sz w:val="18"/>
                <w:szCs w:val="18"/>
              </w:rPr>
              <w:t>(</w:t>
            </w:r>
            <w:r w:rsidRPr="00FB215E">
              <w:rPr>
                <w:b/>
                <w:i/>
                <w:sz w:val="18"/>
                <w:szCs w:val="18"/>
              </w:rPr>
              <w:t>n</w:t>
            </w:r>
            <w:r w:rsidRPr="00FB215E">
              <w:rPr>
                <w:b/>
                <w:sz w:val="18"/>
                <w:szCs w:val="18"/>
              </w:rPr>
              <w:t>=61)</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74E529E" w14:textId="324F3428" w:rsidR="00221C68" w:rsidRPr="00FB215E" w:rsidRDefault="00221C68" w:rsidP="00AD3F6F">
            <w:pPr>
              <w:keepNext/>
              <w:spacing w:line="276" w:lineRule="auto"/>
              <w:jc w:val="center"/>
              <w:rPr>
                <w:sz w:val="18"/>
                <w:szCs w:val="18"/>
              </w:rPr>
            </w:pPr>
            <w:r w:rsidRPr="00FB215E">
              <w:rPr>
                <w:b/>
                <w:sz w:val="18"/>
                <w:szCs w:val="18"/>
              </w:rPr>
              <w:t>Tafamidis</w:t>
            </w:r>
          </w:p>
          <w:p w14:paraId="52C44207" w14:textId="77777777" w:rsidR="00221C68" w:rsidRPr="00FB215E" w:rsidRDefault="00221C68" w:rsidP="00AD3F6F">
            <w:pPr>
              <w:keepNext/>
              <w:spacing w:line="276" w:lineRule="auto"/>
              <w:jc w:val="center"/>
              <w:rPr>
                <w:sz w:val="18"/>
                <w:szCs w:val="18"/>
              </w:rPr>
            </w:pPr>
            <w:r w:rsidRPr="00FB215E">
              <w:rPr>
                <w:b/>
                <w:sz w:val="18"/>
                <w:szCs w:val="18"/>
              </w:rPr>
              <w:t>(</w:t>
            </w:r>
            <w:r w:rsidRPr="00FB215E">
              <w:rPr>
                <w:b/>
                <w:i/>
                <w:sz w:val="18"/>
                <w:szCs w:val="18"/>
              </w:rPr>
              <w:t>n</w:t>
            </w:r>
            <w:r w:rsidRPr="00FB215E">
              <w:rPr>
                <w:b/>
                <w:sz w:val="18"/>
                <w:szCs w:val="18"/>
              </w:rPr>
              <w:t>=64)</w:t>
            </w:r>
          </w:p>
        </w:tc>
      </w:tr>
      <w:tr w:rsidR="00221C68" w:rsidRPr="00FB215E" w14:paraId="17316AF8" w14:textId="77777777" w:rsidTr="00AD3F6F">
        <w:trPr>
          <w:trHeight w:val="338"/>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D9F66F7" w14:textId="77777777" w:rsidR="00221C68" w:rsidRPr="00FB215E" w:rsidRDefault="00221C68" w:rsidP="00B216A4">
            <w:pPr>
              <w:spacing w:line="276" w:lineRule="auto"/>
              <w:ind w:left="112"/>
              <w:rPr>
                <w:b/>
                <w:sz w:val="18"/>
                <w:szCs w:val="18"/>
              </w:rPr>
            </w:pPr>
            <w:r w:rsidRPr="00FB215E">
              <w:rPr>
                <w:b/>
                <w:sz w:val="18"/>
                <w:szCs w:val="18"/>
              </w:rPr>
              <w:t>Age, mean (SD), years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73DE0A2" w14:textId="77777777" w:rsidR="00221C68" w:rsidRPr="00FB215E" w:rsidRDefault="00221C68" w:rsidP="00AD3F6F">
            <w:pPr>
              <w:spacing w:line="276" w:lineRule="auto"/>
              <w:jc w:val="center"/>
              <w:rPr>
                <w:sz w:val="18"/>
                <w:szCs w:val="18"/>
              </w:rPr>
            </w:pPr>
            <w:r w:rsidRPr="00FB215E">
              <w:rPr>
                <w:sz w:val="18"/>
                <w:szCs w:val="18"/>
              </w:rPr>
              <w:t>62.2 (10.8)</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DF6497" w14:textId="23909F26" w:rsidR="00221C68" w:rsidRPr="00FB215E" w:rsidRDefault="00221C68" w:rsidP="00AD3F6F">
            <w:pPr>
              <w:spacing w:line="276" w:lineRule="auto"/>
              <w:jc w:val="center"/>
              <w:rPr>
                <w:sz w:val="18"/>
                <w:szCs w:val="18"/>
              </w:rPr>
            </w:pPr>
            <w:r w:rsidRPr="00FB215E">
              <w:rPr>
                <w:sz w:val="18"/>
                <w:szCs w:val="18"/>
              </w:rPr>
              <w:t>57.8 (13.2)</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422E878" w14:textId="77777777" w:rsidR="00221C68" w:rsidRPr="00FB215E" w:rsidRDefault="00221C68" w:rsidP="00AD3F6F">
            <w:pPr>
              <w:spacing w:line="276" w:lineRule="auto"/>
              <w:jc w:val="center"/>
              <w:rPr>
                <w:sz w:val="18"/>
                <w:szCs w:val="18"/>
              </w:rPr>
            </w:pPr>
            <w:r w:rsidRPr="00FB215E">
              <w:rPr>
                <w:sz w:val="18"/>
                <w:szCs w:val="18"/>
              </w:rPr>
              <w:t>38.4 (12.9)</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A3D27EB" w14:textId="77777777" w:rsidR="00221C68" w:rsidRPr="00FB215E" w:rsidRDefault="00221C68" w:rsidP="00AD3F6F">
            <w:pPr>
              <w:spacing w:line="276" w:lineRule="auto"/>
              <w:jc w:val="center"/>
              <w:rPr>
                <w:sz w:val="18"/>
                <w:szCs w:val="18"/>
              </w:rPr>
            </w:pPr>
            <w:r w:rsidRPr="00FB215E">
              <w:rPr>
                <w:sz w:val="18"/>
                <w:szCs w:val="18"/>
              </w:rPr>
              <w:t>39.8 (12.7)</w:t>
            </w:r>
          </w:p>
        </w:tc>
      </w:tr>
      <w:tr w:rsidR="00221C68" w:rsidRPr="00FB215E" w14:paraId="0B966CCF" w14:textId="77777777" w:rsidTr="00AD3F6F">
        <w:trPr>
          <w:trHeight w:val="430"/>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DE164AA" w14:textId="77777777" w:rsidR="00221C68" w:rsidRPr="00FB215E" w:rsidRDefault="00221C68" w:rsidP="00B216A4">
            <w:pPr>
              <w:spacing w:line="276" w:lineRule="auto"/>
              <w:ind w:left="112"/>
              <w:rPr>
                <w:b/>
                <w:sz w:val="18"/>
                <w:szCs w:val="18"/>
              </w:rPr>
            </w:pPr>
            <w:r w:rsidRPr="00FB215E">
              <w:rPr>
                <w:b/>
                <w:sz w:val="18"/>
                <w:szCs w:val="18"/>
              </w:rPr>
              <w:t xml:space="preserve">Sex, male </w:t>
            </w:r>
            <w:r w:rsidRPr="00FB215E">
              <w:rPr>
                <w:b/>
                <w:i/>
                <w:sz w:val="18"/>
                <w:szCs w:val="18"/>
              </w:rPr>
              <w:t>n</w:t>
            </w:r>
            <w:r w:rsidRPr="00FB215E">
              <w:rPr>
                <w:b/>
                <w:sz w:val="18"/>
                <w:szCs w:val="18"/>
              </w:rPr>
              <w:t xml:space="preserve">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ADFACEB" w14:textId="77777777" w:rsidR="00221C68" w:rsidRPr="00FB215E" w:rsidRDefault="00221C68" w:rsidP="00AD3F6F">
            <w:pPr>
              <w:spacing w:line="276" w:lineRule="auto"/>
              <w:jc w:val="center"/>
              <w:rPr>
                <w:sz w:val="18"/>
                <w:szCs w:val="18"/>
              </w:rPr>
            </w:pPr>
            <w:r w:rsidRPr="00FB215E">
              <w:rPr>
                <w:sz w:val="18"/>
                <w:szCs w:val="18"/>
              </w:rPr>
              <w:t>58 (75.3)</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1F98112" w14:textId="77777777" w:rsidR="00221C68" w:rsidRPr="00FB215E" w:rsidRDefault="00221C68" w:rsidP="00AD3F6F">
            <w:pPr>
              <w:spacing w:line="276" w:lineRule="auto"/>
              <w:jc w:val="center"/>
              <w:rPr>
                <w:sz w:val="18"/>
                <w:szCs w:val="18"/>
              </w:rPr>
            </w:pPr>
            <w:r w:rsidRPr="00FB215E">
              <w:rPr>
                <w:sz w:val="18"/>
                <w:szCs w:val="18"/>
              </w:rPr>
              <w:t>79 (64.8)</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BD9773E" w14:textId="77777777" w:rsidR="00221C68" w:rsidRPr="00FB215E" w:rsidRDefault="00221C68" w:rsidP="00AD3F6F">
            <w:pPr>
              <w:spacing w:line="276" w:lineRule="auto"/>
              <w:jc w:val="center"/>
              <w:rPr>
                <w:sz w:val="18"/>
                <w:szCs w:val="18"/>
              </w:rPr>
            </w:pPr>
            <w:r w:rsidRPr="00FB215E">
              <w:rPr>
                <w:sz w:val="18"/>
                <w:szCs w:val="18"/>
              </w:rPr>
              <w:t>26 (43)</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0C047FD" w14:textId="77777777" w:rsidR="00221C68" w:rsidRPr="00FB215E" w:rsidRDefault="00221C68" w:rsidP="00AD3F6F">
            <w:pPr>
              <w:spacing w:line="276" w:lineRule="auto"/>
              <w:jc w:val="center"/>
              <w:rPr>
                <w:sz w:val="18"/>
                <w:szCs w:val="18"/>
              </w:rPr>
            </w:pPr>
            <w:r w:rsidRPr="00FB215E">
              <w:rPr>
                <w:sz w:val="18"/>
                <w:szCs w:val="18"/>
              </w:rPr>
              <w:t>32 (50)</w:t>
            </w:r>
          </w:p>
        </w:tc>
      </w:tr>
      <w:tr w:rsidR="00221C68" w:rsidRPr="00FB215E" w14:paraId="7F8B0A07" w14:textId="77777777" w:rsidTr="00AD3F6F">
        <w:trPr>
          <w:trHeight w:val="462"/>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80" w:type="dxa"/>
              <w:bottom w:w="0" w:type="dxa"/>
              <w:right w:w="15" w:type="dxa"/>
            </w:tcMar>
            <w:vAlign w:val="center"/>
          </w:tcPr>
          <w:p w14:paraId="24D90802" w14:textId="77777777" w:rsidR="00221C68" w:rsidRPr="00FB215E" w:rsidRDefault="00221C68" w:rsidP="00B216A4">
            <w:pPr>
              <w:spacing w:line="276" w:lineRule="auto"/>
              <w:ind w:left="-55"/>
              <w:rPr>
                <w:b/>
                <w:sz w:val="18"/>
                <w:szCs w:val="18"/>
              </w:rPr>
            </w:pPr>
            <w:r w:rsidRPr="00FB215E">
              <w:rPr>
                <w:b/>
                <w:i/>
                <w:sz w:val="18"/>
                <w:szCs w:val="18"/>
              </w:rPr>
              <w:t>TTR</w:t>
            </w:r>
            <w:r w:rsidRPr="00FB215E">
              <w:rPr>
                <w:b/>
                <w:sz w:val="18"/>
                <w:szCs w:val="18"/>
              </w:rPr>
              <w:t xml:space="preserve"> variant </w:t>
            </w:r>
            <w:r w:rsidRPr="00FB215E">
              <w:rPr>
                <w:b/>
                <w:i/>
                <w:sz w:val="18"/>
                <w:szCs w:val="18"/>
              </w:rPr>
              <w:t>V30M</w:t>
            </w:r>
            <w:r w:rsidRPr="00FB215E">
              <w:rPr>
                <w:b/>
                <w:sz w:val="18"/>
                <w:szCs w:val="18"/>
              </w:rPr>
              <w:t xml:space="preserve">, </w:t>
            </w:r>
            <w:r w:rsidRPr="00FB215E">
              <w:rPr>
                <w:b/>
                <w:i/>
                <w:sz w:val="18"/>
                <w:szCs w:val="18"/>
              </w:rPr>
              <w:t>n</w:t>
            </w:r>
            <w:r w:rsidRPr="00FB215E">
              <w:rPr>
                <w:b/>
                <w:sz w:val="18"/>
                <w:szCs w:val="18"/>
              </w:rPr>
              <w:t xml:space="preserve">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5150128" w14:textId="77777777" w:rsidR="00221C68" w:rsidRPr="00FB215E" w:rsidRDefault="00221C68" w:rsidP="00AD3F6F">
            <w:pPr>
              <w:spacing w:line="276" w:lineRule="auto"/>
              <w:jc w:val="center"/>
              <w:rPr>
                <w:sz w:val="18"/>
                <w:szCs w:val="18"/>
              </w:rPr>
            </w:pPr>
            <w:r w:rsidRPr="00FB215E">
              <w:rPr>
                <w:sz w:val="18"/>
                <w:szCs w:val="18"/>
              </w:rPr>
              <w:t>40 (51.9)</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1DA1980" w14:textId="77777777" w:rsidR="00221C68" w:rsidRPr="00FB215E" w:rsidRDefault="00221C68" w:rsidP="00AD3F6F">
            <w:pPr>
              <w:spacing w:line="276" w:lineRule="auto"/>
              <w:jc w:val="center"/>
              <w:rPr>
                <w:sz w:val="18"/>
                <w:szCs w:val="18"/>
              </w:rPr>
            </w:pPr>
            <w:r w:rsidRPr="00FB215E">
              <w:rPr>
                <w:sz w:val="18"/>
                <w:szCs w:val="18"/>
              </w:rPr>
              <w:t>54 (44.3)</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710FF4B" w14:textId="77777777" w:rsidR="00221C68" w:rsidRPr="00FB215E" w:rsidRDefault="00221C68" w:rsidP="00AD3F6F">
            <w:pPr>
              <w:spacing w:line="276" w:lineRule="auto"/>
              <w:jc w:val="center"/>
              <w:rPr>
                <w:sz w:val="18"/>
                <w:szCs w:val="18"/>
              </w:rPr>
            </w:pPr>
            <w:r w:rsidRPr="00FB215E">
              <w:rPr>
                <w:sz w:val="18"/>
                <w:szCs w:val="18"/>
              </w:rPr>
              <w:t>61 (100)</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21EB823" w14:textId="77777777" w:rsidR="00221C68" w:rsidRPr="00FB215E" w:rsidRDefault="00221C68" w:rsidP="00AD3F6F">
            <w:pPr>
              <w:spacing w:line="276" w:lineRule="auto"/>
              <w:jc w:val="center"/>
              <w:rPr>
                <w:sz w:val="18"/>
                <w:szCs w:val="18"/>
              </w:rPr>
            </w:pPr>
            <w:r w:rsidRPr="00FB215E">
              <w:rPr>
                <w:sz w:val="18"/>
                <w:szCs w:val="18"/>
              </w:rPr>
              <w:t>64 (100)</w:t>
            </w:r>
          </w:p>
        </w:tc>
      </w:tr>
      <w:tr w:rsidR="00221C68" w:rsidRPr="00FB215E" w14:paraId="2A6EC95E" w14:textId="77777777" w:rsidTr="00AD3F6F">
        <w:trPr>
          <w:trHeight w:val="611"/>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40C9D4A" w14:textId="77777777" w:rsidR="00221C68" w:rsidRPr="00FB215E" w:rsidRDefault="00221C68" w:rsidP="00B216A4">
            <w:pPr>
              <w:spacing w:line="276" w:lineRule="auto"/>
              <w:ind w:left="112"/>
              <w:jc w:val="left"/>
              <w:rPr>
                <w:b/>
                <w:sz w:val="18"/>
                <w:szCs w:val="18"/>
              </w:rPr>
            </w:pPr>
            <w:r w:rsidRPr="00FB215E">
              <w:rPr>
                <w:b/>
                <w:sz w:val="18"/>
                <w:szCs w:val="18"/>
              </w:rPr>
              <w:t>Disease duration, mean (SD), years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2FAE557" w14:textId="7E364C9E" w:rsidR="00221C68" w:rsidRPr="00FB215E" w:rsidRDefault="00221C68" w:rsidP="00AD3F6F">
            <w:pPr>
              <w:spacing w:line="276" w:lineRule="auto"/>
              <w:jc w:val="center"/>
              <w:rPr>
                <w:sz w:val="18"/>
                <w:szCs w:val="18"/>
              </w:rPr>
            </w:pPr>
            <w:r w:rsidRPr="00FB215E">
              <w:rPr>
                <w:sz w:val="18"/>
                <w:szCs w:val="18"/>
              </w:rPr>
              <w:t>2.60 (3.24)</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E3D230F" w14:textId="0426451C" w:rsidR="00221C68" w:rsidRPr="00FB215E" w:rsidRDefault="00221C68" w:rsidP="00AD3F6F">
            <w:pPr>
              <w:spacing w:line="276" w:lineRule="auto"/>
              <w:jc w:val="center"/>
              <w:rPr>
                <w:sz w:val="18"/>
                <w:szCs w:val="18"/>
              </w:rPr>
            </w:pPr>
            <w:r w:rsidRPr="00FB215E">
              <w:rPr>
                <w:sz w:val="18"/>
                <w:szCs w:val="18"/>
              </w:rPr>
              <w:t>3.35 (3.69)</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A76B1DD" w14:textId="77777777" w:rsidR="00221C68" w:rsidRPr="00FB215E" w:rsidRDefault="00221C68" w:rsidP="00AD3F6F">
            <w:pPr>
              <w:spacing w:line="276" w:lineRule="auto"/>
              <w:jc w:val="center"/>
              <w:rPr>
                <w:sz w:val="18"/>
                <w:szCs w:val="18"/>
              </w:rPr>
            </w:pPr>
            <w:r w:rsidRPr="00FB215E">
              <w:rPr>
                <w:sz w:val="18"/>
                <w:szCs w:val="18"/>
              </w:rPr>
              <w:t>2.9 (2.7)</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6926D10" w14:textId="4B35F274" w:rsidR="00221C68" w:rsidRPr="00FB215E" w:rsidRDefault="00221C68" w:rsidP="00AD3F6F">
            <w:pPr>
              <w:spacing w:line="276" w:lineRule="auto"/>
              <w:jc w:val="center"/>
              <w:rPr>
                <w:sz w:val="18"/>
                <w:szCs w:val="18"/>
              </w:rPr>
            </w:pPr>
            <w:r w:rsidRPr="00FB215E">
              <w:rPr>
                <w:sz w:val="18"/>
                <w:szCs w:val="18"/>
              </w:rPr>
              <w:t>3.9 (4.0)</w:t>
            </w:r>
          </w:p>
        </w:tc>
      </w:tr>
      <w:tr w:rsidR="00221C68" w:rsidRPr="00FB215E" w14:paraId="7234113F" w14:textId="77777777" w:rsidTr="00AD3F6F">
        <w:trPr>
          <w:trHeight w:val="611"/>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72FEAB8" w14:textId="77777777" w:rsidR="00221C68" w:rsidRPr="00FB215E" w:rsidRDefault="00221C68" w:rsidP="00B216A4">
            <w:pPr>
              <w:spacing w:line="276" w:lineRule="auto"/>
              <w:ind w:left="112"/>
              <w:rPr>
                <w:b/>
                <w:sz w:val="18"/>
                <w:szCs w:val="18"/>
              </w:rPr>
            </w:pPr>
            <w:r w:rsidRPr="00FB215E">
              <w:rPr>
                <w:b/>
                <w:sz w:val="18"/>
                <w:szCs w:val="18"/>
              </w:rPr>
              <w:t xml:space="preserve">Prior treatment with tafamidis or diflunisal, </w:t>
            </w:r>
            <w:r w:rsidRPr="00FB215E">
              <w:rPr>
                <w:b/>
                <w:i/>
                <w:sz w:val="18"/>
                <w:szCs w:val="18"/>
              </w:rPr>
              <w:t>n</w:t>
            </w:r>
            <w:r w:rsidRPr="00FB215E">
              <w:rPr>
                <w:b/>
                <w:sz w:val="18"/>
                <w:szCs w:val="18"/>
              </w:rPr>
              <w:t xml:space="preserve">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44C914E" w14:textId="77777777" w:rsidR="00221C68" w:rsidRPr="00FB215E" w:rsidRDefault="00221C68" w:rsidP="00AD3F6F">
            <w:pPr>
              <w:spacing w:line="276" w:lineRule="auto"/>
              <w:jc w:val="center"/>
              <w:rPr>
                <w:sz w:val="18"/>
                <w:szCs w:val="18"/>
              </w:rPr>
            </w:pPr>
            <w:r w:rsidRPr="00FB215E">
              <w:rPr>
                <w:sz w:val="18"/>
                <w:szCs w:val="18"/>
              </w:rPr>
              <w:t>41 (53.2)</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86F0593" w14:textId="77777777" w:rsidR="00221C68" w:rsidRPr="00FB215E" w:rsidRDefault="00221C68" w:rsidP="00AD3F6F">
            <w:pPr>
              <w:spacing w:line="276" w:lineRule="auto"/>
              <w:jc w:val="center"/>
              <w:rPr>
                <w:sz w:val="18"/>
                <w:szCs w:val="18"/>
              </w:rPr>
            </w:pPr>
            <w:r w:rsidRPr="00FB215E">
              <w:rPr>
                <w:sz w:val="18"/>
                <w:szCs w:val="18"/>
              </w:rPr>
              <w:t>75 (61.5)</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635A0A3" w14:textId="77777777" w:rsidR="00221C68" w:rsidRPr="00FB215E" w:rsidRDefault="00221C68" w:rsidP="00AD3F6F">
            <w:pPr>
              <w:spacing w:line="276" w:lineRule="auto"/>
              <w:jc w:val="center"/>
              <w:rPr>
                <w:sz w:val="18"/>
                <w:szCs w:val="18"/>
              </w:rPr>
            </w:pPr>
            <w:r w:rsidRPr="00FB215E">
              <w:rPr>
                <w:sz w:val="18"/>
                <w:szCs w:val="18"/>
              </w:rPr>
              <w:t>0 (0)</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2604496" w14:textId="77777777" w:rsidR="00221C68" w:rsidRPr="00FB215E" w:rsidRDefault="00221C68" w:rsidP="00AD3F6F">
            <w:pPr>
              <w:spacing w:line="276" w:lineRule="auto"/>
              <w:jc w:val="center"/>
              <w:rPr>
                <w:sz w:val="18"/>
                <w:szCs w:val="18"/>
              </w:rPr>
            </w:pPr>
            <w:r w:rsidRPr="00FB215E">
              <w:rPr>
                <w:sz w:val="18"/>
                <w:szCs w:val="18"/>
              </w:rPr>
              <w:t>0 (0)</w:t>
            </w:r>
          </w:p>
        </w:tc>
      </w:tr>
      <w:tr w:rsidR="00221C68" w:rsidRPr="00FB215E" w14:paraId="77EB77FB" w14:textId="77777777" w:rsidTr="0001427B">
        <w:trPr>
          <w:trHeight w:val="611"/>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286874F" w14:textId="77777777" w:rsidR="00221C68" w:rsidRPr="00FB215E" w:rsidRDefault="00221C68" w:rsidP="00B216A4">
            <w:pPr>
              <w:spacing w:line="276" w:lineRule="auto"/>
              <w:ind w:left="112"/>
              <w:rPr>
                <w:b/>
                <w:sz w:val="18"/>
                <w:szCs w:val="18"/>
              </w:rPr>
            </w:pPr>
            <w:r w:rsidRPr="00FB215E">
              <w:rPr>
                <w:b/>
                <w:sz w:val="18"/>
                <w:szCs w:val="18"/>
              </w:rPr>
              <w:t>mBMI,</w:t>
            </w:r>
            <w:r w:rsidRPr="00FB215E">
              <w:rPr>
                <w:b/>
                <w:sz w:val="18"/>
                <w:szCs w:val="18"/>
                <w:vertAlign w:val="superscript"/>
              </w:rPr>
              <w:t>a</w:t>
            </w:r>
            <w:r w:rsidRPr="00FB215E">
              <w:rPr>
                <w:b/>
                <w:sz w:val="18"/>
                <w:szCs w:val="18"/>
              </w:rPr>
              <w:t xml:space="preserve"> mean (SD)</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E01D16C" w14:textId="77777777" w:rsidR="00221C68" w:rsidRPr="00FB215E" w:rsidRDefault="00221C68" w:rsidP="00AD3F6F">
            <w:pPr>
              <w:spacing w:line="276" w:lineRule="auto"/>
              <w:jc w:val="center"/>
              <w:rPr>
                <w:sz w:val="18"/>
                <w:szCs w:val="18"/>
              </w:rPr>
            </w:pPr>
            <w:r w:rsidRPr="00FB215E">
              <w:rPr>
                <w:sz w:val="18"/>
                <w:szCs w:val="18"/>
              </w:rPr>
              <w:t>989.9 (214.2)</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6CBC90A" w14:textId="77777777" w:rsidR="00221C68" w:rsidRPr="00FB215E" w:rsidRDefault="00221C68" w:rsidP="00AD3F6F">
            <w:pPr>
              <w:spacing w:line="276" w:lineRule="auto"/>
              <w:jc w:val="center"/>
              <w:rPr>
                <w:sz w:val="18"/>
                <w:szCs w:val="18"/>
              </w:rPr>
            </w:pPr>
            <w:r w:rsidRPr="00FB215E">
              <w:rPr>
                <w:sz w:val="18"/>
                <w:szCs w:val="18"/>
              </w:rPr>
              <w:t>1057.4 (233.8)</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2EC764E" w14:textId="77777777" w:rsidR="00221C68" w:rsidRPr="00FB215E" w:rsidRDefault="00221C68" w:rsidP="0001427B">
            <w:pPr>
              <w:spacing w:line="276" w:lineRule="auto"/>
              <w:jc w:val="center"/>
              <w:rPr>
                <w:sz w:val="18"/>
                <w:szCs w:val="18"/>
              </w:rPr>
            </w:pPr>
            <w:r w:rsidRPr="00FB215E">
              <w:rPr>
                <w:sz w:val="18"/>
                <w:szCs w:val="18"/>
              </w:rPr>
              <w:t>1011.5 (212.9)</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4833094" w14:textId="77777777" w:rsidR="00221C68" w:rsidRPr="00FB215E" w:rsidRDefault="00221C68" w:rsidP="0001427B">
            <w:pPr>
              <w:spacing w:line="276" w:lineRule="auto"/>
              <w:jc w:val="center"/>
              <w:rPr>
                <w:sz w:val="18"/>
                <w:szCs w:val="18"/>
              </w:rPr>
            </w:pPr>
            <w:r w:rsidRPr="00FB215E">
              <w:rPr>
                <w:sz w:val="18"/>
                <w:szCs w:val="18"/>
              </w:rPr>
              <w:t>1004.6 (165.2)</w:t>
            </w:r>
          </w:p>
        </w:tc>
      </w:tr>
      <w:tr w:rsidR="00221C68" w:rsidRPr="00FB215E" w14:paraId="1CA727F8" w14:textId="77777777" w:rsidTr="0001427B">
        <w:trPr>
          <w:trHeight w:val="611"/>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F66BD57" w14:textId="77777777" w:rsidR="00221C68" w:rsidRPr="00FB215E" w:rsidRDefault="00221C68" w:rsidP="00B216A4">
            <w:pPr>
              <w:spacing w:line="276" w:lineRule="auto"/>
              <w:ind w:left="112"/>
              <w:rPr>
                <w:b/>
                <w:sz w:val="18"/>
                <w:szCs w:val="18"/>
              </w:rPr>
            </w:pPr>
            <w:r w:rsidRPr="00FB215E">
              <w:rPr>
                <w:b/>
                <w:sz w:val="18"/>
                <w:szCs w:val="18"/>
              </w:rPr>
              <w:t>Norfolk QOL-DN, mean (SD)</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37A6E79" w14:textId="77777777" w:rsidR="00221C68" w:rsidRPr="00FB215E" w:rsidRDefault="00221C68" w:rsidP="00AD3F6F">
            <w:pPr>
              <w:spacing w:line="276" w:lineRule="auto"/>
              <w:jc w:val="center"/>
              <w:rPr>
                <w:sz w:val="18"/>
                <w:szCs w:val="18"/>
              </w:rPr>
            </w:pPr>
            <w:r w:rsidRPr="00FB215E">
              <w:rPr>
                <w:sz w:val="18"/>
                <w:szCs w:val="18"/>
              </w:rPr>
              <w:t>55.5 (24.3)</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FC5881D" w14:textId="791ABEAF" w:rsidR="00221C68" w:rsidRPr="00FB215E" w:rsidRDefault="00221C68" w:rsidP="00AD3F6F">
            <w:pPr>
              <w:spacing w:line="276" w:lineRule="auto"/>
              <w:jc w:val="center"/>
              <w:rPr>
                <w:sz w:val="18"/>
                <w:szCs w:val="18"/>
              </w:rPr>
            </w:pPr>
            <w:r w:rsidRPr="00FB215E">
              <w:rPr>
                <w:sz w:val="18"/>
                <w:szCs w:val="18"/>
              </w:rPr>
              <w:t>47.1 (26.3)</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803B8B8" w14:textId="77777777" w:rsidR="00221C68" w:rsidRPr="00FB215E" w:rsidRDefault="00221C68" w:rsidP="0001427B">
            <w:pPr>
              <w:spacing w:line="276" w:lineRule="auto"/>
              <w:jc w:val="center"/>
              <w:rPr>
                <w:sz w:val="18"/>
                <w:szCs w:val="18"/>
              </w:rPr>
            </w:pPr>
            <w:r w:rsidRPr="00FB215E">
              <w:rPr>
                <w:sz w:val="18"/>
                <w:szCs w:val="18"/>
              </w:rPr>
              <w:t>30.8 (26.7)</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1D2522C" w14:textId="77777777" w:rsidR="00221C68" w:rsidRPr="00FB215E" w:rsidRDefault="00221C68" w:rsidP="0001427B">
            <w:pPr>
              <w:pStyle w:val="ListParagraph"/>
              <w:spacing w:line="276" w:lineRule="auto"/>
              <w:ind w:left="0"/>
              <w:jc w:val="center"/>
              <w:rPr>
                <w:sz w:val="18"/>
                <w:szCs w:val="18"/>
              </w:rPr>
            </w:pPr>
            <w:r w:rsidRPr="00FB215E">
              <w:rPr>
                <w:sz w:val="18"/>
                <w:szCs w:val="18"/>
              </w:rPr>
              <w:t>27.3 (24.2)</w:t>
            </w:r>
          </w:p>
        </w:tc>
      </w:tr>
      <w:tr w:rsidR="00221C68" w:rsidRPr="00FB215E" w14:paraId="2EE28BB3" w14:textId="77777777" w:rsidTr="0001427B">
        <w:trPr>
          <w:trHeight w:val="611"/>
          <w:tblHead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3B52198" w14:textId="77777777" w:rsidR="00221C68" w:rsidRPr="00FB215E" w:rsidRDefault="00221C68" w:rsidP="00B216A4">
            <w:pPr>
              <w:spacing w:line="276" w:lineRule="auto"/>
              <w:ind w:left="112"/>
              <w:rPr>
                <w:b/>
                <w:sz w:val="18"/>
                <w:szCs w:val="18"/>
              </w:rPr>
            </w:pPr>
            <w:r w:rsidRPr="00FB215E">
              <w:rPr>
                <w:b/>
                <w:sz w:val="18"/>
                <w:szCs w:val="18"/>
              </w:rPr>
              <w:t>NIS-LL, mean (SD)</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6D6AF84" w14:textId="77777777" w:rsidR="00221C68" w:rsidRPr="00FB215E" w:rsidRDefault="00221C68" w:rsidP="00AD3F6F">
            <w:pPr>
              <w:spacing w:line="276" w:lineRule="auto"/>
              <w:jc w:val="center"/>
              <w:rPr>
                <w:sz w:val="18"/>
                <w:szCs w:val="18"/>
              </w:rPr>
            </w:pPr>
            <w:r w:rsidRPr="00FB215E">
              <w:rPr>
                <w:color w:val="000000"/>
                <w:sz w:val="18"/>
                <w:szCs w:val="18"/>
              </w:rPr>
              <w:t>34.8 (17.8)</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51838FD" w14:textId="77777777" w:rsidR="00221C68" w:rsidRPr="00FB215E" w:rsidRDefault="00221C68" w:rsidP="00AD3F6F">
            <w:pPr>
              <w:spacing w:line="276" w:lineRule="auto"/>
              <w:jc w:val="center"/>
              <w:rPr>
                <w:sz w:val="18"/>
                <w:szCs w:val="18"/>
              </w:rPr>
            </w:pPr>
            <w:r w:rsidRPr="00FB215E">
              <w:rPr>
                <w:color w:val="000000"/>
                <w:sz w:val="18"/>
                <w:szCs w:val="18"/>
              </w:rPr>
              <w:t>27.7 (16.9)</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EAC0922" w14:textId="63D693D4" w:rsidR="00221C68" w:rsidRPr="00FB215E" w:rsidRDefault="00221C68" w:rsidP="0001427B">
            <w:pPr>
              <w:spacing w:line="276" w:lineRule="auto"/>
              <w:jc w:val="center"/>
              <w:rPr>
                <w:sz w:val="18"/>
                <w:szCs w:val="18"/>
              </w:rPr>
            </w:pPr>
            <w:r w:rsidRPr="00FB215E">
              <w:rPr>
                <w:color w:val="000000"/>
                <w:sz w:val="18"/>
                <w:szCs w:val="18"/>
              </w:rPr>
              <w:t>11.4 (13.5)</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0643217" w14:textId="3B3B5BF3" w:rsidR="00221C68" w:rsidRPr="00FB215E" w:rsidRDefault="00221C68" w:rsidP="0001427B">
            <w:pPr>
              <w:pStyle w:val="ListParagraph"/>
              <w:spacing w:line="276" w:lineRule="auto"/>
              <w:ind w:left="0"/>
              <w:jc w:val="center"/>
              <w:rPr>
                <w:sz w:val="18"/>
                <w:szCs w:val="18"/>
              </w:rPr>
            </w:pPr>
            <w:r w:rsidRPr="00FB215E">
              <w:rPr>
                <w:color w:val="000000"/>
                <w:sz w:val="18"/>
                <w:szCs w:val="18"/>
              </w:rPr>
              <w:t>8.4 (11.4)</w:t>
            </w:r>
          </w:p>
        </w:tc>
      </w:tr>
    </w:tbl>
    <w:p w14:paraId="441628B8" w14:textId="77777777" w:rsidR="00221C68" w:rsidRDefault="00221C68" w:rsidP="00221C68">
      <w:pPr>
        <w:spacing w:line="240" w:lineRule="auto"/>
        <w:rPr>
          <w:sz w:val="18"/>
        </w:rPr>
      </w:pPr>
      <w:r>
        <w:rPr>
          <w:sz w:val="18"/>
        </w:rPr>
        <w:t xml:space="preserve">FAP: Familial Amyloid Polyneuropathy; ITT: intention-to-treat; mBMI: modified Body Mass Index; mITT: modified intention-to-treat; NIS-LL: Neuropathy Impairment Score - Lower Limbs; Norfolk QOL-DN: Norfolk Quality of Life-Diabetic Polyneuropathy; SD; standard deviation; </w:t>
      </w:r>
      <w:r>
        <w:rPr>
          <w:i/>
          <w:sz w:val="18"/>
        </w:rPr>
        <w:t>TTR</w:t>
      </w:r>
      <w:r>
        <w:rPr>
          <w:sz w:val="18"/>
        </w:rPr>
        <w:t xml:space="preserve">: transthyretin; </w:t>
      </w:r>
      <w:r>
        <w:rPr>
          <w:i/>
          <w:sz w:val="18"/>
        </w:rPr>
        <w:t>V30M</w:t>
      </w:r>
      <w:r>
        <w:rPr>
          <w:sz w:val="18"/>
        </w:rPr>
        <w:t>: valine to methionine variant at amino acid 30</w:t>
      </w:r>
    </w:p>
    <w:p w14:paraId="2124FAC1" w14:textId="77777777" w:rsidR="00221C68" w:rsidRDefault="00221C68" w:rsidP="00221C68">
      <w:pPr>
        <w:spacing w:line="240" w:lineRule="auto"/>
        <w:rPr>
          <w:sz w:val="18"/>
        </w:rPr>
      </w:pPr>
      <w:r>
        <w:rPr>
          <w:sz w:val="18"/>
          <w:vertAlign w:val="superscript"/>
          <w:lang w:val="en-GB"/>
        </w:rPr>
        <w:t xml:space="preserve">a </w:t>
      </w:r>
      <w:r>
        <w:rPr>
          <w:sz w:val="18"/>
          <w:lang w:val="en-GB"/>
        </w:rPr>
        <w:t>mBMI value = (weight [kg] / height [m</w:t>
      </w:r>
      <w:r>
        <w:rPr>
          <w:sz w:val="18"/>
          <w:vertAlign w:val="superscript"/>
          <w:lang w:val="en-GB"/>
        </w:rPr>
        <w:t>2</w:t>
      </w:r>
      <w:r>
        <w:rPr>
          <w:sz w:val="18"/>
          <w:lang w:val="en-GB"/>
        </w:rPr>
        <w:t>]) x (albumin [g/L]); higher values indicate more favorable nutritional status.</w:t>
      </w:r>
    </w:p>
    <w:p w14:paraId="22B484C6" w14:textId="77777777" w:rsidR="00221C68" w:rsidRDefault="00221C68" w:rsidP="00221C68">
      <w:pPr>
        <w:spacing w:line="240" w:lineRule="auto"/>
        <w:rPr>
          <w:sz w:val="18"/>
        </w:rPr>
      </w:pPr>
    </w:p>
    <w:p w14:paraId="02565E6D" w14:textId="77777777" w:rsidR="00221C68" w:rsidRDefault="00221C68" w:rsidP="00221C68">
      <w:pPr>
        <w:spacing w:line="240" w:lineRule="auto"/>
      </w:pPr>
    </w:p>
    <w:p w14:paraId="46711B71" w14:textId="26AC4830" w:rsidR="00221C68" w:rsidRPr="00797408" w:rsidRDefault="00797408" w:rsidP="00797408">
      <w:pPr>
        <w:rPr>
          <w:b/>
          <w:bCs/>
          <w:sz w:val="24"/>
          <w:szCs w:val="21"/>
        </w:rPr>
      </w:pPr>
      <w:r>
        <w:rPr>
          <w:b/>
          <w:bCs/>
          <w:sz w:val="24"/>
          <w:szCs w:val="21"/>
        </w:rPr>
        <w:t>1.3</w:t>
      </w:r>
      <w:r>
        <w:rPr>
          <w:b/>
          <w:bCs/>
          <w:sz w:val="24"/>
          <w:szCs w:val="21"/>
        </w:rPr>
        <w:tab/>
      </w:r>
      <w:r w:rsidR="00221C68" w:rsidRPr="00797408">
        <w:rPr>
          <w:b/>
          <w:bCs/>
          <w:sz w:val="24"/>
          <w:szCs w:val="21"/>
        </w:rPr>
        <w:t>Differences in key endpoints</w:t>
      </w:r>
    </w:p>
    <w:p w14:paraId="7C369F75" w14:textId="075FF377" w:rsidR="00221C68" w:rsidRDefault="00221C68" w:rsidP="00221C68">
      <w:r>
        <w:t xml:space="preserve">NIS-LL was a co-primary endpoint in Fx-005 but is not among the ranked endpoints in the APOLLO or HELIOS-A studies. As the NIS-LL is made up entirely from subcomponents (i.e. sensations, reflexes, and muscles weakness) of the NIS or mNIS+7 </w:t>
      </w:r>
      <w:r>
        <w:rPr>
          <w:noProof/>
        </w:rPr>
        <w:t>[6]</w:t>
      </w:r>
      <w:r>
        <w:t>, NIS-LL values can be derived for patients in the APOLLO and HELIOS-A studies. In the same way, for the binary measure for NIS-LL (i.e. NIS-LL Responder - improvements or stabilization of NIS-LL based on an increase from baseline of &lt;2 or any decrease), observed proportions for improvements or no change in NIS-LL at month 18 can be estimated for HELIOS-A and APOLLO studies for the comparison with Fx-005.</w:t>
      </w:r>
    </w:p>
    <w:p w14:paraId="56904171" w14:textId="77777777" w:rsidR="00221C68" w:rsidRDefault="00221C68" w:rsidP="00221C68"/>
    <w:p w14:paraId="772B624A" w14:textId="19D5B20C" w:rsidR="00221C68" w:rsidRPr="00797408" w:rsidRDefault="00797408" w:rsidP="00797408">
      <w:pPr>
        <w:rPr>
          <w:b/>
          <w:bCs/>
          <w:sz w:val="28"/>
          <w:szCs w:val="22"/>
        </w:rPr>
      </w:pPr>
      <w:r>
        <w:rPr>
          <w:b/>
          <w:bCs/>
          <w:sz w:val="28"/>
          <w:szCs w:val="22"/>
        </w:rPr>
        <w:lastRenderedPageBreak/>
        <w:t>2</w:t>
      </w:r>
      <w:r w:rsidR="007309D9">
        <w:rPr>
          <w:b/>
          <w:bCs/>
          <w:sz w:val="28"/>
          <w:szCs w:val="22"/>
        </w:rPr>
        <w:t>.0</w:t>
      </w:r>
      <w:r>
        <w:rPr>
          <w:b/>
          <w:bCs/>
          <w:sz w:val="28"/>
          <w:szCs w:val="22"/>
        </w:rPr>
        <w:tab/>
      </w:r>
      <w:r w:rsidR="00221C68" w:rsidRPr="00797408">
        <w:rPr>
          <w:b/>
          <w:bCs/>
          <w:sz w:val="28"/>
          <w:szCs w:val="22"/>
        </w:rPr>
        <w:t>Handling of onset of serious COVID-19 adverse events in HELIOS-A study patients</w:t>
      </w:r>
    </w:p>
    <w:p w14:paraId="4DD651FE" w14:textId="163FEB9B" w:rsidR="00F31FD6" w:rsidRDefault="3B02289E" w:rsidP="00221C68">
      <w:r>
        <w:t xml:space="preserve">HELIOS-A was conducted over the course of the ongoing coronavirus disease 2019 (COVID-19) pandemic (with the first dose administered February 14, 2019, and the 18-month data cut off occurring on August 26, 2021). Patients who experienced a serious COVID-19-related adverse event (AE) may therefore have worsening in general health and wellbeing unassociated with ATTRv amyloidosis or the study drug. As a result, in the primary HELIOS-A study analyses, outcome assessments on or after onset of a serious COVID-19 AE in the vutrisiran arm were censored and considered missing. For these patients, no explicit imputation of missing outcome data was completed. </w:t>
      </w:r>
      <w:r w:rsidR="004247B6" w:rsidRPr="3B02289E">
        <w:rPr>
          <w:lang w:val="en-GB"/>
        </w:rPr>
        <w:t xml:space="preserve">As part of HELIOS-A, a prespecified sensitivity analysis was conducted to examine whether the inclusion of data censored due to serious COVID-19 AEs impacted the results of the primary analysis. This analysis indicated that study outcomes were consistent with or without censoring </w:t>
      </w:r>
      <w:r w:rsidR="007A76AC">
        <w:rPr>
          <w:lang w:val="en-GB"/>
        </w:rPr>
        <w:t xml:space="preserve">of </w:t>
      </w:r>
      <w:r w:rsidR="004247B6">
        <w:rPr>
          <w:lang w:val="en-GB"/>
        </w:rPr>
        <w:t xml:space="preserve">data collected on or after </w:t>
      </w:r>
      <w:r w:rsidR="004247B6" w:rsidRPr="3B02289E">
        <w:rPr>
          <w:lang w:val="en-GB"/>
        </w:rPr>
        <w:t>serious COVID-19 AEs.</w:t>
      </w:r>
      <w:r w:rsidR="004247B6">
        <w:rPr>
          <w:lang w:val="en-GB"/>
        </w:rPr>
        <w:t xml:space="preserve"> </w:t>
      </w:r>
      <w:r w:rsidR="00BE1160">
        <w:t>In light of this, t</w:t>
      </w:r>
      <w:r>
        <w:t xml:space="preserve">he ITC analyses reported here are based </w:t>
      </w:r>
      <w:r w:rsidR="007A76AC">
        <w:t xml:space="preserve">similarly </w:t>
      </w:r>
      <w:r>
        <w:t xml:space="preserve">on results from adjusted MMRM models for 18-month changes that do not explicitly impute any outcome data in the event of censoring due to a serious COVID-19 AE for patients in HELIOS-A. </w:t>
      </w:r>
    </w:p>
    <w:p w14:paraId="3D09064A" w14:textId="77777777" w:rsidR="00221C68" w:rsidRDefault="00221C68" w:rsidP="00221C68"/>
    <w:p w14:paraId="1E430F10" w14:textId="713E8B42" w:rsidR="00221C68" w:rsidRPr="00EA71E3" w:rsidRDefault="00EA71E3" w:rsidP="00797408">
      <w:pPr>
        <w:rPr>
          <w:b/>
          <w:bCs/>
          <w:sz w:val="28"/>
          <w:szCs w:val="22"/>
        </w:rPr>
      </w:pPr>
      <w:r w:rsidRPr="00EA71E3">
        <w:rPr>
          <w:b/>
          <w:bCs/>
          <w:sz w:val="28"/>
          <w:szCs w:val="22"/>
        </w:rPr>
        <w:t>3</w:t>
      </w:r>
      <w:r w:rsidR="007309D9">
        <w:rPr>
          <w:b/>
          <w:bCs/>
          <w:sz w:val="28"/>
          <w:szCs w:val="22"/>
        </w:rPr>
        <w:t>.0</w:t>
      </w:r>
      <w:r w:rsidRPr="00EA71E3">
        <w:rPr>
          <w:b/>
          <w:bCs/>
          <w:sz w:val="28"/>
          <w:szCs w:val="22"/>
        </w:rPr>
        <w:tab/>
      </w:r>
      <w:r w:rsidR="00221C68" w:rsidRPr="00EA71E3">
        <w:rPr>
          <w:b/>
          <w:bCs/>
          <w:sz w:val="28"/>
          <w:szCs w:val="22"/>
        </w:rPr>
        <w:t>Application of the Bucher method in the ITC</w:t>
      </w:r>
    </w:p>
    <w:p w14:paraId="0DA5ABE9" w14:textId="3C55E6BA" w:rsidR="00221C68" w:rsidRPr="00797408" w:rsidRDefault="00EA71E3" w:rsidP="00797408">
      <w:pPr>
        <w:rPr>
          <w:b/>
          <w:bCs/>
          <w:sz w:val="24"/>
          <w:szCs w:val="21"/>
        </w:rPr>
      </w:pPr>
      <w:r>
        <w:rPr>
          <w:b/>
          <w:bCs/>
          <w:sz w:val="24"/>
          <w:szCs w:val="21"/>
        </w:rPr>
        <w:t>3.1</w:t>
      </w:r>
      <w:r>
        <w:rPr>
          <w:b/>
          <w:bCs/>
          <w:sz w:val="24"/>
          <w:szCs w:val="21"/>
        </w:rPr>
        <w:tab/>
      </w:r>
      <w:r w:rsidR="00221C68" w:rsidRPr="00797408">
        <w:rPr>
          <w:b/>
          <w:bCs/>
          <w:sz w:val="24"/>
          <w:szCs w:val="21"/>
        </w:rPr>
        <w:t>Change in NIS-LL, Norfolk QOL-DN, and mBMI</w:t>
      </w:r>
    </w:p>
    <w:p w14:paraId="27C0CDFB" w14:textId="77777777" w:rsidR="00221C68" w:rsidRDefault="00221C68" w:rsidP="00221C68">
      <w:r>
        <w:t>For changes in NIS-LL, Norfolk QOL-DN, and mBMI at 18 months, the propensity-score adjusted estimate of the difference in mean change between the vutrisiran arm in HELIOS-A and the placebo arm in APOLLO were used in the Bucher analysis. This difference was then compared against the published difference in mean change between tafamidis and placebo from the Fx-005 study.</w:t>
      </w:r>
    </w:p>
    <w:p w14:paraId="2AAAE2D6" w14:textId="77777777" w:rsidR="00221C68" w:rsidRDefault="00221C68" w:rsidP="00221C68">
      <w:pPr>
        <w:rPr>
          <w:b/>
        </w:rPr>
      </w:pPr>
    </w:p>
    <w:p w14:paraId="78CCFE9C" w14:textId="697BEBE7" w:rsidR="00221C68" w:rsidRPr="00EA71E3" w:rsidRDefault="00EA71E3" w:rsidP="00797408">
      <w:pPr>
        <w:rPr>
          <w:b/>
          <w:bCs/>
          <w:sz w:val="24"/>
          <w:szCs w:val="21"/>
        </w:rPr>
      </w:pPr>
      <w:r>
        <w:rPr>
          <w:b/>
          <w:bCs/>
          <w:sz w:val="24"/>
          <w:szCs w:val="21"/>
        </w:rPr>
        <w:t>3.2</w:t>
      </w:r>
      <w:r>
        <w:rPr>
          <w:b/>
          <w:bCs/>
          <w:sz w:val="24"/>
          <w:szCs w:val="21"/>
        </w:rPr>
        <w:tab/>
      </w:r>
      <w:r w:rsidR="00221C68" w:rsidRPr="00EA71E3">
        <w:rPr>
          <w:b/>
          <w:bCs/>
          <w:sz w:val="24"/>
          <w:szCs w:val="21"/>
        </w:rPr>
        <w:t>NIS-LL Responder at month 18</w:t>
      </w:r>
    </w:p>
    <w:p w14:paraId="6B50A2D3" w14:textId="77777777" w:rsidR="00221C68" w:rsidRDefault="00221C68" w:rsidP="00221C68">
      <w:r>
        <w:lastRenderedPageBreak/>
        <w:t>The proportion of vutrisiran arm patients in HELIOS-A and placebo arm patients in APOLLO deemed to be NIS-LL Responders at 18 months was calculated. Stabilized inverse probability of treatment weightings were used to balance baseline differences between vutrisiran and placebo arms in the calculation of risk difference (RD), odds ratio (OR), and risk ratio (RR) for vutrisiran vs. placebo. Vutrisiran patients had weights given by P(T=1)/P(T=1|X=x), and placebo patients had weights given by P(T=0)/P(T=0|X=x) = (1- P(T=1))/(1 - P(T=1|X=x)), where T=1 indicates being in the vutrisiran arm, T=0 indicates being in the placebo arm, and X=x indicates a vector of baseline covariates for a given patient. P(T=1|X=x) is the propensity score of being in the vutrisiran arm for each patient and was based on the propensity score model fit in the pre-specified sensitivity analyses of the HELIOS-A study. The adjusted RD, RR, and OR were then compared to the corresponding quantities for tafamidis vs. placebo from Fx-005 using standard formulae for the Bucher method to obtain the estimated indirect treatment effect on each of these effect measures.</w:t>
      </w:r>
    </w:p>
    <w:p w14:paraId="54D62DB2" w14:textId="78467A06" w:rsidR="00221C68" w:rsidRDefault="00221C68">
      <w:pPr>
        <w:spacing w:line="240" w:lineRule="auto"/>
        <w:jc w:val="left"/>
      </w:pPr>
      <w:r>
        <w:br w:type="page"/>
      </w:r>
    </w:p>
    <w:p w14:paraId="42C4360F" w14:textId="43263161" w:rsidR="003E1A5D" w:rsidRPr="00221C68" w:rsidRDefault="00221C68">
      <w:pPr>
        <w:rPr>
          <w:b/>
          <w:bCs/>
          <w:sz w:val="28"/>
          <w:szCs w:val="22"/>
        </w:rPr>
      </w:pPr>
      <w:r w:rsidRPr="00221C68">
        <w:rPr>
          <w:b/>
          <w:bCs/>
          <w:sz w:val="28"/>
          <w:szCs w:val="22"/>
        </w:rPr>
        <w:lastRenderedPageBreak/>
        <w:t>References</w:t>
      </w:r>
    </w:p>
    <w:p w14:paraId="60123AA5" w14:textId="545F4F01" w:rsidR="00942D16" w:rsidRPr="00942D16" w:rsidRDefault="00942D16" w:rsidP="00942D16">
      <w:pPr>
        <w:pStyle w:val="EndNoteBibliography"/>
        <w:ind w:left="720" w:hanging="720"/>
        <w:rPr>
          <w:noProof/>
        </w:rPr>
      </w:pPr>
      <w:r w:rsidRPr="00942D16">
        <w:rPr>
          <w:noProof/>
        </w:rPr>
        <w:t>1.</w:t>
      </w:r>
      <w:r w:rsidRPr="00942D16">
        <w:rPr>
          <w:noProof/>
        </w:rPr>
        <w:tab/>
        <w:t>Adams D, Gonzalez-Duarte A, O’Riordan W, et al. Patisiran, an RNAi therapeutic, for hereditary transthyretin amyloidosis. New Engl J Med. 2018;379(1):11-21.</w:t>
      </w:r>
    </w:p>
    <w:p w14:paraId="7F8E5F8F" w14:textId="77777777" w:rsidR="00942D16" w:rsidRPr="00942D16" w:rsidRDefault="00942D16" w:rsidP="00942D16">
      <w:pPr>
        <w:pStyle w:val="EndNoteBibliography"/>
        <w:ind w:left="720" w:hanging="720"/>
        <w:rPr>
          <w:noProof/>
        </w:rPr>
      </w:pPr>
      <w:r w:rsidRPr="00942D16">
        <w:rPr>
          <w:noProof/>
        </w:rPr>
        <w:t>2.</w:t>
      </w:r>
      <w:r w:rsidRPr="00942D16">
        <w:rPr>
          <w:noProof/>
        </w:rPr>
        <w:tab/>
        <w:t>Coelho T, Maia L, Martins da Silva A, et al. Tafamidis for transthyretin familial amyloid polyneuropathy: a randomized, controlled trial. Neurology. 2012;79:785-92.</w:t>
      </w:r>
    </w:p>
    <w:p w14:paraId="45B85486" w14:textId="77777777" w:rsidR="00942D16" w:rsidRPr="00942D16" w:rsidRDefault="00942D16" w:rsidP="00942D16">
      <w:pPr>
        <w:pStyle w:val="EndNoteBibliography"/>
        <w:ind w:left="720" w:hanging="720"/>
        <w:rPr>
          <w:noProof/>
        </w:rPr>
      </w:pPr>
      <w:r w:rsidRPr="00942D16">
        <w:rPr>
          <w:noProof/>
        </w:rPr>
        <w:t>3.</w:t>
      </w:r>
      <w:r w:rsidRPr="00942D16">
        <w:rPr>
          <w:noProof/>
        </w:rPr>
        <w:tab/>
        <w:t>Keohane D, Schwartz J, Gundapaneni B, et al. Tafamidis delays disease progression in patients with early stage transthyretin familial amyloid polyneuropathy: additional supportive analyses from the pivotal trial. Amyloid. 2017;24:30-36.</w:t>
      </w:r>
    </w:p>
    <w:p w14:paraId="57E5DDC6" w14:textId="2C77EFE4" w:rsidR="00942D16" w:rsidRPr="00942D16" w:rsidRDefault="00942D16" w:rsidP="00942D16">
      <w:pPr>
        <w:pStyle w:val="EndNoteBibliography"/>
        <w:ind w:left="720" w:hanging="720"/>
        <w:rPr>
          <w:noProof/>
        </w:rPr>
      </w:pPr>
      <w:r w:rsidRPr="00942D16">
        <w:rPr>
          <w:noProof/>
        </w:rPr>
        <w:t>4.</w:t>
      </w:r>
      <w:r w:rsidRPr="00942D16">
        <w:rPr>
          <w:noProof/>
        </w:rPr>
        <w:tab/>
        <w:t xml:space="preserve">European Medicines Agency (EMA). Vyndaqel (tafamidis) 20 mg soft capsules: Annex 1 Summary of product characteristics 2013 [cited 2021 Nov 01]. Available from: </w:t>
      </w:r>
      <w:hyperlink r:id="rId10" w:history="1">
        <w:r w:rsidR="00B723E6" w:rsidRPr="00881A06">
          <w:rPr>
            <w:rStyle w:val="Hyperlink"/>
            <w:noProof/>
          </w:rPr>
          <w:t>https://www.ema.europa.eu/en/documents/product-information/vyndaqel-epar-product-information_en.pdf</w:t>
        </w:r>
      </w:hyperlink>
      <w:r w:rsidR="00B723E6">
        <w:rPr>
          <w:noProof/>
        </w:rPr>
        <w:t xml:space="preserve"> </w:t>
      </w:r>
    </w:p>
    <w:p w14:paraId="082D7504" w14:textId="77777777" w:rsidR="00B723E6" w:rsidRDefault="00942D16" w:rsidP="00B723E6">
      <w:pPr>
        <w:pStyle w:val="EndNoteBibliography"/>
        <w:ind w:left="720" w:hanging="720"/>
        <w:rPr>
          <w:noProof/>
        </w:rPr>
      </w:pPr>
      <w:r w:rsidRPr="00942D16">
        <w:rPr>
          <w:noProof/>
        </w:rPr>
        <w:t>5.</w:t>
      </w:r>
      <w:r w:rsidRPr="00942D16">
        <w:rPr>
          <w:noProof/>
        </w:rPr>
        <w:tab/>
        <w:t>European Medicines Agency (EMA). Public assessment report for Vyndaqel (tafamidis) 2011 [cited 2021 Nov 01]. Available from:</w:t>
      </w:r>
    </w:p>
    <w:p w14:paraId="06F27CDD" w14:textId="2474CAAD" w:rsidR="00942D16" w:rsidRPr="00B723E6" w:rsidRDefault="00000000" w:rsidP="00B723E6">
      <w:pPr>
        <w:pStyle w:val="EndNoteBibliography"/>
        <w:ind w:left="720"/>
        <w:rPr>
          <w:noProof/>
        </w:rPr>
      </w:pPr>
      <w:hyperlink r:id="rId11" w:history="1">
        <w:r w:rsidR="00B723E6" w:rsidRPr="00881A06">
          <w:rPr>
            <w:rStyle w:val="Hyperlink"/>
            <w:noProof/>
          </w:rPr>
          <w:t>https://www.ema.europa.eu/en/documents/assessment-report/vyndaqel-epar-public-assessment-report_en.pdf</w:t>
        </w:r>
      </w:hyperlink>
      <w:r w:rsidR="00B723E6">
        <w:rPr>
          <w:noProof/>
        </w:rPr>
        <w:t xml:space="preserve"> </w:t>
      </w:r>
    </w:p>
    <w:p w14:paraId="4728C37A" w14:textId="77777777" w:rsidR="00942D16" w:rsidRPr="00942D16" w:rsidRDefault="00942D16" w:rsidP="00942D16">
      <w:pPr>
        <w:pStyle w:val="EndNoteBibliography"/>
        <w:ind w:left="720" w:hanging="720"/>
        <w:rPr>
          <w:noProof/>
        </w:rPr>
      </w:pPr>
      <w:r w:rsidRPr="00942D16">
        <w:rPr>
          <w:noProof/>
        </w:rPr>
        <w:t>6.</w:t>
      </w:r>
      <w:r w:rsidRPr="00942D16">
        <w:rPr>
          <w:noProof/>
        </w:rPr>
        <w:tab/>
        <w:t>Dyck P, González-Duarte A, Obici L, et al. Development of measures of polyneuropathy impairment in hATTR amyloidosis: from NIS to mNIS + 7. J Neurol Sci. 2019;405:116424.</w:t>
      </w:r>
    </w:p>
    <w:p w14:paraId="7DF28B8A" w14:textId="6383DA6C" w:rsidR="00221C68" w:rsidRDefault="00221C68"/>
    <w:sectPr w:rsidR="00221C6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BB2F" w14:textId="77777777" w:rsidR="00CE6AA6" w:rsidRDefault="00CE6AA6" w:rsidP="00264BA5">
      <w:pPr>
        <w:spacing w:line="240" w:lineRule="auto"/>
      </w:pPr>
      <w:r>
        <w:separator/>
      </w:r>
    </w:p>
  </w:endnote>
  <w:endnote w:type="continuationSeparator" w:id="0">
    <w:p w14:paraId="399A4557" w14:textId="77777777" w:rsidR="00CE6AA6" w:rsidRDefault="00CE6AA6" w:rsidP="00264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2D7E" w14:textId="4374498F" w:rsidR="00264BA5" w:rsidRDefault="00264BA5" w:rsidP="000030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CA6B08" w14:textId="77777777" w:rsidR="00264BA5" w:rsidRDefault="00264BA5" w:rsidP="00264B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6739" w14:textId="13410183" w:rsidR="00264BA5" w:rsidRDefault="00C0757D" w:rsidP="00264BA5">
    <w:pPr>
      <w:pStyle w:val="Footer"/>
      <w:ind w:right="360"/>
    </w:pPr>
    <w:r>
      <w:rPr>
        <w:noProof/>
      </w:rPr>
      <mc:AlternateContent>
        <mc:Choice Requires="wps">
          <w:drawing>
            <wp:anchor distT="0" distB="0" distL="114300" distR="114300" simplePos="0" relativeHeight="251659264" behindDoc="0" locked="0" layoutInCell="0" allowOverlap="1" wp14:anchorId="3FE3C852" wp14:editId="321C8B87">
              <wp:simplePos x="0" y="0"/>
              <wp:positionH relativeFrom="page">
                <wp:posOffset>0</wp:posOffset>
              </wp:positionH>
              <wp:positionV relativeFrom="page">
                <wp:posOffset>10237470</wp:posOffset>
              </wp:positionV>
              <wp:extent cx="7560310" cy="263525"/>
              <wp:effectExtent l="0" t="0" r="0" b="3175"/>
              <wp:wrapNone/>
              <wp:docPr id="1" name="MSIPCM685749778de39fdac55b08d4"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17622A" w14:textId="15589101" w:rsidR="00C0757D" w:rsidRPr="00C0757D" w:rsidRDefault="00C0757D" w:rsidP="00C0757D">
                          <w:pPr>
                            <w:jc w:val="left"/>
                            <w:rPr>
                              <w:rFonts w:ascii="Rockwell" w:hAnsi="Rockwell"/>
                              <w:color w:val="0078D7"/>
                              <w:sz w:val="18"/>
                            </w:rPr>
                          </w:pPr>
                          <w:r w:rsidRPr="00C0757D">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E3C852" id="_x0000_t202" coordsize="21600,21600" o:spt="202" path="m,l,21600r21600,l21600,xe">
              <v:stroke joinstyle="miter"/>
              <v:path gradientshapeok="t" o:connecttype="rect"/>
            </v:shapetype>
            <v:shape id="MSIPCM685749778de39fdac55b08d4" o:spid="_x0000_s1026" type="#_x0000_t202" alt="{&quot;HashCode&quot;:-1348403003,&quot;Height&quot;:841.0,&quot;Width&quot;:595.0,&quot;Placement&quot;:&quot;Footer&quot;,&quot;Index&quot;:&quot;Primary&quot;,&quot;Section&quot;:1,&quot;Top&quot;:0.0,&quot;Left&quot;:0.0}" style="position:absolute;left:0;text-align:left;margin-left:0;margin-top:806.1pt;width:595.3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" o:allowincell="f" filled="f" stroked="f" strokeweight=".5pt">
              <v:fill o:detectmouseclick="t"/>
              <v:textbox inset="20pt,0,,0">
                <w:txbxContent>
                  <w:p w14:paraId="7917622A" w14:textId="15589101" w:rsidR="00C0757D" w:rsidRPr="00C0757D" w:rsidRDefault="00C0757D" w:rsidP="00C0757D">
                    <w:pPr>
                      <w:jc w:val="left"/>
                      <w:rPr>
                        <w:rFonts w:ascii="Rockwell" w:hAnsi="Rockwell"/>
                        <w:color w:val="0078D7"/>
                        <w:sz w:val="18"/>
                      </w:rPr>
                    </w:pPr>
                    <w:r w:rsidRPr="00C0757D">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9C79" w14:textId="77777777" w:rsidR="00C0757D" w:rsidRDefault="00C07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5649" w14:textId="77777777" w:rsidR="00CE6AA6" w:rsidRDefault="00CE6AA6" w:rsidP="00264BA5">
      <w:pPr>
        <w:spacing w:line="240" w:lineRule="auto"/>
      </w:pPr>
      <w:r>
        <w:separator/>
      </w:r>
    </w:p>
  </w:footnote>
  <w:footnote w:type="continuationSeparator" w:id="0">
    <w:p w14:paraId="785AB3C6" w14:textId="77777777" w:rsidR="00CE6AA6" w:rsidRDefault="00CE6AA6" w:rsidP="00264B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C67B" w14:textId="77777777" w:rsidR="00C0757D" w:rsidRDefault="00C07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9752" w14:textId="5A023D54" w:rsidR="003E02EB" w:rsidRPr="003E02EB" w:rsidRDefault="003E02EB" w:rsidP="003E02EB">
    <w:pPr>
      <w:rPr>
        <w:b/>
        <w:bCs/>
        <w:sz w:val="28"/>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95D3" w14:textId="77777777" w:rsidR="00C0757D" w:rsidRDefault="00C07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9FE"/>
    <w:multiLevelType w:val="multilevel"/>
    <w:tmpl w:val="7A7691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3411434"/>
    <w:multiLevelType w:val="multilevel"/>
    <w:tmpl w:val="603433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3473C21"/>
    <w:multiLevelType w:val="multilevel"/>
    <w:tmpl w:val="E30AB1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260260258">
    <w:abstractNumId w:val="1"/>
  </w:num>
  <w:num w:numId="2" w16cid:durableId="938412021">
    <w:abstractNumId w:val="0"/>
  </w:num>
  <w:num w:numId="3" w16cid:durableId="36518223">
    <w:abstractNumId w:val="2"/>
  </w:num>
  <w:num w:numId="4" w16cid:durableId="923681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Expert Opinion v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0a0d0epcaad9fezpr95902c0eaxpddt5etd&quot;&gt;01_Vutrisiran ITC Manuscripts&lt;record-ids&gt;&lt;item&gt;45&lt;/item&gt;&lt;item&gt;61&lt;/item&gt;&lt;item&gt;86&lt;/item&gt;&lt;item&gt;87&lt;/item&gt;&lt;item&gt;88&lt;/item&gt;&lt;item&gt;89&lt;/item&gt;&lt;/record-ids&gt;&lt;/item&gt;&lt;/Libraries&gt;"/>
  </w:docVars>
  <w:rsids>
    <w:rsidRoot w:val="000C31A0"/>
    <w:rsid w:val="0001427B"/>
    <w:rsid w:val="00026078"/>
    <w:rsid w:val="00032D3A"/>
    <w:rsid w:val="00071AB7"/>
    <w:rsid w:val="000C31A0"/>
    <w:rsid w:val="000D7543"/>
    <w:rsid w:val="00114DA2"/>
    <w:rsid w:val="00120661"/>
    <w:rsid w:val="0012508B"/>
    <w:rsid w:val="00137149"/>
    <w:rsid w:val="00171D13"/>
    <w:rsid w:val="00185C90"/>
    <w:rsid w:val="00195D7E"/>
    <w:rsid w:val="001A50A4"/>
    <w:rsid w:val="001B7741"/>
    <w:rsid w:val="001D3FA4"/>
    <w:rsid w:val="002163BB"/>
    <w:rsid w:val="00221C68"/>
    <w:rsid w:val="00264BA5"/>
    <w:rsid w:val="00270466"/>
    <w:rsid w:val="002D3F51"/>
    <w:rsid w:val="002F41B8"/>
    <w:rsid w:val="00301990"/>
    <w:rsid w:val="00303D06"/>
    <w:rsid w:val="003257AA"/>
    <w:rsid w:val="00326EF1"/>
    <w:rsid w:val="00333788"/>
    <w:rsid w:val="00362C79"/>
    <w:rsid w:val="003637A6"/>
    <w:rsid w:val="003E02EB"/>
    <w:rsid w:val="003E1A5D"/>
    <w:rsid w:val="003E625E"/>
    <w:rsid w:val="0040154B"/>
    <w:rsid w:val="004123B3"/>
    <w:rsid w:val="004247B6"/>
    <w:rsid w:val="00424F01"/>
    <w:rsid w:val="00435BF1"/>
    <w:rsid w:val="00436402"/>
    <w:rsid w:val="0045202E"/>
    <w:rsid w:val="00457BA8"/>
    <w:rsid w:val="004918E3"/>
    <w:rsid w:val="00497CF3"/>
    <w:rsid w:val="004B66BB"/>
    <w:rsid w:val="004F238F"/>
    <w:rsid w:val="00533060"/>
    <w:rsid w:val="0055035A"/>
    <w:rsid w:val="0056016C"/>
    <w:rsid w:val="00562B61"/>
    <w:rsid w:val="00572C94"/>
    <w:rsid w:val="00596358"/>
    <w:rsid w:val="006610CF"/>
    <w:rsid w:val="00687D84"/>
    <w:rsid w:val="006A3A28"/>
    <w:rsid w:val="00700E65"/>
    <w:rsid w:val="007309D9"/>
    <w:rsid w:val="00770507"/>
    <w:rsid w:val="00790B15"/>
    <w:rsid w:val="00797408"/>
    <w:rsid w:val="007A6351"/>
    <w:rsid w:val="007A76AC"/>
    <w:rsid w:val="007C2DAA"/>
    <w:rsid w:val="007D3AE1"/>
    <w:rsid w:val="008003F2"/>
    <w:rsid w:val="008E7DE9"/>
    <w:rsid w:val="00942D16"/>
    <w:rsid w:val="009950B8"/>
    <w:rsid w:val="009A4D26"/>
    <w:rsid w:val="00A17A4B"/>
    <w:rsid w:val="00A90592"/>
    <w:rsid w:val="00AA4EA6"/>
    <w:rsid w:val="00AC4BA1"/>
    <w:rsid w:val="00AD3F6F"/>
    <w:rsid w:val="00AF50E9"/>
    <w:rsid w:val="00B20439"/>
    <w:rsid w:val="00B33852"/>
    <w:rsid w:val="00B516C0"/>
    <w:rsid w:val="00B723E6"/>
    <w:rsid w:val="00B8013C"/>
    <w:rsid w:val="00B937DE"/>
    <w:rsid w:val="00BB1CF6"/>
    <w:rsid w:val="00BB1EF4"/>
    <w:rsid w:val="00BC3251"/>
    <w:rsid w:val="00BD0769"/>
    <w:rsid w:val="00BD1D7C"/>
    <w:rsid w:val="00BE1160"/>
    <w:rsid w:val="00C0757D"/>
    <w:rsid w:val="00C53EF9"/>
    <w:rsid w:val="00C55E82"/>
    <w:rsid w:val="00C875A8"/>
    <w:rsid w:val="00CA6AA9"/>
    <w:rsid w:val="00CE6AA6"/>
    <w:rsid w:val="00CF3796"/>
    <w:rsid w:val="00D46B13"/>
    <w:rsid w:val="00D662BF"/>
    <w:rsid w:val="00D76ED9"/>
    <w:rsid w:val="00E05115"/>
    <w:rsid w:val="00E3258F"/>
    <w:rsid w:val="00E86180"/>
    <w:rsid w:val="00EA5F31"/>
    <w:rsid w:val="00EA71E3"/>
    <w:rsid w:val="00EB6231"/>
    <w:rsid w:val="00EC1C46"/>
    <w:rsid w:val="00F31FD6"/>
    <w:rsid w:val="00F740E6"/>
    <w:rsid w:val="00F85FC2"/>
    <w:rsid w:val="00F878D2"/>
    <w:rsid w:val="3B02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6016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C68"/>
    <w:pPr>
      <w:spacing w:line="480" w:lineRule="auto"/>
      <w:jc w:val="both"/>
    </w:pPr>
    <w:rPr>
      <w:rFonts w:ascii="Calibri" w:eastAsia="Times New Roman" w:hAnsi="Calibri" w:cs="Times New Roman"/>
      <w:sz w:val="22"/>
      <w:szCs w:val="20"/>
      <w:lang w:val="en-US"/>
    </w:rPr>
  </w:style>
  <w:style w:type="paragraph" w:styleId="Heading1">
    <w:name w:val="heading 1"/>
    <w:basedOn w:val="Normal"/>
    <w:link w:val="Heading1Char"/>
    <w:qFormat/>
    <w:rsid w:val="00221C68"/>
    <w:pPr>
      <w:keepNext/>
      <w:numPr>
        <w:numId w:val="3"/>
      </w:numPr>
      <w:outlineLvl w:val="0"/>
    </w:pPr>
    <w:rPr>
      <w:rFonts w:asciiTheme="majorHAnsi" w:hAnsiTheme="majorHAnsi" w:cstheme="majorHAnsi"/>
      <w:b/>
      <w:sz w:val="28"/>
      <w:szCs w:val="28"/>
    </w:rPr>
  </w:style>
  <w:style w:type="paragraph" w:styleId="Heading2">
    <w:name w:val="heading 2"/>
    <w:basedOn w:val="Normal"/>
    <w:link w:val="Heading2Char"/>
    <w:qFormat/>
    <w:rsid w:val="00221C68"/>
    <w:pPr>
      <w:keepNext/>
      <w:keepLines/>
      <w:numPr>
        <w:ilvl w:val="1"/>
        <w:numId w:val="3"/>
      </w:numPr>
      <w:spacing w:before="40"/>
      <w:outlineLvl w:val="1"/>
    </w:pPr>
    <w:rPr>
      <w:b/>
      <w:sz w:val="24"/>
    </w:rPr>
  </w:style>
  <w:style w:type="paragraph" w:styleId="Heading3">
    <w:name w:val="heading 3"/>
    <w:basedOn w:val="Normal"/>
    <w:link w:val="Heading3Char"/>
    <w:qFormat/>
    <w:rsid w:val="00221C68"/>
    <w:pPr>
      <w:keepNext/>
      <w:keepLines/>
      <w:numPr>
        <w:ilvl w:val="2"/>
        <w:numId w:val="3"/>
      </w:numPr>
      <w:spacing w:before="40"/>
      <w:outlineLvl w:val="2"/>
    </w:pPr>
    <w:rPr>
      <w:b/>
      <w:sz w:val="24"/>
    </w:rPr>
  </w:style>
  <w:style w:type="paragraph" w:styleId="Heading4">
    <w:name w:val="heading 4"/>
    <w:basedOn w:val="Normal"/>
    <w:link w:val="Heading4Char"/>
    <w:qFormat/>
    <w:rsid w:val="00221C68"/>
    <w:pPr>
      <w:keepNext/>
      <w:keepLines/>
      <w:numPr>
        <w:ilvl w:val="3"/>
        <w:numId w:val="3"/>
      </w:numPr>
      <w:spacing w:before="40"/>
      <w:outlineLvl w:val="3"/>
    </w:pPr>
    <w:rPr>
      <w:b/>
    </w:rPr>
  </w:style>
  <w:style w:type="paragraph" w:styleId="Heading5">
    <w:name w:val="heading 5"/>
    <w:basedOn w:val="Normal"/>
    <w:link w:val="Heading5Char"/>
    <w:qFormat/>
    <w:rsid w:val="00221C68"/>
    <w:pPr>
      <w:numPr>
        <w:ilvl w:val="4"/>
        <w:numId w:val="3"/>
      </w:numPr>
      <w:outlineLvl w:val="4"/>
    </w:pPr>
  </w:style>
  <w:style w:type="paragraph" w:styleId="Heading6">
    <w:name w:val="heading 6"/>
    <w:basedOn w:val="Normal"/>
    <w:link w:val="Heading6Char"/>
    <w:qFormat/>
    <w:rsid w:val="00221C68"/>
    <w:pPr>
      <w:numPr>
        <w:ilvl w:val="5"/>
        <w:numId w:val="3"/>
      </w:numPr>
      <w:outlineLvl w:val="5"/>
    </w:pPr>
  </w:style>
  <w:style w:type="paragraph" w:styleId="Heading7">
    <w:name w:val="heading 7"/>
    <w:basedOn w:val="Normal"/>
    <w:next w:val="Normal"/>
    <w:link w:val="Heading7Char"/>
    <w:uiPriority w:val="9"/>
    <w:semiHidden/>
    <w:unhideWhenUsed/>
    <w:qFormat/>
    <w:rsid w:val="00221C68"/>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21C6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1C6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68"/>
    <w:rPr>
      <w:rFonts w:asciiTheme="majorHAnsi" w:eastAsia="Times New Roman" w:hAnsiTheme="majorHAnsi" w:cstheme="majorHAnsi"/>
      <w:b/>
      <w:sz w:val="28"/>
      <w:szCs w:val="28"/>
      <w:lang w:val="en-US"/>
    </w:rPr>
  </w:style>
  <w:style w:type="character" w:customStyle="1" w:styleId="Heading2Char">
    <w:name w:val="Heading 2 Char"/>
    <w:basedOn w:val="DefaultParagraphFont"/>
    <w:link w:val="Heading2"/>
    <w:rsid w:val="00221C68"/>
    <w:rPr>
      <w:rFonts w:ascii="Calibri" w:eastAsia="Times New Roman" w:hAnsi="Calibri" w:cs="Times New Roman"/>
      <w:b/>
      <w:szCs w:val="20"/>
      <w:lang w:val="en-US"/>
    </w:rPr>
  </w:style>
  <w:style w:type="character" w:customStyle="1" w:styleId="Heading3Char">
    <w:name w:val="Heading 3 Char"/>
    <w:basedOn w:val="DefaultParagraphFont"/>
    <w:link w:val="Heading3"/>
    <w:rsid w:val="00221C68"/>
    <w:rPr>
      <w:rFonts w:ascii="Calibri" w:eastAsia="Times New Roman" w:hAnsi="Calibri" w:cs="Times New Roman"/>
      <w:b/>
      <w:szCs w:val="20"/>
      <w:lang w:val="en-US"/>
    </w:rPr>
  </w:style>
  <w:style w:type="character" w:customStyle="1" w:styleId="Heading4Char">
    <w:name w:val="Heading 4 Char"/>
    <w:basedOn w:val="DefaultParagraphFont"/>
    <w:link w:val="Heading4"/>
    <w:rsid w:val="00221C68"/>
    <w:rPr>
      <w:rFonts w:ascii="Calibri" w:eastAsia="Times New Roman" w:hAnsi="Calibri" w:cs="Times New Roman"/>
      <w:b/>
      <w:sz w:val="22"/>
      <w:szCs w:val="20"/>
      <w:lang w:val="en-US"/>
    </w:rPr>
  </w:style>
  <w:style w:type="character" w:customStyle="1" w:styleId="Heading5Char">
    <w:name w:val="Heading 5 Char"/>
    <w:basedOn w:val="DefaultParagraphFont"/>
    <w:link w:val="Heading5"/>
    <w:rsid w:val="00221C68"/>
    <w:rPr>
      <w:rFonts w:ascii="Calibri" w:eastAsia="Times New Roman" w:hAnsi="Calibri" w:cs="Times New Roman"/>
      <w:sz w:val="22"/>
      <w:szCs w:val="20"/>
      <w:lang w:val="en-US"/>
    </w:rPr>
  </w:style>
  <w:style w:type="character" w:customStyle="1" w:styleId="Heading6Char">
    <w:name w:val="Heading 6 Char"/>
    <w:basedOn w:val="DefaultParagraphFont"/>
    <w:link w:val="Heading6"/>
    <w:rsid w:val="00221C68"/>
    <w:rPr>
      <w:rFonts w:ascii="Calibri" w:eastAsia="Times New Roman" w:hAnsi="Calibri" w:cs="Times New Roman"/>
      <w:sz w:val="22"/>
      <w:szCs w:val="20"/>
      <w:lang w:val="en-US"/>
    </w:rPr>
  </w:style>
  <w:style w:type="character" w:customStyle="1" w:styleId="Heading7Char">
    <w:name w:val="Heading 7 Char"/>
    <w:basedOn w:val="DefaultParagraphFont"/>
    <w:link w:val="Heading7"/>
    <w:uiPriority w:val="9"/>
    <w:semiHidden/>
    <w:rsid w:val="00221C68"/>
    <w:rPr>
      <w:rFonts w:asciiTheme="majorHAnsi" w:eastAsiaTheme="majorEastAsia" w:hAnsiTheme="majorHAnsi" w:cstheme="majorBidi"/>
      <w:i/>
      <w:iCs/>
      <w:color w:val="1F3763" w:themeColor="accent1" w:themeShade="7F"/>
      <w:sz w:val="22"/>
      <w:szCs w:val="20"/>
      <w:lang w:val="en-US"/>
    </w:rPr>
  </w:style>
  <w:style w:type="character" w:customStyle="1" w:styleId="Heading8Char">
    <w:name w:val="Heading 8 Char"/>
    <w:basedOn w:val="DefaultParagraphFont"/>
    <w:link w:val="Heading8"/>
    <w:uiPriority w:val="9"/>
    <w:semiHidden/>
    <w:rsid w:val="00221C6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21C68"/>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link w:val="TitleChar"/>
    <w:qFormat/>
    <w:rsid w:val="00221C68"/>
    <w:rPr>
      <w:b/>
      <w:bCs/>
      <w:sz w:val="28"/>
      <w:szCs w:val="22"/>
    </w:rPr>
  </w:style>
  <w:style w:type="character" w:customStyle="1" w:styleId="TitleChar">
    <w:name w:val="Title Char"/>
    <w:basedOn w:val="DefaultParagraphFont"/>
    <w:link w:val="Title"/>
    <w:rsid w:val="00221C68"/>
    <w:rPr>
      <w:rFonts w:ascii="Calibri" w:eastAsia="Times New Roman" w:hAnsi="Calibri" w:cs="Times New Roman"/>
      <w:b/>
      <w:bCs/>
      <w:sz w:val="28"/>
      <w:szCs w:val="22"/>
      <w:lang w:val="en-US"/>
    </w:rPr>
  </w:style>
  <w:style w:type="table" w:customStyle="1" w:styleId="Table">
    <w:name w:val="Table"/>
    <w:qFormat/>
    <w:rsid w:val="00221C68"/>
    <w:rPr>
      <w:rFonts w:ascii="Times New Roman" w:eastAsia="Times New Roman" w:hAnsi="Times New Roman" w:cs="Times New Roman"/>
      <w:sz w:val="20"/>
      <w:szCs w:val="20"/>
      <w:lang w:val="en-US"/>
    </w:rPr>
    <w:tblPr>
      <w:tblCellMar>
        <w:top w:w="0" w:type="dxa"/>
        <w:left w:w="0" w:type="dxa"/>
        <w:bottom w:w="0" w:type="dxa"/>
        <w:right w:w="0" w:type="dxa"/>
      </w:tblCellMar>
    </w:tblPr>
  </w:style>
  <w:style w:type="paragraph" w:styleId="ListParagraph">
    <w:name w:val="List Paragraph"/>
    <w:aliases w:val="Dairy Paragraphe,Bullet 1,List Paragraph Outline"/>
    <w:basedOn w:val="Normal"/>
    <w:qFormat/>
    <w:rsid w:val="00221C68"/>
    <w:pPr>
      <w:ind w:left="720"/>
      <w:contextualSpacing/>
    </w:pPr>
  </w:style>
  <w:style w:type="paragraph" w:customStyle="1" w:styleId="AGTableTitle">
    <w:name w:val="AG Table Title"/>
    <w:basedOn w:val="Normal"/>
    <w:qFormat/>
    <w:rsid w:val="00221C68"/>
    <w:pPr>
      <w:spacing w:before="120" w:after="120" w:line="240" w:lineRule="auto"/>
      <w:contextualSpacing/>
      <w:jc w:val="left"/>
    </w:pPr>
    <w:rPr>
      <w:b/>
      <w:color w:val="4472C4"/>
    </w:rPr>
  </w:style>
  <w:style w:type="paragraph" w:customStyle="1" w:styleId="EndNoteBibliographyTitle">
    <w:name w:val="EndNote Bibliography Title"/>
    <w:basedOn w:val="Normal"/>
    <w:link w:val="EndNoteBibliographyTitleChar"/>
    <w:rsid w:val="00221C68"/>
    <w:pPr>
      <w:jc w:val="center"/>
    </w:pPr>
    <w:rPr>
      <w:rFonts w:cs="Calibri"/>
    </w:rPr>
  </w:style>
  <w:style w:type="character" w:customStyle="1" w:styleId="EndNoteBibliographyTitleChar">
    <w:name w:val="EndNote Bibliography Title Char"/>
    <w:basedOn w:val="DefaultParagraphFont"/>
    <w:link w:val="EndNoteBibliographyTitle"/>
    <w:rsid w:val="00221C68"/>
    <w:rPr>
      <w:rFonts w:ascii="Calibri" w:eastAsia="Times New Roman" w:hAnsi="Calibri" w:cs="Calibri"/>
      <w:sz w:val="22"/>
      <w:szCs w:val="20"/>
      <w:lang w:val="en-US"/>
    </w:rPr>
  </w:style>
  <w:style w:type="paragraph" w:customStyle="1" w:styleId="EndNoteBibliography">
    <w:name w:val="EndNote Bibliography"/>
    <w:basedOn w:val="Normal"/>
    <w:link w:val="EndNoteBibliographyChar"/>
    <w:rsid w:val="00221C68"/>
    <w:rPr>
      <w:rFonts w:cs="Calibri"/>
    </w:rPr>
  </w:style>
  <w:style w:type="character" w:customStyle="1" w:styleId="EndNoteBibliographyChar">
    <w:name w:val="EndNote Bibliography Char"/>
    <w:basedOn w:val="DefaultParagraphFont"/>
    <w:link w:val="EndNoteBibliography"/>
    <w:rsid w:val="00221C68"/>
    <w:rPr>
      <w:rFonts w:ascii="Calibri" w:eastAsia="Times New Roman" w:hAnsi="Calibri" w:cs="Calibri"/>
      <w:sz w:val="22"/>
      <w:szCs w:val="20"/>
      <w:lang w:val="en-US"/>
    </w:rPr>
  </w:style>
  <w:style w:type="character" w:styleId="Hyperlink">
    <w:name w:val="Hyperlink"/>
    <w:basedOn w:val="DefaultParagraphFont"/>
    <w:uiPriority w:val="99"/>
    <w:unhideWhenUsed/>
    <w:rsid w:val="00221C68"/>
    <w:rPr>
      <w:color w:val="0563C1" w:themeColor="hyperlink"/>
      <w:u w:val="single"/>
    </w:rPr>
  </w:style>
  <w:style w:type="character" w:styleId="UnresolvedMention">
    <w:name w:val="Unresolved Mention"/>
    <w:basedOn w:val="DefaultParagraphFont"/>
    <w:uiPriority w:val="99"/>
    <w:semiHidden/>
    <w:unhideWhenUsed/>
    <w:rsid w:val="00221C68"/>
    <w:rPr>
      <w:color w:val="605E5C"/>
      <w:shd w:val="clear" w:color="auto" w:fill="E1DFDD"/>
    </w:rPr>
  </w:style>
  <w:style w:type="paragraph" w:styleId="Header">
    <w:name w:val="header"/>
    <w:basedOn w:val="Normal"/>
    <w:link w:val="HeaderChar"/>
    <w:uiPriority w:val="99"/>
    <w:unhideWhenUsed/>
    <w:rsid w:val="00264BA5"/>
    <w:pPr>
      <w:tabs>
        <w:tab w:val="center" w:pos="4513"/>
        <w:tab w:val="right" w:pos="9026"/>
      </w:tabs>
      <w:spacing w:line="240" w:lineRule="auto"/>
    </w:pPr>
  </w:style>
  <w:style w:type="character" w:customStyle="1" w:styleId="HeaderChar">
    <w:name w:val="Header Char"/>
    <w:basedOn w:val="DefaultParagraphFont"/>
    <w:link w:val="Header"/>
    <w:uiPriority w:val="99"/>
    <w:rsid w:val="00264BA5"/>
    <w:rPr>
      <w:rFonts w:ascii="Calibri" w:eastAsia="Times New Roman" w:hAnsi="Calibri" w:cs="Times New Roman"/>
      <w:sz w:val="22"/>
      <w:szCs w:val="20"/>
      <w:lang w:val="en-US"/>
    </w:rPr>
  </w:style>
  <w:style w:type="paragraph" w:styleId="Footer">
    <w:name w:val="footer"/>
    <w:basedOn w:val="Normal"/>
    <w:link w:val="FooterChar"/>
    <w:uiPriority w:val="99"/>
    <w:unhideWhenUsed/>
    <w:rsid w:val="00264BA5"/>
    <w:pPr>
      <w:tabs>
        <w:tab w:val="center" w:pos="4513"/>
        <w:tab w:val="right" w:pos="9026"/>
      </w:tabs>
      <w:spacing w:line="240" w:lineRule="auto"/>
    </w:pPr>
  </w:style>
  <w:style w:type="character" w:customStyle="1" w:styleId="FooterChar">
    <w:name w:val="Footer Char"/>
    <w:basedOn w:val="DefaultParagraphFont"/>
    <w:link w:val="Footer"/>
    <w:uiPriority w:val="99"/>
    <w:rsid w:val="00264BA5"/>
    <w:rPr>
      <w:rFonts w:ascii="Calibri" w:eastAsia="Times New Roman" w:hAnsi="Calibri" w:cs="Times New Roman"/>
      <w:sz w:val="22"/>
      <w:szCs w:val="20"/>
      <w:lang w:val="en-US"/>
    </w:rPr>
  </w:style>
  <w:style w:type="character" w:styleId="PageNumber">
    <w:name w:val="page number"/>
    <w:basedOn w:val="DefaultParagraphFont"/>
    <w:uiPriority w:val="99"/>
    <w:semiHidden/>
    <w:unhideWhenUsed/>
    <w:rsid w:val="00264BA5"/>
  </w:style>
  <w:style w:type="character" w:styleId="CommentReference">
    <w:name w:val="annotation reference"/>
    <w:basedOn w:val="DefaultParagraphFont"/>
    <w:uiPriority w:val="99"/>
    <w:semiHidden/>
    <w:unhideWhenUsed/>
    <w:rsid w:val="00700E65"/>
    <w:rPr>
      <w:sz w:val="16"/>
      <w:szCs w:val="16"/>
    </w:rPr>
  </w:style>
  <w:style w:type="paragraph" w:styleId="Revision">
    <w:name w:val="Revision"/>
    <w:hidden/>
    <w:uiPriority w:val="99"/>
    <w:semiHidden/>
    <w:rsid w:val="00BD1D7C"/>
    <w:rPr>
      <w:rFonts w:ascii="Calibri" w:eastAsia="Times New Roman" w:hAnsi="Calibri" w:cs="Times New Roman"/>
      <w:sz w:val="22"/>
      <w:szCs w:val="20"/>
      <w:lang w:val="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247B6"/>
    <w:rPr>
      <w:b/>
      <w:bCs/>
    </w:rPr>
  </w:style>
  <w:style w:type="character" w:customStyle="1" w:styleId="CommentSubjectChar">
    <w:name w:val="Comment Subject Char"/>
    <w:basedOn w:val="CommentTextChar"/>
    <w:link w:val="CommentSubject"/>
    <w:uiPriority w:val="99"/>
    <w:semiHidden/>
    <w:rsid w:val="004247B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a.europa.eu/en/documents/assessment-report/vyndaqel-epar-public-assessment-report_en.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ma.europa.eu/en/documents/product-information/vyndaqel-epar-product-information_e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E9F32B8F0674C935C314F895109AF" ma:contentTypeVersion="18" ma:contentTypeDescription="Create a new document." ma:contentTypeScope="" ma:versionID="e8f30d823347dca37c8eaea6cdb3d4d4">
  <xsd:schema xmlns:xsd="http://www.w3.org/2001/XMLSchema" xmlns:xs="http://www.w3.org/2001/XMLSchema" xmlns:p="http://schemas.microsoft.com/office/2006/metadata/properties" xmlns:ns2="2b58a0a1-dc5d-4be1-a20b-cecb49ee8e0d" xmlns:ns3="646c3f56-6276-4086-9bda-002d35dfc116" targetNamespace="http://schemas.microsoft.com/office/2006/metadata/properties" ma:root="true" ma:fieldsID="eb7086ad37dc8a7909d740e2e95f6d75" ns2:_="" ns3:_="">
    <xsd:import namespace="2b58a0a1-dc5d-4be1-a20b-cecb49ee8e0d"/>
    <xsd:import namespace="646c3f56-6276-4086-9bda-002d35dfc1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a0a1-dc5d-4be1-a20b-cecb49ee8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bcd0c6-160f-42c5-ab48-2edb08b00b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6c3f56-6276-4086-9bda-002d35dfc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c6408d-61e0-4c70-8123-c17a26b99669}" ma:internalName="TaxCatchAll" ma:showField="CatchAllData" ma:web="646c3f56-6276-4086-9bda-002d35dfc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6c3f56-6276-4086-9bda-002d35dfc116" xsi:nil="true"/>
    <lcf76f155ced4ddcb4097134ff3c332f xmlns="2b58a0a1-dc5d-4be1-a20b-cecb49ee8e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91BAC0-0A56-4035-919B-CB111B682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a0a1-dc5d-4be1-a20b-cecb49ee8e0d"/>
    <ds:schemaRef ds:uri="646c3f56-6276-4086-9bda-002d35dfc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4E073-B100-46F4-80DD-20D25B4B9EB2}">
  <ds:schemaRefs>
    <ds:schemaRef ds:uri="http://schemas.microsoft.com/sharepoint/v3/contenttype/forms"/>
  </ds:schemaRefs>
</ds:datastoreItem>
</file>

<file path=customXml/itemProps3.xml><?xml version="1.0" encoding="utf-8"?>
<ds:datastoreItem xmlns:ds="http://schemas.openxmlformats.org/officeDocument/2006/customXml" ds:itemID="{EA1AF368-13DE-4575-A9AE-B81922AFC101}">
  <ds:schemaRefs>
    <ds:schemaRef ds:uri="http://schemas.microsoft.com/office/2006/metadata/properties"/>
    <ds:schemaRef ds:uri="http://schemas.microsoft.com/office/infopath/2007/PartnerControls"/>
    <ds:schemaRef ds:uri="646c3f56-6276-4086-9bda-002d35dfc116"/>
    <ds:schemaRef ds:uri="2b58a0a1-dc5d-4be1-a20b-cecb49ee8e0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2543</Words>
  <Characters>14497</Characters>
  <Application>Microsoft Office Word</Application>
  <DocSecurity>0</DocSecurity>
  <Lines>120</Lines>
  <Paragraphs>34</Paragraphs>
  <ScaleCrop>false</ScaleCrop>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2023-04-14T12:55:00Z</dcterms:created>
  <dcterms:modified xsi:type="dcterms:W3CDTF">2023-05-16T09:48:00Z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0x01010087EE9F32B8F0674C935C314F895109AF</vt:lpwstr>
  </property>
  <property fmtid="{D5CDD505-2E9C-101B-9397-08002B2CF9AE}" pid="3" name="MediaServiceImageTags">
    <vt:lpwstr/>
  </property>
  <property fmtid="{D5CDD505-2E9C-101B-9397-08002B2CF9AE}" pid="4" name="MSIP_Label_2bbab825-a111-45e4-86a1-18cee0005896_Enabled">
    <vt:lpwstr>true</vt:lpwstr>
  </property>
  <property fmtid="{D5CDD505-2E9C-101B-9397-08002B2CF9AE}" pid="5" name="MSIP_Label_2bbab825-a111-45e4-86a1-18cee0005896_SetDate">
    <vt:lpwstr>2023-05-16T09:48:34Z</vt:lpwstr>
  </property>
  <property fmtid="{D5CDD505-2E9C-101B-9397-08002B2CF9AE}" pid="6" name="MSIP_Label_2bbab825-a111-45e4-86a1-18cee0005896_Method">
    <vt:lpwstr>Standard</vt:lpwstr>
  </property>
  <property fmtid="{D5CDD505-2E9C-101B-9397-08002B2CF9AE}" pid="7" name="MSIP_Label_2bbab825-a111-45e4-86a1-18cee0005896_Name">
    <vt:lpwstr>2bbab825-a111-45e4-86a1-18cee0005896</vt:lpwstr>
  </property>
  <property fmtid="{D5CDD505-2E9C-101B-9397-08002B2CF9AE}" pid="8" name="MSIP_Label_2bbab825-a111-45e4-86a1-18cee0005896_SiteId">
    <vt:lpwstr>2567d566-604c-408a-8a60-55d0dc9d9d6b</vt:lpwstr>
  </property>
  <property fmtid="{D5CDD505-2E9C-101B-9397-08002B2CF9AE}" pid="9" name="MSIP_Label_2bbab825-a111-45e4-86a1-18cee0005896_ActionId">
    <vt:lpwstr>dbee08b8-50d0-45e9-95f6-cd7803f9fd2d</vt:lpwstr>
  </property>
  <property fmtid="{D5CDD505-2E9C-101B-9397-08002B2CF9AE}" pid="10" name="MSIP_Label_2bbab825-a111-45e4-86a1-18cee0005896_ContentBits">
    <vt:lpwstr>2</vt:lpwstr>
  </property>
</Properties>
</file>