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924C" w14:textId="77777777" w:rsidR="00753231" w:rsidRPr="003A5930" w:rsidRDefault="00753231" w:rsidP="00753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A5930">
        <w:rPr>
          <w:rFonts w:ascii="Times New Roman" w:hAnsi="Times New Roman" w:cs="Times New Roman"/>
          <w:b/>
          <w:sz w:val="28"/>
          <w:szCs w:val="24"/>
          <w:lang w:val="en-US"/>
        </w:rPr>
        <w:t xml:space="preserve">Bioassay-guided identification of antithrombotic compounds from </w:t>
      </w:r>
      <w:r w:rsidRPr="003A5930">
        <w:rPr>
          <w:rFonts w:ascii="Times New Roman" w:hAnsi="Times New Roman" w:cs="Times New Roman"/>
          <w:b/>
          <w:i/>
          <w:sz w:val="28"/>
          <w:szCs w:val="24"/>
          <w:lang w:val="en-US"/>
        </w:rPr>
        <w:t>Cnidoscolus aconitifolius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4"/>
          <w:lang w:val="en-US"/>
        </w:rPr>
        <w:t>(Mill.) I.M. Jhonst.</w:t>
      </w:r>
      <w:r w:rsidRPr="003A5930">
        <w:rPr>
          <w:rFonts w:ascii="Times New Roman" w:hAnsi="Times New Roman" w:cs="Times New Roman"/>
          <w:b/>
          <w:sz w:val="28"/>
          <w:szCs w:val="24"/>
          <w:lang w:val="en-US"/>
        </w:rPr>
        <w:t>: molecular docking, bioavailability, and toxicity prediction</w:t>
      </w:r>
    </w:p>
    <w:p w14:paraId="0DBB5C13" w14:textId="77777777" w:rsidR="00753231" w:rsidRDefault="00753231" w:rsidP="00753231">
      <w:pPr>
        <w:pStyle w:val="Authornames"/>
        <w:spacing w:before="0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Juan Pablo Quintal </w:t>
      </w:r>
      <w:r w:rsidRPr="00ED28C1">
        <w:rPr>
          <w:sz w:val="24"/>
          <w:lang w:val="es-MX"/>
        </w:rPr>
        <w:t>Martínez</w:t>
      </w:r>
      <w:r w:rsidRPr="00ED28C1">
        <w:rPr>
          <w:sz w:val="24"/>
          <w:vertAlign w:val="superscript"/>
          <w:lang w:val="es-MX"/>
        </w:rPr>
        <w:t>1</w:t>
      </w:r>
      <w:r>
        <w:rPr>
          <w:sz w:val="24"/>
          <w:lang w:val="es-MX"/>
        </w:rPr>
        <w:t>, Irma Guadalupe Quintal Ortiz</w:t>
      </w:r>
      <w:r w:rsidRPr="00786053">
        <w:rPr>
          <w:sz w:val="24"/>
          <w:vertAlign w:val="superscript"/>
          <w:lang w:val="es-MX"/>
        </w:rPr>
        <w:t>2</w:t>
      </w:r>
      <w:r>
        <w:rPr>
          <w:sz w:val="24"/>
          <w:lang w:val="es-MX"/>
        </w:rPr>
        <w:t>, Ligia Gabriela Alonso Salomón</w:t>
      </w:r>
      <w:r w:rsidRPr="00786053">
        <w:rPr>
          <w:sz w:val="24"/>
          <w:vertAlign w:val="superscript"/>
          <w:lang w:val="es-MX"/>
        </w:rPr>
        <w:t>2</w:t>
      </w:r>
      <w:r>
        <w:rPr>
          <w:sz w:val="24"/>
          <w:lang w:val="es-MX"/>
        </w:rPr>
        <w:t>, Karlina García-Sosa</w:t>
      </w:r>
      <w:r w:rsidRPr="00B61178">
        <w:rPr>
          <w:sz w:val="24"/>
          <w:vertAlign w:val="superscript"/>
          <w:lang w:val="es-MX"/>
        </w:rPr>
        <w:t>3</w:t>
      </w:r>
      <w:r>
        <w:rPr>
          <w:sz w:val="24"/>
          <w:lang w:val="es-MX"/>
        </w:rPr>
        <w:t>, Luis Manuel Peña Rodríguez</w:t>
      </w:r>
      <w:r>
        <w:rPr>
          <w:sz w:val="24"/>
          <w:vertAlign w:val="superscript"/>
          <w:lang w:val="es-MX"/>
        </w:rPr>
        <w:t>3</w:t>
      </w:r>
      <w:r>
        <w:rPr>
          <w:sz w:val="24"/>
          <w:lang w:val="es-MX"/>
        </w:rPr>
        <w:t xml:space="preserve">, </w:t>
      </w:r>
      <w:r w:rsidRPr="003C2774">
        <w:rPr>
          <w:sz w:val="24"/>
          <w:lang w:val="es-MX"/>
        </w:rPr>
        <w:t>José Antonio Guerrero</w:t>
      </w:r>
      <w:r>
        <w:rPr>
          <w:sz w:val="24"/>
          <w:lang w:val="es-MX"/>
        </w:rPr>
        <w:t xml:space="preserve"> </w:t>
      </w:r>
      <w:r w:rsidRPr="003C2774">
        <w:rPr>
          <w:sz w:val="24"/>
          <w:lang w:val="es-MX"/>
        </w:rPr>
        <w:t>Analco</w:t>
      </w:r>
      <w:r>
        <w:rPr>
          <w:sz w:val="24"/>
          <w:vertAlign w:val="superscript"/>
          <w:lang w:val="es-MX"/>
        </w:rPr>
        <w:t>4</w:t>
      </w:r>
      <w:r w:rsidRPr="003C2774">
        <w:rPr>
          <w:sz w:val="24"/>
          <w:lang w:val="es-MX"/>
        </w:rPr>
        <w:t>, Juan Luis Monribot</w:t>
      </w:r>
      <w:r>
        <w:rPr>
          <w:sz w:val="24"/>
          <w:lang w:val="es-MX"/>
        </w:rPr>
        <w:t xml:space="preserve"> </w:t>
      </w:r>
      <w:r w:rsidRPr="003C2774">
        <w:rPr>
          <w:sz w:val="24"/>
          <w:lang w:val="es-MX"/>
        </w:rPr>
        <w:t>Villanueva</w:t>
      </w:r>
      <w:r w:rsidRPr="003C2774">
        <w:rPr>
          <w:sz w:val="24"/>
          <w:vertAlign w:val="superscript"/>
          <w:lang w:val="es-MX"/>
        </w:rPr>
        <w:t>4</w:t>
      </w:r>
      <w:r>
        <w:rPr>
          <w:sz w:val="24"/>
          <w:lang w:val="es-MX"/>
        </w:rPr>
        <w:t>, Abraham Vidal Limón</w:t>
      </w:r>
      <w:r w:rsidRPr="00150DED">
        <w:rPr>
          <w:sz w:val="24"/>
          <w:vertAlign w:val="superscript"/>
          <w:lang w:val="es-MX"/>
        </w:rPr>
        <w:t>4</w:t>
      </w:r>
      <w:r>
        <w:rPr>
          <w:sz w:val="24"/>
          <w:lang w:val="es-MX"/>
        </w:rPr>
        <w:t>, and</w:t>
      </w:r>
      <w:r w:rsidRPr="003C2774">
        <w:rPr>
          <w:sz w:val="24"/>
          <w:lang w:val="es-MX"/>
        </w:rPr>
        <w:t xml:space="preserve"> </w:t>
      </w:r>
      <w:r>
        <w:rPr>
          <w:sz w:val="24"/>
          <w:lang w:val="es-MX"/>
        </w:rPr>
        <w:t xml:space="preserve">Maira Rubi Segura </w:t>
      </w:r>
      <w:r w:rsidRPr="00ED28C1">
        <w:rPr>
          <w:sz w:val="24"/>
          <w:lang w:val="es-MX"/>
        </w:rPr>
        <w:t>Campos</w:t>
      </w:r>
      <w:r w:rsidRPr="00ED28C1">
        <w:rPr>
          <w:sz w:val="24"/>
          <w:vertAlign w:val="superscript"/>
          <w:lang w:val="es-MX"/>
        </w:rPr>
        <w:t>1</w:t>
      </w:r>
      <w:r w:rsidRPr="00ED28C1">
        <w:rPr>
          <w:sz w:val="24"/>
          <w:lang w:val="es-MX"/>
        </w:rPr>
        <w:t>*</w:t>
      </w:r>
    </w:p>
    <w:p w14:paraId="5AF132BE" w14:textId="4D085A41" w:rsidR="009E17A0" w:rsidRDefault="009E17A0"/>
    <w:p w14:paraId="79FD0903" w14:textId="4C8D8938" w:rsidR="00753231" w:rsidRPr="007717BB" w:rsidRDefault="00753231" w:rsidP="007717B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17BB">
        <w:rPr>
          <w:rFonts w:ascii="Times New Roman" w:hAnsi="Times New Roman" w:cs="Times New Roman"/>
          <w:b/>
          <w:bCs/>
          <w:sz w:val="24"/>
          <w:szCs w:val="24"/>
          <w:lang w:val="en-US"/>
        </w:rPr>
        <w:t>Docking molecular validation</w:t>
      </w:r>
    </w:p>
    <w:p w14:paraId="6CD5FE4F" w14:textId="6426B361" w:rsidR="00753231" w:rsidRPr="007717BB" w:rsidRDefault="00753231" w:rsidP="007717B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the validation of molecular docking methodologies, a decoy set of ligands was used along with the co-crystallized ligands. For decoy dataset generation, the co-crystal ligand (PDB ID: 4PY0, 4XNW, 1DWC, 2GDE, 2J4I, 1A5H) was used. The physicochemical properties of co-crystallized ligands, such as molecular weight, number of hydrogen bond acceptors and donors and LogP were used for decoy selection from ChEMBL database. Finally, all ligands were re-docked by previously described method under same parameters. ROC AUC</w:t>
      </w:r>
      <w:r w:rsid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DD26A5"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receiver opereting curve</w:t>
      </w:r>
      <w:r w:rsid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generated for all the afore mentioned ligands and included in supplementary material as </w:t>
      </w:r>
      <w:r w:rsid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igure S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use of molecular docking methodologies</w:t>
      </w:r>
      <w:r w:rsidR="00504F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as shown in Figure S1,</w:t>
      </w:r>
      <w:r w:rsidRPr="007717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classified the data with a good performance of ~ 0.9, which represents a better classifier when selecting a true positive ligand upon all data set.</w:t>
      </w:r>
    </w:p>
    <w:p w14:paraId="386FBFDD" w14:textId="77777777" w:rsidR="00753231" w:rsidRDefault="00753231" w:rsidP="00257B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1ED6067B" wp14:editId="67FDE82C">
            <wp:extent cx="4823460" cy="3571216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467" cy="357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5E7F" w14:textId="2FAE6F6E" w:rsidR="00753231" w:rsidRPr="00AC7086" w:rsidRDefault="00753231" w:rsidP="007532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2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Figure S</w:t>
      </w:r>
      <w:r w:rsidRPr="00DD2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DD2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AC7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ROC curve constructed based on the data set of 6 co-crystallized compounds.  Data sets are presented as orange solid curve.</w:t>
      </w:r>
    </w:p>
    <w:p w14:paraId="7E910A8B" w14:textId="77777777" w:rsidR="00753231" w:rsidRPr="00753231" w:rsidRDefault="00753231" w:rsidP="00753231">
      <w:pPr>
        <w:jc w:val="both"/>
        <w:rPr>
          <w:b/>
          <w:bCs/>
          <w:lang w:val="en-US"/>
        </w:rPr>
      </w:pPr>
    </w:p>
    <w:sectPr w:rsidR="00753231" w:rsidRPr="00753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31"/>
    <w:rsid w:val="00257BF5"/>
    <w:rsid w:val="002A036E"/>
    <w:rsid w:val="00504F68"/>
    <w:rsid w:val="00753231"/>
    <w:rsid w:val="007717BB"/>
    <w:rsid w:val="009E17A0"/>
    <w:rsid w:val="00D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E63A"/>
  <w15:chartTrackingRefBased/>
  <w15:docId w15:val="{1E531171-4AEC-4CE4-B751-E73AF01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753231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75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QUINTAL MARTINEZ</dc:creator>
  <cp:keywords/>
  <dc:description/>
  <cp:lastModifiedBy>JUAN PABLO QUINTAL MARTINEZ</cp:lastModifiedBy>
  <cp:revision>8</cp:revision>
  <dcterms:created xsi:type="dcterms:W3CDTF">2023-03-22T18:33:00Z</dcterms:created>
  <dcterms:modified xsi:type="dcterms:W3CDTF">2023-03-22T18:59:00Z</dcterms:modified>
</cp:coreProperties>
</file>