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0EAF9F" w14:textId="77777777" w:rsidR="00BF6252" w:rsidRPr="0088461D" w:rsidRDefault="00BF6252" w:rsidP="00BF6252">
      <w:pPr>
        <w:pStyle w:val="Heading-Main"/>
        <w:spacing w:beforeLines="50" w:before="156" w:after="0" w:line="300" w:lineRule="auto"/>
        <w:rPr>
          <w:sz w:val="21"/>
          <w:szCs w:val="21"/>
        </w:rPr>
      </w:pPr>
      <w:r w:rsidRPr="0088461D">
        <w:rPr>
          <w:sz w:val="21"/>
          <w:szCs w:val="21"/>
        </w:rPr>
        <w:t>Appendix</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7"/>
        <w:gridCol w:w="4117"/>
        <w:gridCol w:w="37"/>
        <w:gridCol w:w="5"/>
      </w:tblGrid>
      <w:tr w:rsidR="00BF6252" w:rsidRPr="00B72E59" w14:paraId="56B79577" w14:textId="77777777" w:rsidTr="0036136E">
        <w:trPr>
          <w:gridAfter w:val="1"/>
        </w:trPr>
        <w:tc>
          <w:tcPr>
            <w:tcW w:w="8441" w:type="dxa"/>
            <w:gridSpan w:val="3"/>
            <w:hideMark/>
          </w:tcPr>
          <w:p w14:paraId="647424E0" w14:textId="77777777" w:rsidR="00BF6252" w:rsidRPr="00B72E59" w:rsidRDefault="00BF6252" w:rsidP="0036136E">
            <w:pPr>
              <w:rPr>
                <w:rFonts w:eastAsiaTheme="minorEastAsia"/>
                <w:szCs w:val="22"/>
              </w:rPr>
            </w:pPr>
            <w:r w:rsidRPr="00B72E59">
              <w:rPr>
                <w:noProof/>
              </w:rPr>
              <w:drawing>
                <wp:inline distT="0" distB="0" distL="0" distR="0" wp14:anchorId="5698F02F" wp14:editId="44432207">
                  <wp:extent cx="5189220" cy="33756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9220" cy="3375660"/>
                          </a:xfrm>
                          <a:prstGeom prst="rect">
                            <a:avLst/>
                          </a:prstGeom>
                          <a:noFill/>
                          <a:ln>
                            <a:noFill/>
                          </a:ln>
                        </pic:spPr>
                      </pic:pic>
                    </a:graphicData>
                  </a:graphic>
                </wp:inline>
              </w:drawing>
            </w:r>
          </w:p>
        </w:tc>
      </w:tr>
      <w:tr w:rsidR="00BF6252" w:rsidRPr="00B72E59" w14:paraId="518CE395" w14:textId="77777777" w:rsidTr="0036136E">
        <w:trPr>
          <w:gridAfter w:val="1"/>
        </w:trPr>
        <w:tc>
          <w:tcPr>
            <w:tcW w:w="8441" w:type="dxa"/>
            <w:gridSpan w:val="3"/>
            <w:hideMark/>
          </w:tcPr>
          <w:p w14:paraId="5BEDEC3E" w14:textId="77777777" w:rsidR="00BF6252" w:rsidRPr="00B72E59" w:rsidRDefault="00BF6252" w:rsidP="0036136E">
            <w:pPr>
              <w:jc w:val="center"/>
              <w:rPr>
                <w:rFonts w:eastAsiaTheme="minorEastAsia"/>
                <w:szCs w:val="22"/>
              </w:rPr>
            </w:pPr>
            <w:r w:rsidRPr="00B72E59">
              <w:rPr>
                <w:noProof/>
              </w:rPr>
              <w:lastRenderedPageBreak/>
              <w:drawing>
                <wp:inline distT="0" distB="0" distL="0" distR="0" wp14:anchorId="5E7D300C" wp14:editId="03A91D78">
                  <wp:extent cx="5090160" cy="50520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0160" cy="5052060"/>
                          </a:xfrm>
                          <a:prstGeom prst="rect">
                            <a:avLst/>
                          </a:prstGeom>
                          <a:noFill/>
                          <a:ln>
                            <a:noFill/>
                          </a:ln>
                        </pic:spPr>
                      </pic:pic>
                    </a:graphicData>
                  </a:graphic>
                </wp:inline>
              </w:drawing>
            </w:r>
          </w:p>
        </w:tc>
      </w:tr>
      <w:tr w:rsidR="00BF6252" w:rsidRPr="00B72E59" w14:paraId="1B4C2832" w14:textId="77777777" w:rsidTr="0036136E">
        <w:trPr>
          <w:gridAfter w:val="1"/>
        </w:trPr>
        <w:tc>
          <w:tcPr>
            <w:tcW w:w="8441" w:type="dxa"/>
            <w:gridSpan w:val="3"/>
            <w:hideMark/>
          </w:tcPr>
          <w:p w14:paraId="2503BBE6" w14:textId="77777777" w:rsidR="00BF6252" w:rsidRPr="00B72E59" w:rsidRDefault="00BF6252" w:rsidP="0036136E">
            <w:pPr>
              <w:spacing w:line="408" w:lineRule="atLeast"/>
              <w:jc w:val="both"/>
              <w:rPr>
                <w:sz w:val="18"/>
                <w:szCs w:val="18"/>
              </w:rPr>
            </w:pPr>
            <w:r w:rsidRPr="00732430">
              <w:rPr>
                <w:b/>
                <w:sz w:val="21"/>
                <w:szCs w:val="21"/>
              </w:rPr>
              <w:t>Fig</w:t>
            </w:r>
            <w:r w:rsidRPr="00732430">
              <w:rPr>
                <w:rFonts w:hint="eastAsia"/>
                <w:b/>
                <w:sz w:val="21"/>
                <w:szCs w:val="21"/>
              </w:rPr>
              <w:t>ure</w:t>
            </w:r>
            <w:r w:rsidRPr="00732430">
              <w:rPr>
                <w:b/>
                <w:sz w:val="21"/>
                <w:szCs w:val="21"/>
              </w:rPr>
              <w:t xml:space="preserve"> S1. The basal melt rate of LIS was calculated from </w:t>
            </w:r>
            <w:proofErr w:type="spellStart"/>
            <w:r w:rsidRPr="00732430">
              <w:rPr>
                <w:b/>
                <w:sz w:val="21"/>
                <w:szCs w:val="21"/>
              </w:rPr>
              <w:t>ICESat</w:t>
            </w:r>
            <w:proofErr w:type="spellEnd"/>
            <w:r w:rsidRPr="00732430">
              <w:rPr>
                <w:b/>
                <w:sz w:val="21"/>
                <w:szCs w:val="21"/>
              </w:rPr>
              <w:t xml:space="preserve"> altimetry data; </w:t>
            </w:r>
            <w:r>
              <w:rPr>
                <w:b/>
                <w:sz w:val="21"/>
                <w:szCs w:val="21"/>
              </w:rPr>
              <w:t>(</w:t>
            </w:r>
            <w:r w:rsidRPr="00732430">
              <w:rPr>
                <w:b/>
                <w:sz w:val="21"/>
                <w:szCs w:val="21"/>
              </w:rPr>
              <w:t>a</w:t>
            </w:r>
            <w:proofErr w:type="gramStart"/>
            <w:r>
              <w:rPr>
                <w:b/>
                <w:sz w:val="21"/>
                <w:szCs w:val="21"/>
              </w:rPr>
              <w:t>)</w:t>
            </w:r>
            <w:r w:rsidRPr="00732430">
              <w:rPr>
                <w:b/>
                <w:sz w:val="21"/>
                <w:szCs w:val="21"/>
              </w:rPr>
              <w:t>.Annual</w:t>
            </w:r>
            <w:proofErr w:type="gramEnd"/>
            <w:r w:rsidRPr="00732430">
              <w:rPr>
                <w:b/>
                <w:sz w:val="21"/>
                <w:szCs w:val="21"/>
              </w:rPr>
              <w:t xml:space="preserve"> basal melt rate was calculated from ICESat-1 altimetry data from 2003 to 2009; </w:t>
            </w:r>
            <w:r>
              <w:rPr>
                <w:b/>
                <w:sz w:val="21"/>
                <w:szCs w:val="21"/>
              </w:rPr>
              <w:t>(</w:t>
            </w:r>
            <w:r w:rsidRPr="00732430">
              <w:rPr>
                <w:b/>
                <w:sz w:val="21"/>
                <w:szCs w:val="21"/>
              </w:rPr>
              <w:t>b</w:t>
            </w:r>
            <w:r>
              <w:rPr>
                <w:b/>
                <w:sz w:val="21"/>
                <w:szCs w:val="21"/>
              </w:rPr>
              <w:t>)</w:t>
            </w:r>
            <w:r w:rsidRPr="00732430">
              <w:rPr>
                <w:b/>
                <w:sz w:val="21"/>
                <w:szCs w:val="21"/>
              </w:rPr>
              <w:t>. Seasonal basal melt rate was calculated from ICESat-2 altimetry data from 2018 to 2020.</w:t>
            </w:r>
          </w:p>
        </w:tc>
      </w:tr>
      <w:tr w:rsidR="00BF6252" w:rsidRPr="00B72E59" w14:paraId="71C1127D" w14:textId="77777777" w:rsidTr="0036136E">
        <w:trPr>
          <w:gridAfter w:val="2"/>
          <w:wAfter w:w="965" w:type="dxa"/>
        </w:trPr>
        <w:tc>
          <w:tcPr>
            <w:tcW w:w="8391" w:type="dxa"/>
            <w:gridSpan w:val="2"/>
            <w:hideMark/>
          </w:tcPr>
          <w:p w14:paraId="53AEBE22" w14:textId="77777777" w:rsidR="00BF6252" w:rsidRPr="00B72E59" w:rsidRDefault="00BF6252" w:rsidP="0036136E">
            <w:pPr>
              <w:rPr>
                <w:rFonts w:eastAsiaTheme="minorEastAsia"/>
                <w:szCs w:val="22"/>
              </w:rPr>
            </w:pPr>
            <w:r w:rsidRPr="00B72E59">
              <w:rPr>
                <w:noProof/>
              </w:rPr>
              <w:lastRenderedPageBreak/>
              <w:drawing>
                <wp:inline distT="0" distB="0" distL="0" distR="0" wp14:anchorId="09DC47A9" wp14:editId="62B5C14F">
                  <wp:extent cx="5158740" cy="4335780"/>
                  <wp:effectExtent l="0" t="0" r="381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8740" cy="4335780"/>
                          </a:xfrm>
                          <a:prstGeom prst="rect">
                            <a:avLst/>
                          </a:prstGeom>
                          <a:noFill/>
                          <a:ln>
                            <a:noFill/>
                          </a:ln>
                        </pic:spPr>
                      </pic:pic>
                    </a:graphicData>
                  </a:graphic>
                </wp:inline>
              </w:drawing>
            </w:r>
          </w:p>
        </w:tc>
      </w:tr>
      <w:tr w:rsidR="00BF6252" w:rsidRPr="00B72E59" w14:paraId="71ADC80B" w14:textId="77777777" w:rsidTr="0036136E">
        <w:trPr>
          <w:gridAfter w:val="2"/>
          <w:wAfter w:w="965" w:type="dxa"/>
        </w:trPr>
        <w:tc>
          <w:tcPr>
            <w:tcW w:w="8391" w:type="dxa"/>
            <w:gridSpan w:val="2"/>
          </w:tcPr>
          <w:p w14:paraId="16EF3415" w14:textId="77777777" w:rsidR="00BF6252" w:rsidRPr="00B72E59" w:rsidRDefault="00BF6252" w:rsidP="0036136E">
            <w:pPr>
              <w:rPr>
                <w:rFonts w:asciiTheme="minorHAnsi" w:eastAsiaTheme="minorEastAsia" w:hAnsiTheme="minorHAnsi" w:cstheme="minorBidi"/>
                <w:noProof/>
                <w:szCs w:val="22"/>
              </w:rPr>
            </w:pPr>
          </w:p>
        </w:tc>
      </w:tr>
      <w:tr w:rsidR="00BF6252" w:rsidRPr="00B72E59" w14:paraId="5E285A1C" w14:textId="77777777" w:rsidTr="0036136E">
        <w:trPr>
          <w:gridAfter w:val="2"/>
          <w:wAfter w:w="965" w:type="dxa"/>
        </w:trPr>
        <w:tc>
          <w:tcPr>
            <w:tcW w:w="8391" w:type="dxa"/>
            <w:gridSpan w:val="2"/>
            <w:hideMark/>
          </w:tcPr>
          <w:p w14:paraId="32E0339A" w14:textId="77777777" w:rsidR="00BF6252" w:rsidRPr="00B72E59" w:rsidRDefault="00BF6252" w:rsidP="0036136E">
            <w:pPr>
              <w:spacing w:line="408" w:lineRule="atLeast"/>
              <w:jc w:val="both"/>
              <w:rPr>
                <w:sz w:val="18"/>
                <w:szCs w:val="18"/>
              </w:rPr>
            </w:pPr>
            <w:r w:rsidRPr="00732430">
              <w:rPr>
                <w:b/>
                <w:sz w:val="21"/>
                <w:szCs w:val="21"/>
              </w:rPr>
              <w:t>Figure S2. Abnormal monthly wind field around the LIS from 2003 to 2020, and the wind field data was ERA5 10m wind field data provided by European Centre for Medium Range Weather Forecasts (ECMWF).</w:t>
            </w:r>
          </w:p>
        </w:tc>
      </w:tr>
      <w:tr w:rsidR="00BF6252" w:rsidRPr="00B72E59" w14:paraId="5FC00357" w14:textId="77777777" w:rsidTr="0036136E">
        <w:trPr>
          <w:gridAfter w:val="2"/>
          <w:wAfter w:w="965" w:type="dxa"/>
        </w:trPr>
        <w:tc>
          <w:tcPr>
            <w:tcW w:w="4191" w:type="dxa"/>
            <w:hideMark/>
          </w:tcPr>
          <w:p w14:paraId="4D15C2BB" w14:textId="77777777" w:rsidR="00BF6252" w:rsidRPr="00B72E59" w:rsidRDefault="00BF6252" w:rsidP="0036136E">
            <w:pPr>
              <w:jc w:val="center"/>
              <w:rPr>
                <w:sz w:val="24"/>
                <w:szCs w:val="22"/>
              </w:rPr>
            </w:pPr>
            <w:r w:rsidRPr="00B72E59">
              <w:rPr>
                <w:noProof/>
              </w:rPr>
              <w:drawing>
                <wp:inline distT="0" distB="0" distL="0" distR="0" wp14:anchorId="71C5E643" wp14:editId="501F8E20">
                  <wp:extent cx="2446020" cy="197358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6020" cy="1973580"/>
                          </a:xfrm>
                          <a:prstGeom prst="rect">
                            <a:avLst/>
                          </a:prstGeom>
                          <a:noFill/>
                          <a:ln>
                            <a:noFill/>
                          </a:ln>
                        </pic:spPr>
                      </pic:pic>
                    </a:graphicData>
                  </a:graphic>
                </wp:inline>
              </w:drawing>
            </w:r>
          </w:p>
        </w:tc>
        <w:tc>
          <w:tcPr>
            <w:tcW w:w="4200" w:type="dxa"/>
            <w:hideMark/>
          </w:tcPr>
          <w:p w14:paraId="56DC629D" w14:textId="77777777" w:rsidR="00BF6252" w:rsidRPr="00B72E59" w:rsidRDefault="00BF6252" w:rsidP="0036136E">
            <w:pPr>
              <w:jc w:val="center"/>
            </w:pPr>
            <w:r w:rsidRPr="00B72E59">
              <w:rPr>
                <w:noProof/>
              </w:rPr>
              <w:drawing>
                <wp:inline distT="0" distB="0" distL="0" distR="0" wp14:anchorId="659C5024" wp14:editId="38BB7236">
                  <wp:extent cx="2446020" cy="19735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6020" cy="1973580"/>
                          </a:xfrm>
                          <a:prstGeom prst="rect">
                            <a:avLst/>
                          </a:prstGeom>
                          <a:noFill/>
                          <a:ln>
                            <a:noFill/>
                          </a:ln>
                        </pic:spPr>
                      </pic:pic>
                    </a:graphicData>
                  </a:graphic>
                </wp:inline>
              </w:drawing>
            </w:r>
          </w:p>
        </w:tc>
      </w:tr>
      <w:tr w:rsidR="00BF6252" w:rsidRPr="00B72E59" w14:paraId="79FCA464" w14:textId="77777777" w:rsidTr="0036136E">
        <w:trPr>
          <w:gridAfter w:val="2"/>
          <w:wAfter w:w="965" w:type="dxa"/>
        </w:trPr>
        <w:tc>
          <w:tcPr>
            <w:tcW w:w="8391" w:type="dxa"/>
            <w:gridSpan w:val="2"/>
          </w:tcPr>
          <w:p w14:paraId="644D066E" w14:textId="77777777" w:rsidR="00BF6252" w:rsidRPr="0098119F" w:rsidRDefault="00BF6252" w:rsidP="0036136E">
            <w:pPr>
              <w:spacing w:line="408" w:lineRule="atLeast"/>
              <w:jc w:val="both"/>
              <w:rPr>
                <w:rFonts w:eastAsia="宋体"/>
                <w:noProof/>
              </w:rPr>
            </w:pPr>
            <w:r w:rsidRPr="00732430">
              <w:rPr>
                <w:b/>
                <w:sz w:val="21"/>
                <w:szCs w:val="21"/>
              </w:rPr>
              <w:t xml:space="preserve">Figure S3. Sea ice concentrations and sea ice extent change in certain area in the front of LIS from 2003 to 2020. The sea ice concentrations </w:t>
            </w:r>
            <w:proofErr w:type="gramStart"/>
            <w:r w:rsidRPr="00732430">
              <w:rPr>
                <w:b/>
                <w:sz w:val="21"/>
                <w:szCs w:val="21"/>
              </w:rPr>
              <w:t>was</w:t>
            </w:r>
            <w:proofErr w:type="gramEnd"/>
            <w:r w:rsidRPr="00732430">
              <w:rPr>
                <w:b/>
                <w:sz w:val="21"/>
                <w:szCs w:val="21"/>
              </w:rPr>
              <w:t xml:space="preserve"> the version 4 data provided by NOAA/NSIDC (Meier et al.</w:t>
            </w:r>
            <w:r>
              <w:rPr>
                <w:b/>
                <w:sz w:val="21"/>
                <w:szCs w:val="21"/>
              </w:rPr>
              <w:t xml:space="preserve"> </w:t>
            </w:r>
            <w:r w:rsidRPr="00732430">
              <w:rPr>
                <w:b/>
                <w:sz w:val="21"/>
                <w:szCs w:val="21"/>
              </w:rPr>
              <w:t xml:space="preserve">2021), and the sea ice extent was calculated based on the sea ice concentrations. </w:t>
            </w:r>
            <w:r>
              <w:rPr>
                <w:b/>
                <w:sz w:val="21"/>
                <w:szCs w:val="21"/>
              </w:rPr>
              <w:t>(</w:t>
            </w:r>
            <w:r w:rsidRPr="00732430">
              <w:rPr>
                <w:b/>
                <w:sz w:val="21"/>
                <w:szCs w:val="21"/>
              </w:rPr>
              <w:t>a</w:t>
            </w:r>
            <w:r>
              <w:rPr>
                <w:b/>
                <w:sz w:val="21"/>
                <w:szCs w:val="21"/>
              </w:rPr>
              <w:t>)</w:t>
            </w:r>
            <w:r w:rsidRPr="00732430">
              <w:rPr>
                <w:b/>
                <w:sz w:val="21"/>
                <w:szCs w:val="21"/>
              </w:rPr>
              <w:t xml:space="preserve">. Monthly average and fitted trend of sea ice concentration within the </w:t>
            </w:r>
            <w:r w:rsidRPr="00732430">
              <w:rPr>
                <w:b/>
                <w:sz w:val="21"/>
                <w:szCs w:val="21"/>
              </w:rPr>
              <w:lastRenderedPageBreak/>
              <w:t>region (</w:t>
            </w:r>
            <w:proofErr w:type="gramStart"/>
            <w:r w:rsidRPr="00732430">
              <w:rPr>
                <w:b/>
                <w:sz w:val="21"/>
                <w:szCs w:val="21"/>
              </w:rPr>
              <w:t>longitude(</w:t>
            </w:r>
            <w:proofErr w:type="gramEnd"/>
            <w:r w:rsidRPr="00732430">
              <w:rPr>
                <w:b/>
                <w:sz w:val="21"/>
                <w:szCs w:val="21"/>
              </w:rPr>
              <w:t>56W</w:t>
            </w:r>
            <w:r w:rsidRPr="00732430">
              <w:rPr>
                <w:rFonts w:hint="eastAsia"/>
                <w:b/>
                <w:sz w:val="21"/>
                <w:szCs w:val="21"/>
              </w:rPr>
              <w:t>:</w:t>
            </w:r>
            <w:r w:rsidRPr="00732430">
              <w:rPr>
                <w:b/>
                <w:sz w:val="21"/>
                <w:szCs w:val="21"/>
              </w:rPr>
              <w:t>60W), latitude(66S</w:t>
            </w:r>
            <w:r w:rsidRPr="00732430">
              <w:rPr>
                <w:rFonts w:hint="eastAsia"/>
                <w:b/>
                <w:sz w:val="21"/>
                <w:szCs w:val="21"/>
              </w:rPr>
              <w:t>:</w:t>
            </w:r>
            <w:r w:rsidRPr="00732430">
              <w:rPr>
                <w:b/>
                <w:sz w:val="21"/>
                <w:szCs w:val="21"/>
              </w:rPr>
              <w:t xml:space="preserve">69S)); </w:t>
            </w:r>
            <w:r>
              <w:rPr>
                <w:b/>
                <w:sz w:val="21"/>
                <w:szCs w:val="21"/>
              </w:rPr>
              <w:t>(</w:t>
            </w:r>
            <w:r w:rsidRPr="00732430">
              <w:rPr>
                <w:b/>
                <w:sz w:val="21"/>
                <w:szCs w:val="21"/>
              </w:rPr>
              <w:t>b</w:t>
            </w:r>
            <w:r>
              <w:rPr>
                <w:b/>
                <w:sz w:val="21"/>
                <w:szCs w:val="21"/>
              </w:rPr>
              <w:t>)</w:t>
            </w:r>
            <w:r w:rsidRPr="00732430">
              <w:rPr>
                <w:b/>
                <w:sz w:val="21"/>
                <w:szCs w:val="21"/>
              </w:rPr>
              <w:t>. Annual average of sea ice extent within the region (longitude(50W</w:t>
            </w:r>
            <w:r w:rsidRPr="00732430">
              <w:rPr>
                <w:rFonts w:hint="eastAsia"/>
                <w:b/>
                <w:sz w:val="21"/>
                <w:szCs w:val="21"/>
              </w:rPr>
              <w:t>:</w:t>
            </w:r>
            <w:r w:rsidRPr="00732430">
              <w:rPr>
                <w:b/>
                <w:sz w:val="21"/>
                <w:szCs w:val="21"/>
              </w:rPr>
              <w:t xml:space="preserve">60.5W), </w:t>
            </w:r>
            <w:proofErr w:type="gramStart"/>
            <w:r w:rsidRPr="00732430">
              <w:rPr>
                <w:b/>
                <w:sz w:val="21"/>
                <w:szCs w:val="21"/>
              </w:rPr>
              <w:t>latitude(</w:t>
            </w:r>
            <w:proofErr w:type="gramEnd"/>
            <w:r w:rsidRPr="00732430">
              <w:rPr>
                <w:b/>
                <w:sz w:val="21"/>
                <w:szCs w:val="21"/>
              </w:rPr>
              <w:t>64S</w:t>
            </w:r>
            <w:r w:rsidRPr="00732430">
              <w:rPr>
                <w:rFonts w:hint="eastAsia"/>
                <w:b/>
                <w:sz w:val="21"/>
                <w:szCs w:val="21"/>
              </w:rPr>
              <w:t>:</w:t>
            </w:r>
            <w:r w:rsidRPr="00732430">
              <w:rPr>
                <w:b/>
                <w:sz w:val="21"/>
                <w:szCs w:val="21"/>
              </w:rPr>
              <w:t xml:space="preserve">72S)). </w:t>
            </w:r>
          </w:p>
        </w:tc>
      </w:tr>
      <w:tr w:rsidR="00BF6252" w:rsidRPr="00B72E59" w14:paraId="42FF5058" w14:textId="77777777" w:rsidTr="0036136E">
        <w:tc>
          <w:tcPr>
            <w:tcW w:w="9356" w:type="dxa"/>
            <w:gridSpan w:val="4"/>
          </w:tcPr>
          <w:p w14:paraId="6C3B88E3" w14:textId="77777777" w:rsidR="00BF6252" w:rsidRPr="00B72E59" w:rsidRDefault="00BF6252" w:rsidP="0036136E">
            <w:pPr>
              <w:jc w:val="center"/>
              <w:rPr>
                <w:noProof/>
              </w:rPr>
            </w:pPr>
            <w:r>
              <w:rPr>
                <w:noProof/>
              </w:rPr>
              <w:lastRenderedPageBreak/>
              <w:drawing>
                <wp:inline distT="0" distB="0" distL="0" distR="0" wp14:anchorId="0A194222" wp14:editId="060AD4E4">
                  <wp:extent cx="4996263" cy="74676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99056" cy="7471775"/>
                          </a:xfrm>
                          <a:prstGeom prst="rect">
                            <a:avLst/>
                          </a:prstGeom>
                          <a:noFill/>
                          <a:ln>
                            <a:noFill/>
                          </a:ln>
                        </pic:spPr>
                      </pic:pic>
                    </a:graphicData>
                  </a:graphic>
                </wp:inline>
              </w:drawing>
            </w:r>
          </w:p>
        </w:tc>
      </w:tr>
      <w:tr w:rsidR="00BF6252" w:rsidRPr="00B72E59" w14:paraId="1A3AA357" w14:textId="77777777" w:rsidTr="0036136E">
        <w:tc>
          <w:tcPr>
            <w:tcW w:w="9356" w:type="dxa"/>
            <w:gridSpan w:val="4"/>
          </w:tcPr>
          <w:p w14:paraId="57BA1EC0" w14:textId="77777777" w:rsidR="00BF6252" w:rsidRPr="003061CD" w:rsidRDefault="00BF6252" w:rsidP="0036136E">
            <w:pPr>
              <w:spacing w:line="408" w:lineRule="atLeast"/>
              <w:jc w:val="both"/>
              <w:rPr>
                <w:sz w:val="18"/>
                <w:szCs w:val="18"/>
              </w:rPr>
            </w:pPr>
            <w:r w:rsidRPr="00732430">
              <w:rPr>
                <w:b/>
                <w:sz w:val="21"/>
                <w:szCs w:val="21"/>
              </w:rPr>
              <w:t>Fig</w:t>
            </w:r>
            <w:r>
              <w:rPr>
                <w:b/>
                <w:sz w:val="21"/>
                <w:szCs w:val="21"/>
              </w:rPr>
              <w:t>ure</w:t>
            </w:r>
            <w:r w:rsidRPr="00732430">
              <w:rPr>
                <w:b/>
                <w:sz w:val="21"/>
                <w:szCs w:val="21"/>
              </w:rPr>
              <w:t xml:space="preserve"> S4. </w:t>
            </w:r>
            <w:r>
              <w:rPr>
                <w:b/>
                <w:sz w:val="21"/>
                <w:szCs w:val="21"/>
              </w:rPr>
              <w:t>(</w:t>
            </w:r>
            <w:r w:rsidRPr="00732430">
              <w:rPr>
                <w:b/>
                <w:sz w:val="21"/>
                <w:szCs w:val="21"/>
              </w:rPr>
              <w:t>a</w:t>
            </w:r>
            <w:r>
              <w:rPr>
                <w:b/>
                <w:sz w:val="21"/>
                <w:szCs w:val="21"/>
              </w:rPr>
              <w:t>)</w:t>
            </w:r>
            <w:r w:rsidRPr="00732430">
              <w:rPr>
                <w:b/>
                <w:sz w:val="21"/>
                <w:szCs w:val="21"/>
              </w:rPr>
              <w:t xml:space="preserve">. Grounding-line migration along LIS; </w:t>
            </w:r>
            <w:r>
              <w:rPr>
                <w:b/>
                <w:sz w:val="21"/>
                <w:szCs w:val="21"/>
              </w:rPr>
              <w:t>(</w:t>
            </w:r>
            <w:r w:rsidRPr="00732430">
              <w:rPr>
                <w:b/>
                <w:sz w:val="21"/>
                <w:szCs w:val="21"/>
              </w:rPr>
              <w:t>b</w:t>
            </w:r>
            <w:r>
              <w:rPr>
                <w:b/>
                <w:sz w:val="21"/>
                <w:szCs w:val="21"/>
              </w:rPr>
              <w:t>)</w:t>
            </w:r>
            <w:r w:rsidRPr="00732430">
              <w:rPr>
                <w:b/>
                <w:sz w:val="21"/>
                <w:szCs w:val="21"/>
              </w:rPr>
              <w:t xml:space="preserve"> -</w:t>
            </w:r>
            <w:r>
              <w:rPr>
                <w:b/>
                <w:sz w:val="21"/>
                <w:szCs w:val="21"/>
              </w:rPr>
              <w:t xml:space="preserve"> (</w:t>
            </w:r>
            <w:r w:rsidRPr="00732430">
              <w:rPr>
                <w:b/>
                <w:sz w:val="21"/>
                <w:szCs w:val="21"/>
              </w:rPr>
              <w:t>f</w:t>
            </w:r>
            <w:r>
              <w:rPr>
                <w:b/>
                <w:sz w:val="21"/>
                <w:szCs w:val="21"/>
              </w:rPr>
              <w:t>)</w:t>
            </w:r>
            <w:r w:rsidRPr="00732430">
              <w:rPr>
                <w:b/>
                <w:sz w:val="21"/>
                <w:szCs w:val="21"/>
              </w:rPr>
              <w:t>. spatial extent of</w:t>
            </w:r>
            <w:r w:rsidRPr="00732430">
              <w:rPr>
                <w:rFonts w:hint="eastAsia"/>
                <w:b/>
                <w:sz w:val="21"/>
                <w:szCs w:val="21"/>
              </w:rPr>
              <w:t xml:space="preserve"> </w:t>
            </w:r>
            <w:r w:rsidRPr="00732430">
              <w:rPr>
                <w:b/>
                <w:sz w:val="21"/>
                <w:szCs w:val="21"/>
              </w:rPr>
              <w:t xml:space="preserve">GLL change across the regions labelled in </w:t>
            </w:r>
            <w:r>
              <w:rPr>
                <w:b/>
                <w:sz w:val="21"/>
                <w:szCs w:val="21"/>
              </w:rPr>
              <w:t>(</w:t>
            </w:r>
            <w:r w:rsidRPr="00732430">
              <w:rPr>
                <w:b/>
                <w:sz w:val="21"/>
                <w:szCs w:val="21"/>
              </w:rPr>
              <w:t>a</w:t>
            </w:r>
            <w:r>
              <w:rPr>
                <w:b/>
                <w:sz w:val="21"/>
                <w:szCs w:val="21"/>
              </w:rPr>
              <w:t>)</w:t>
            </w:r>
            <w:r w:rsidRPr="00732430">
              <w:rPr>
                <w:b/>
                <w:sz w:val="21"/>
                <w:szCs w:val="21"/>
              </w:rPr>
              <w:t>.</w:t>
            </w:r>
          </w:p>
        </w:tc>
      </w:tr>
    </w:tbl>
    <w:p w14:paraId="2534BB12" w14:textId="77777777" w:rsidR="0040101A" w:rsidRDefault="0040101A">
      <w:bookmarkStart w:id="0" w:name="_GoBack"/>
      <w:bookmarkEnd w:id="0"/>
    </w:p>
    <w:sectPr w:rsidR="0040101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9C58AD" w14:textId="77777777" w:rsidR="00FF5E0A" w:rsidRDefault="00FF5E0A" w:rsidP="00BF6252">
      <w:r>
        <w:separator/>
      </w:r>
    </w:p>
  </w:endnote>
  <w:endnote w:type="continuationSeparator" w:id="0">
    <w:p w14:paraId="06ECD104" w14:textId="77777777" w:rsidR="00FF5E0A" w:rsidRDefault="00FF5E0A" w:rsidP="00BF6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2D9957" w14:textId="77777777" w:rsidR="00FF5E0A" w:rsidRDefault="00FF5E0A" w:rsidP="00BF6252">
      <w:r>
        <w:separator/>
      </w:r>
    </w:p>
  </w:footnote>
  <w:footnote w:type="continuationSeparator" w:id="0">
    <w:p w14:paraId="433E250A" w14:textId="77777777" w:rsidR="00FF5E0A" w:rsidRDefault="00FF5E0A" w:rsidP="00BF625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3C5"/>
    <w:rsid w:val="0040101A"/>
    <w:rsid w:val="00675C6E"/>
    <w:rsid w:val="008A5218"/>
    <w:rsid w:val="00A645C0"/>
    <w:rsid w:val="00BF6252"/>
    <w:rsid w:val="00E17F39"/>
    <w:rsid w:val="00E33A06"/>
    <w:rsid w:val="00E51E53"/>
    <w:rsid w:val="00E72BF1"/>
    <w:rsid w:val="00E92495"/>
    <w:rsid w:val="00F456A1"/>
    <w:rsid w:val="00F863C5"/>
    <w:rsid w:val="00FE1A63"/>
    <w:rsid w:val="00FF5E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4F66C25-63EB-4F98-973C-2461B3D4B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F6252"/>
    <w:rPr>
      <w:rFonts w:ascii="Times New Roman" w:eastAsia="Calibri" w:hAnsi="Times New Roman" w:cs="Times New Roman"/>
      <w:kern w:val="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F6252"/>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lang w:eastAsia="zh-CN"/>
    </w:rPr>
  </w:style>
  <w:style w:type="character" w:customStyle="1" w:styleId="a4">
    <w:name w:val="页眉 字符"/>
    <w:basedOn w:val="a0"/>
    <w:link w:val="a3"/>
    <w:uiPriority w:val="99"/>
    <w:rsid w:val="00BF6252"/>
    <w:rPr>
      <w:sz w:val="18"/>
      <w:szCs w:val="18"/>
    </w:rPr>
  </w:style>
  <w:style w:type="paragraph" w:styleId="a5">
    <w:name w:val="footer"/>
    <w:basedOn w:val="a"/>
    <w:link w:val="a6"/>
    <w:uiPriority w:val="99"/>
    <w:unhideWhenUsed/>
    <w:rsid w:val="00BF6252"/>
    <w:pPr>
      <w:widowControl w:val="0"/>
      <w:tabs>
        <w:tab w:val="center" w:pos="4153"/>
        <w:tab w:val="right" w:pos="8306"/>
      </w:tabs>
      <w:snapToGrid w:val="0"/>
    </w:pPr>
    <w:rPr>
      <w:rFonts w:asciiTheme="minorHAnsi" w:eastAsiaTheme="minorEastAsia" w:hAnsiTheme="minorHAnsi" w:cstheme="minorBidi"/>
      <w:kern w:val="2"/>
      <w:sz w:val="18"/>
      <w:szCs w:val="18"/>
      <w:lang w:eastAsia="zh-CN"/>
    </w:rPr>
  </w:style>
  <w:style w:type="character" w:customStyle="1" w:styleId="a6">
    <w:name w:val="页脚 字符"/>
    <w:basedOn w:val="a0"/>
    <w:link w:val="a5"/>
    <w:uiPriority w:val="99"/>
    <w:rsid w:val="00BF6252"/>
    <w:rPr>
      <w:sz w:val="18"/>
      <w:szCs w:val="18"/>
    </w:rPr>
  </w:style>
  <w:style w:type="paragraph" w:customStyle="1" w:styleId="Heading-Main">
    <w:name w:val="Heading-Main"/>
    <w:basedOn w:val="a"/>
    <w:rsid w:val="00BF6252"/>
    <w:pPr>
      <w:keepNext/>
      <w:spacing w:before="240" w:after="120"/>
      <w:outlineLvl w:val="0"/>
    </w:pPr>
    <w:rPr>
      <w:rFonts w:eastAsia="Times New Roman"/>
      <w:b/>
      <w:bCs/>
      <w:kern w:val="28"/>
      <w:sz w:val="24"/>
      <w:szCs w:val="24"/>
    </w:rPr>
  </w:style>
  <w:style w:type="table" w:styleId="a7">
    <w:name w:val="Table Grid"/>
    <w:basedOn w:val="a1"/>
    <w:uiPriority w:val="39"/>
    <w:rsid w:val="00BF62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tiff"/><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168</Words>
  <Characters>961</Characters>
  <Application>Microsoft Office Word</Application>
  <DocSecurity>0</DocSecurity>
  <Lines>8</Lines>
  <Paragraphs>2</Paragraphs>
  <ScaleCrop>false</ScaleCrop>
  <Company/>
  <LinksUpToDate>false</LinksUpToDate>
  <CharactersWithSpaces>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2023-11-01T11:01:00Z</dcterms:created>
  <dcterms:modified xsi:type="dcterms:W3CDTF">2023-11-01T11:01:00Z</dcterms:modified>
</cp:coreProperties>
</file>