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Ind w:w="108" w:type="dxa"/>
        <w:tblLook w:val="04A0" w:firstRow="1" w:lastRow="0" w:firstColumn="1" w:lastColumn="0" w:noHBand="0" w:noVBand="1"/>
      </w:tblPr>
      <w:tblGrid>
        <w:gridCol w:w="1182"/>
        <w:gridCol w:w="1869"/>
        <w:gridCol w:w="1069"/>
        <w:gridCol w:w="892"/>
        <w:gridCol w:w="1158"/>
        <w:gridCol w:w="981"/>
        <w:gridCol w:w="981"/>
        <w:gridCol w:w="1336"/>
      </w:tblGrid>
      <w:tr w:rsidR="00CC17FB" w:rsidRPr="003245F8" w:rsidTr="001B39EF">
        <w:trPr>
          <w:trHeight w:val="300"/>
        </w:trPr>
        <w:tc>
          <w:tcPr>
            <w:tcW w:w="9468" w:type="dxa"/>
            <w:gridSpan w:val="8"/>
            <w:tcBorders>
              <w:left w:val="nil"/>
              <w:bottom w:val="single" w:sz="4" w:space="0" w:color="auto"/>
              <w:right w:val="nil"/>
            </w:tcBorders>
            <w:shd w:val="clear" w:color="auto" w:fill="auto"/>
            <w:noWrap/>
            <w:vAlign w:val="bottom"/>
          </w:tcPr>
          <w:p w:rsidR="00CC17FB" w:rsidRDefault="00CC17FB" w:rsidP="00CC17FB">
            <w:pPr>
              <w:spacing w:line="480" w:lineRule="auto"/>
              <w:jc w:val="center"/>
              <w:rPr>
                <w:b/>
                <w:szCs w:val="24"/>
              </w:rPr>
            </w:pPr>
            <w:r>
              <w:br w:type="page"/>
            </w:r>
            <w:bookmarkStart w:id="0" w:name="_GoBack"/>
            <w:bookmarkEnd w:id="0"/>
            <w:r>
              <w:rPr>
                <w:b/>
                <w:szCs w:val="24"/>
              </w:rPr>
              <w:t xml:space="preserve">Supporting Information </w:t>
            </w:r>
          </w:p>
          <w:p w:rsidR="00CC17FB" w:rsidRPr="00C421B5" w:rsidRDefault="00CC17FB" w:rsidP="00CC17FB">
            <w:pPr>
              <w:pStyle w:val="NoSpacing"/>
              <w:spacing w:line="480" w:lineRule="auto"/>
            </w:pPr>
            <w:r>
              <w:t xml:space="preserve">Gary L. </w:t>
            </w:r>
            <w:r w:rsidRPr="00C421B5">
              <w:t>Diamond</w:t>
            </w:r>
            <w:r w:rsidRPr="00C421B5">
              <w:rPr>
                <w:vertAlign w:val="superscript"/>
              </w:rPr>
              <w:t>1</w:t>
            </w:r>
            <w:r w:rsidRPr="00C421B5">
              <w:t>, Karen D. Bradham</w:t>
            </w:r>
            <w:r w:rsidRPr="00C421B5">
              <w:rPr>
                <w:vertAlign w:val="superscript"/>
              </w:rPr>
              <w:t>2</w:t>
            </w:r>
            <w:r w:rsidRPr="00C421B5">
              <w:t>, William J. Brattin</w:t>
            </w:r>
            <w:r w:rsidRPr="00C421B5">
              <w:rPr>
                <w:vertAlign w:val="superscript"/>
              </w:rPr>
              <w:t>1</w:t>
            </w:r>
            <w:r w:rsidRPr="00C421B5">
              <w:t>, Michele Burgess</w:t>
            </w:r>
            <w:r w:rsidRPr="00C421B5">
              <w:rPr>
                <w:vertAlign w:val="superscript"/>
              </w:rPr>
              <w:t>3</w:t>
            </w:r>
            <w:r w:rsidRPr="00C421B5">
              <w:t>, Susan Griffin</w:t>
            </w:r>
            <w:r>
              <w:rPr>
                <w:vertAlign w:val="superscript"/>
              </w:rPr>
              <w:t>4</w:t>
            </w:r>
            <w:r w:rsidRPr="00C421B5">
              <w:t>, Cheryl A. Hawkins</w:t>
            </w:r>
            <w:r w:rsidRPr="00C421B5">
              <w:rPr>
                <w:vertAlign w:val="superscript"/>
              </w:rPr>
              <w:t>3</w:t>
            </w:r>
            <w:r>
              <w:t xml:space="preserve">, </w:t>
            </w:r>
            <w:r w:rsidRPr="00C421B5">
              <w:t>Albert L. Juhasz</w:t>
            </w:r>
            <w:r>
              <w:rPr>
                <w:vertAlign w:val="superscript"/>
              </w:rPr>
              <w:t>5</w:t>
            </w:r>
            <w:r w:rsidRPr="00C421B5">
              <w:t>, Julie M. Klotzbach</w:t>
            </w:r>
            <w:r w:rsidRPr="00C421B5">
              <w:rPr>
                <w:vertAlign w:val="superscript"/>
              </w:rPr>
              <w:t>1</w:t>
            </w:r>
            <w:r w:rsidRPr="00C421B5">
              <w:t>, Clay Nelson</w:t>
            </w:r>
            <w:r w:rsidRPr="00C421B5">
              <w:rPr>
                <w:vertAlign w:val="superscript"/>
              </w:rPr>
              <w:t>2</w:t>
            </w:r>
            <w:r w:rsidRPr="00C421B5">
              <w:t>, Yvette W. Lowney</w:t>
            </w:r>
            <w:r>
              <w:rPr>
                <w:vertAlign w:val="superscript"/>
              </w:rPr>
              <w:t>6</w:t>
            </w:r>
            <w:r w:rsidRPr="00C421B5">
              <w:t>, Kirk Scheckel</w:t>
            </w:r>
            <w:r>
              <w:rPr>
                <w:vertAlign w:val="superscript"/>
              </w:rPr>
              <w:t>7</w:t>
            </w:r>
            <w:r w:rsidRPr="00C421B5">
              <w:t>, David J. Thomas</w:t>
            </w:r>
            <w:r>
              <w:rPr>
                <w:vertAlign w:val="superscript"/>
              </w:rPr>
              <w:t>8</w:t>
            </w:r>
          </w:p>
          <w:p w:rsidR="00CC17FB" w:rsidRPr="00C421B5" w:rsidRDefault="00CC17FB" w:rsidP="00CC17FB">
            <w:pPr>
              <w:pStyle w:val="NoSpacing"/>
              <w:spacing w:line="480" w:lineRule="auto"/>
            </w:pPr>
          </w:p>
          <w:p w:rsidR="00CC17FB" w:rsidRDefault="00CC17FB" w:rsidP="00CC17FB">
            <w:pPr>
              <w:pStyle w:val="NoSpacing"/>
              <w:spacing w:line="480" w:lineRule="auto"/>
            </w:pPr>
            <w:r w:rsidRPr="00C421B5">
              <w:rPr>
                <w:vertAlign w:val="superscript"/>
              </w:rPr>
              <w:t>1</w:t>
            </w:r>
            <w:r w:rsidRPr="00C421B5">
              <w:t xml:space="preserve">SRC, Inc., North </w:t>
            </w:r>
            <w:r>
              <w:t>Syracuse, New York, USA</w:t>
            </w:r>
          </w:p>
          <w:p w:rsidR="00CC17FB" w:rsidRDefault="00CC17FB" w:rsidP="00CC17FB">
            <w:pPr>
              <w:pStyle w:val="NoSpacing"/>
              <w:spacing w:line="480" w:lineRule="auto"/>
            </w:pPr>
          </w:p>
          <w:p w:rsidR="00CC17FB" w:rsidRDefault="00CC17FB" w:rsidP="00CC17FB">
            <w:pPr>
              <w:pStyle w:val="NoSpacing"/>
              <w:spacing w:line="480" w:lineRule="auto"/>
            </w:pPr>
            <w:r>
              <w:rPr>
                <w:vertAlign w:val="superscript"/>
              </w:rPr>
              <w:t>2</w:t>
            </w:r>
            <w:r w:rsidRPr="006927D7">
              <w:t>U.S. Environmental Protection Agency, Office of Res</w:t>
            </w:r>
            <w:r>
              <w:t xml:space="preserve">earch and Development, National Exposure </w:t>
            </w:r>
            <w:r w:rsidRPr="006927D7">
              <w:t>Research Laboratory, Research Triangle Park, North Carolina, USA</w:t>
            </w:r>
          </w:p>
          <w:p w:rsidR="00CC17FB" w:rsidRDefault="00CC17FB" w:rsidP="00CC17FB">
            <w:pPr>
              <w:pStyle w:val="NoSpacing"/>
              <w:spacing w:line="480" w:lineRule="auto"/>
              <w:rPr>
                <w:vertAlign w:val="superscript"/>
              </w:rPr>
            </w:pPr>
          </w:p>
          <w:p w:rsidR="00CC17FB" w:rsidRDefault="00CC17FB" w:rsidP="00CC17FB">
            <w:pPr>
              <w:pStyle w:val="NoSpacing"/>
              <w:spacing w:line="480" w:lineRule="auto"/>
            </w:pPr>
            <w:r>
              <w:rPr>
                <w:vertAlign w:val="superscript"/>
              </w:rPr>
              <w:t>3</w:t>
            </w:r>
            <w:r>
              <w:t xml:space="preserve">U.S. Environmental Protection Agency, Office of Superfund Remediation and Technology Innovation, </w:t>
            </w:r>
            <w:r w:rsidRPr="003F6522">
              <w:t>Science Policy Branch</w:t>
            </w:r>
            <w:r>
              <w:t>, Washington DC, USA</w:t>
            </w:r>
          </w:p>
          <w:p w:rsidR="00CC17FB" w:rsidRDefault="00CC17FB" w:rsidP="00CC17FB">
            <w:pPr>
              <w:pStyle w:val="NoSpacing"/>
              <w:spacing w:line="480" w:lineRule="auto"/>
              <w:rPr>
                <w:vertAlign w:val="superscript"/>
              </w:rPr>
            </w:pPr>
          </w:p>
          <w:p w:rsidR="00CC17FB" w:rsidRDefault="00CC17FB" w:rsidP="00CC17FB">
            <w:pPr>
              <w:pStyle w:val="NoSpacing"/>
              <w:spacing w:line="480" w:lineRule="auto"/>
            </w:pPr>
            <w:r>
              <w:rPr>
                <w:vertAlign w:val="superscript"/>
              </w:rPr>
              <w:t>4</w:t>
            </w:r>
            <w:r>
              <w:t>U.S. Environmental Protection Agency, Denver, Colorado, USA</w:t>
            </w:r>
          </w:p>
          <w:p w:rsidR="00CC17FB" w:rsidRDefault="00CC17FB" w:rsidP="00CC17FB">
            <w:pPr>
              <w:pStyle w:val="NoSpacing"/>
              <w:spacing w:line="480" w:lineRule="auto"/>
              <w:rPr>
                <w:vertAlign w:val="superscript"/>
              </w:rPr>
            </w:pPr>
          </w:p>
          <w:p w:rsidR="00CC17FB" w:rsidRPr="006D3557" w:rsidRDefault="00CC17FB" w:rsidP="00CC17FB">
            <w:pPr>
              <w:pStyle w:val="NoSpacing"/>
              <w:spacing w:line="480" w:lineRule="auto"/>
            </w:pPr>
            <w:r>
              <w:rPr>
                <w:vertAlign w:val="superscript"/>
              </w:rPr>
              <w:t>5</w:t>
            </w:r>
            <w:r>
              <w:t>Centre for Environmental Risk Assessment and Remediation, University of South Australia, Adelaide, South Australia, Australia</w:t>
            </w:r>
          </w:p>
          <w:p w:rsidR="00CC17FB" w:rsidRDefault="00CC17FB" w:rsidP="00CC17FB">
            <w:pPr>
              <w:pStyle w:val="NoSpacing"/>
              <w:spacing w:line="480" w:lineRule="auto"/>
              <w:rPr>
                <w:vertAlign w:val="superscript"/>
              </w:rPr>
            </w:pPr>
          </w:p>
          <w:p w:rsidR="00CC17FB" w:rsidRPr="00C421B5" w:rsidRDefault="00CC17FB" w:rsidP="00CC17FB">
            <w:pPr>
              <w:pStyle w:val="NoSpacing"/>
              <w:spacing w:line="480" w:lineRule="auto"/>
            </w:pPr>
            <w:r>
              <w:rPr>
                <w:vertAlign w:val="superscript"/>
              </w:rPr>
              <w:t>6</w:t>
            </w:r>
            <w:r w:rsidRPr="00C421B5">
              <w:t>Exponent, Inc., Boulder, Colorado, USA</w:t>
            </w:r>
          </w:p>
          <w:p w:rsidR="00CC17FB" w:rsidRPr="00C421B5" w:rsidRDefault="00CC17FB" w:rsidP="00CC17FB">
            <w:pPr>
              <w:pStyle w:val="NoSpacing"/>
              <w:spacing w:line="480" w:lineRule="auto"/>
            </w:pPr>
          </w:p>
          <w:p w:rsidR="00CC17FB" w:rsidRPr="00C421B5" w:rsidRDefault="00CC17FB" w:rsidP="00CC17FB">
            <w:pPr>
              <w:pStyle w:val="NoSpacing"/>
              <w:spacing w:line="480" w:lineRule="auto"/>
            </w:pPr>
            <w:r>
              <w:rPr>
                <w:vertAlign w:val="superscript"/>
              </w:rPr>
              <w:t>7</w:t>
            </w:r>
            <w:r w:rsidRPr="00C421B5">
              <w:t>U.S. Environmental Protection Agency, Office of Research and Development, National Risk Management Research Laboratory, Cincinnati, Ohio, USA</w:t>
            </w:r>
          </w:p>
          <w:p w:rsidR="00CC17FB" w:rsidRPr="00C421B5" w:rsidRDefault="00CC17FB" w:rsidP="00CC17FB">
            <w:pPr>
              <w:pStyle w:val="NoSpacing"/>
              <w:spacing w:line="480" w:lineRule="auto"/>
            </w:pPr>
          </w:p>
          <w:p w:rsidR="00CC17FB" w:rsidRPr="00023A36" w:rsidRDefault="00CC17FB" w:rsidP="00CC17FB">
            <w:pPr>
              <w:pStyle w:val="NoSpacing"/>
              <w:spacing w:line="480" w:lineRule="auto"/>
            </w:pPr>
            <w:r>
              <w:rPr>
                <w:vertAlign w:val="superscript"/>
              </w:rPr>
              <w:lastRenderedPageBreak/>
              <w:t>8</w:t>
            </w:r>
            <w:r w:rsidRPr="00C421B5">
              <w:t xml:space="preserve">U.S. Environmental Protection </w:t>
            </w:r>
            <w:r w:rsidRPr="006927D7">
              <w:t>Agency, Office of Res</w:t>
            </w:r>
            <w:r>
              <w:t xml:space="preserve">earch and Development, National Health and Environmental Effects Research Laboratory, </w:t>
            </w:r>
            <w:r w:rsidRPr="006927D7">
              <w:t>Research Triangle Park, North Carolina, USA</w:t>
            </w:r>
          </w:p>
          <w:p w:rsidR="00CC17FB" w:rsidRDefault="00CC17FB" w:rsidP="00CC17FB">
            <w:pPr>
              <w:spacing w:line="480" w:lineRule="auto"/>
              <w:rPr>
                <w:b/>
                <w:szCs w:val="24"/>
              </w:rPr>
            </w:pPr>
          </w:p>
          <w:p w:rsidR="00CC17FB" w:rsidRDefault="00CC17FB" w:rsidP="00CC17FB">
            <w:pPr>
              <w:pStyle w:val="NoSpacing"/>
              <w:spacing w:line="480" w:lineRule="auto"/>
            </w:pPr>
          </w:p>
          <w:p w:rsidR="00CC17FB" w:rsidRDefault="00CC17FB" w:rsidP="00CC17FB">
            <w:pPr>
              <w:pStyle w:val="NoSpacing"/>
              <w:spacing w:line="480" w:lineRule="auto"/>
            </w:pPr>
            <w:r>
              <w:t>Brief descriptions of</w:t>
            </w:r>
            <w:r w:rsidRPr="00403F92">
              <w:rPr>
                <w:i/>
              </w:rPr>
              <w:t xml:space="preserve"> in vivo</w:t>
            </w:r>
            <w:r>
              <w:t xml:space="preserve"> RBA assay methods, IVBA and RBA estimates and soil arsenic concentrations for all soil samples considered in this analysis (Table S-1), regression models for data from each laboratory (Figures S-1–S-3).  This material is available free of charge via Internet at http://pubs.acs.org.</w:t>
            </w:r>
          </w:p>
          <w:p w:rsidR="00CC17FB" w:rsidRDefault="00CC17FB" w:rsidP="00CC17FB">
            <w:pPr>
              <w:pStyle w:val="NoSpacing"/>
              <w:spacing w:line="480" w:lineRule="auto"/>
            </w:pPr>
            <w:r>
              <w:br w:type="page"/>
            </w:r>
          </w:p>
          <w:p w:rsidR="00CC17FB" w:rsidRDefault="00CC17FB" w:rsidP="00CC17FB">
            <w:pPr>
              <w:spacing w:line="480" w:lineRule="auto"/>
            </w:pPr>
            <w:r w:rsidRPr="003C21F4">
              <w:rPr>
                <w:i/>
              </w:rPr>
              <w:t>In vivo RBA Assay Methods</w:t>
            </w:r>
            <w:r>
              <w:t xml:space="preserve">.  </w:t>
            </w:r>
            <w:r w:rsidRPr="003D75A4">
              <w:rPr>
                <w:i/>
              </w:rPr>
              <w:t>In vivo</w:t>
            </w:r>
            <w:r>
              <w:t xml:space="preserve"> RBA assays in mice were performed as reported in Bradham et al. (2011, referred to in this report as the </w:t>
            </w:r>
            <w:r w:rsidRPr="004C5EBE">
              <w:rPr>
                <w:i/>
              </w:rPr>
              <w:t>mouse UEF assay</w:t>
            </w:r>
            <w:r>
              <w:t xml:space="preserve">).  In brief, female C57BL/6 mice, 4 to 6 weeks </w:t>
            </w:r>
            <w:r w:rsidRPr="008E64E7">
              <w:rPr>
                <w:szCs w:val="24"/>
              </w:rPr>
              <w:t>of age, were housed in metabolic cages (</w:t>
            </w:r>
            <w:r>
              <w:rPr>
                <w:szCs w:val="24"/>
              </w:rPr>
              <w:t>three</w:t>
            </w:r>
            <w:r w:rsidRPr="008E64E7">
              <w:rPr>
                <w:szCs w:val="24"/>
              </w:rPr>
              <w:t xml:space="preserve"> mice per cage) allowing collection of urine and feces.  </w:t>
            </w:r>
            <w:r w:rsidRPr="008E64E7">
              <w:rPr>
                <w:rFonts w:cs="Adobe Garamond Pro"/>
                <w:color w:val="211D1E"/>
                <w:szCs w:val="24"/>
              </w:rPr>
              <w:t xml:space="preserve">The Institutional Animal Care and Use Committee of the U.S. EPA National Health and Environmental Effects Research Laboratory approved the protocol for mouse use, which assured humane treatment and alleviation of suffering. </w:t>
            </w:r>
            <w:r w:rsidRPr="008E64E7">
              <w:rPr>
                <w:szCs w:val="24"/>
              </w:rPr>
              <w:t>Mice were maintained on a low</w:t>
            </w:r>
            <w:r>
              <w:rPr>
                <w:szCs w:val="24"/>
              </w:rPr>
              <w:t>-</w:t>
            </w:r>
            <w:r w:rsidRPr="008E64E7">
              <w:rPr>
                <w:szCs w:val="24"/>
              </w:rPr>
              <w:t xml:space="preserve">arsenic basal diet (AIN-93G) </w:t>
            </w:r>
            <w:r>
              <w:rPr>
                <w:szCs w:val="24"/>
              </w:rPr>
              <w:t xml:space="preserve">that had </w:t>
            </w:r>
            <w:r w:rsidRPr="008E64E7">
              <w:rPr>
                <w:szCs w:val="24"/>
              </w:rPr>
              <w:t>an arsenic concentration of &lt;1 ppm, which</w:t>
            </w:r>
            <w:r>
              <w:t xml:space="preserve"> contributed negligible levels of arsenic in urine.  Groups of 12 mice were fed a diet amended with either sodium arsenate or the test soil, for a period of ten days, during which urine and feces were collected daily and food consumption was measured daily.  Each group of mice was fed a single arsenic dose level.  RBA of arsenic in soil was calculated as the ratio of urinary excretion fractions (UEF) in animals that ingested arsenic in soil or sodium arsenate, where UEF was the ratio of the cumulative urinary arsenic excretion (µg per 10 days) and the cumulative dietary arsenic intake (µg per 10 days, Equations S1 and S2).</w:t>
            </w:r>
          </w:p>
          <w:p w:rsidR="00CC17FB" w:rsidRPr="001E6BD9" w:rsidRDefault="00CC17FB" w:rsidP="00CC17FB">
            <w:pPr>
              <w:pStyle w:val="NoSpacing"/>
              <w:spacing w:line="480" w:lineRule="auto"/>
            </w:pPr>
          </w:p>
          <w:p w:rsidR="00CC17FB" w:rsidRPr="001E6BD9" w:rsidRDefault="00CC17FB" w:rsidP="00CC17FB">
            <w:pPr>
              <w:spacing w:line="480" w:lineRule="auto"/>
              <w:jc w:val="right"/>
            </w:pPr>
            <m:oMath>
              <m:r>
                <w:rPr>
                  <w:rFonts w:ascii="Cambria Math" w:hAnsi="Cambria Math"/>
                </w:rPr>
                <m:t>UEF=</m:t>
              </m:r>
              <m:f>
                <m:fPr>
                  <m:ctrlPr>
                    <w:rPr>
                      <w:rFonts w:ascii="Cambria Math" w:hAnsi="Cambria Math"/>
                      <w:i/>
                    </w:rPr>
                  </m:ctrlPr>
                </m:fPr>
                <m:num>
                  <m:r>
                    <w:rPr>
                      <w:rFonts w:ascii="Cambria Math" w:hAnsi="Cambria Math"/>
                    </w:rPr>
                    <m:t>Cum Urinary As</m:t>
                  </m:r>
                </m:num>
                <m:den>
                  <m:r>
                    <w:rPr>
                      <w:rFonts w:ascii="Cambria Math" w:hAnsi="Cambria Math"/>
                    </w:rPr>
                    <m:t>Cum As Dose</m:t>
                  </m:r>
                </m:den>
              </m:f>
            </m:oMath>
            <w:r>
              <w:t xml:space="preserve">                                                   Eq. (S1) </w:t>
            </w:r>
          </w:p>
          <w:p w:rsidR="00CC17FB" w:rsidRPr="00694B5D" w:rsidRDefault="00CC17FB" w:rsidP="00CC17FB">
            <w:pPr>
              <w:pStyle w:val="NoSpacing"/>
              <w:spacing w:line="480" w:lineRule="auto"/>
              <w:jc w:val="right"/>
            </w:pPr>
          </w:p>
          <w:p w:rsidR="00CC17FB" w:rsidRDefault="00CC17FB" w:rsidP="00CC17FB">
            <w:pPr>
              <w:spacing w:line="480" w:lineRule="auto"/>
              <w:jc w:val="right"/>
            </w:pPr>
            <m:oMath>
              <m:r>
                <w:rPr>
                  <w:rFonts w:ascii="Cambria Math" w:hAnsi="Cambria Math"/>
                </w:rPr>
                <m:t>RBA=100 ∙</m:t>
              </m:r>
              <m:f>
                <m:fPr>
                  <m:ctrlPr>
                    <w:rPr>
                      <w:rFonts w:ascii="Cambria Math" w:hAnsi="Cambria Math"/>
                      <w:i/>
                    </w:rPr>
                  </m:ctrlPr>
                </m:fPr>
                <m:num>
                  <m:sSub>
                    <m:sSubPr>
                      <m:ctrlPr>
                        <w:rPr>
                          <w:rFonts w:ascii="Cambria Math" w:hAnsi="Cambria Math"/>
                          <w:i/>
                        </w:rPr>
                      </m:ctrlPr>
                    </m:sSubPr>
                    <m:e>
                      <m:r>
                        <w:rPr>
                          <w:rFonts w:ascii="Cambria Math" w:hAnsi="Cambria Math"/>
                        </w:rPr>
                        <m:t>UEF</m:t>
                      </m:r>
                    </m:e>
                    <m:sub>
                      <m:r>
                        <w:rPr>
                          <w:rFonts w:ascii="Cambria Math" w:hAnsi="Cambria Math"/>
                        </w:rPr>
                        <m:t>Soil</m:t>
                      </m:r>
                    </m:sub>
                  </m:sSub>
                </m:num>
                <m:den>
                  <m:sSub>
                    <m:sSubPr>
                      <m:ctrlPr>
                        <w:rPr>
                          <w:rFonts w:ascii="Cambria Math" w:hAnsi="Cambria Math"/>
                          <w:i/>
                        </w:rPr>
                      </m:ctrlPr>
                    </m:sSubPr>
                    <m:e>
                      <m:r>
                        <w:rPr>
                          <w:rFonts w:ascii="Cambria Math" w:hAnsi="Cambria Math"/>
                        </w:rPr>
                        <m:t>UEF</m:t>
                      </m:r>
                    </m:e>
                    <m:sub>
                      <m:r>
                        <w:rPr>
                          <w:rFonts w:ascii="Cambria Math" w:hAnsi="Cambria Math"/>
                        </w:rPr>
                        <m:t>NaAs</m:t>
                      </m:r>
                      <m:sSub>
                        <m:sSubPr>
                          <m:ctrlPr>
                            <w:rPr>
                              <w:rFonts w:ascii="Cambria Math" w:hAnsi="Cambria Math"/>
                              <w:i/>
                            </w:rPr>
                          </m:ctrlPr>
                        </m:sSubPr>
                        <m:e>
                          <m:r>
                            <w:rPr>
                              <w:rFonts w:ascii="Cambria Math" w:hAnsi="Cambria Math"/>
                            </w:rPr>
                            <m:t>O</m:t>
                          </m:r>
                        </m:e>
                        <m:sub>
                          <m:r>
                            <w:rPr>
                              <w:rFonts w:ascii="Cambria Math" w:hAnsi="Cambria Math"/>
                            </w:rPr>
                            <m:t>4</m:t>
                          </m:r>
                        </m:sub>
                      </m:sSub>
                    </m:sub>
                  </m:sSub>
                </m:den>
              </m:f>
            </m:oMath>
            <w:r>
              <w:t xml:space="preserve">                                                    Eq. (S2)</w:t>
            </w:r>
          </w:p>
          <w:p w:rsidR="00CC17FB" w:rsidRDefault="00CC17FB" w:rsidP="00CC17FB">
            <w:pPr>
              <w:spacing w:line="480" w:lineRule="auto"/>
            </w:pPr>
          </w:p>
          <w:p w:rsidR="00CC17FB" w:rsidRPr="001E6BD9" w:rsidRDefault="00CC17FB" w:rsidP="00CC17FB">
            <w:pPr>
              <w:spacing w:line="480" w:lineRule="auto"/>
            </w:pPr>
            <w:r w:rsidRPr="003D75A4">
              <w:rPr>
                <w:i/>
              </w:rPr>
              <w:t xml:space="preserve">In vivo </w:t>
            </w:r>
            <w:r>
              <w:t xml:space="preserve">RBA assays reported in Brattin et al. (2013) were performed as described in Brattin and Casteel (2013, referred to in this report as the </w:t>
            </w:r>
            <w:r w:rsidRPr="00736AD0">
              <w:rPr>
                <w:i/>
              </w:rPr>
              <w:t>swine UEF assay</w:t>
            </w:r>
            <w:r>
              <w:t xml:space="preserve">).  In brief, male juvenile </w:t>
            </w:r>
            <w:r w:rsidRPr="00C0695B">
              <w:t xml:space="preserve">swine were housed in individual stainless steel cages that enabled collection of urine.  Swine had free access to water and were fed a diet having an arsenic concentration of &lt;1 ppm.  </w:t>
            </w:r>
            <w:r>
              <w:t>Groups of swine (5–7 weeks of age, 7–12 kg) received repeated daily doses of arsenic in soil or sodium arsenate for a period of 14 days.  The doses were delivered in a dough ball (approximately 5 g of moist feed), twice daily, 2 hours before each feeding.  Three dose levels of arsenic as sodium arsenate and 2 or 3 dose levels of soil arsenic were administered (4–5 animals per dose group), with doses selected to achieve similar ranges for soil arsenic and sodium arsenate.  Periodic 48</w:t>
            </w:r>
            <w:r>
              <w:noBreakHyphen/>
              <w:t>hour urine collections were made during the dosing period.  RBA of arsenic in soil was calculated as the ratio of UEF in animals that ingested arsenic in soil or sodium arsenate (Equation S2).  UEF was estimated by regression analysis using simultaneous weighted regression of arsenic mass excreted vs arsenic mass administered.  This automatically incorporates all the data and adjusts for a non-zero value in control animals.</w:t>
            </w:r>
          </w:p>
          <w:p w:rsidR="00CC17FB" w:rsidRDefault="00CC17FB" w:rsidP="00CC17FB">
            <w:pPr>
              <w:spacing w:line="480" w:lineRule="auto"/>
            </w:pPr>
          </w:p>
          <w:p w:rsidR="00CC17FB" w:rsidRDefault="00CC17FB" w:rsidP="00CC17FB">
            <w:pPr>
              <w:spacing w:line="480" w:lineRule="auto"/>
            </w:pPr>
            <w:r w:rsidRPr="003D75A4">
              <w:rPr>
                <w:i/>
              </w:rPr>
              <w:t>In vivo</w:t>
            </w:r>
            <w:r>
              <w:t xml:space="preserve"> RBA assays reported in Juhasz et al. (2009, 2014a) were performed as described in Rees et al. (2009, referred to in this report as the </w:t>
            </w:r>
            <w:r w:rsidRPr="00736AD0">
              <w:rPr>
                <w:i/>
              </w:rPr>
              <w:t>swine AUC assay</w:t>
            </w:r>
            <w:r>
              <w:t>).  In brief, juvenile female</w:t>
            </w:r>
            <w:r w:rsidRPr="00C0695B">
              <w:t xml:space="preserve"> swine </w:t>
            </w:r>
            <w:r w:rsidRPr="00C0695B">
              <w:lastRenderedPageBreak/>
              <w:t xml:space="preserve">were </w:t>
            </w:r>
            <w:r>
              <w:t>surgically prepared with indwelling jugular vein catheters.  Each of three pigs were administered a single oral gavage dose of sodium arsenate solution or an aqueous suspension of soil at different times (i.e., each pig served as its own reference).  Blood samples were collected over a 26-hour period following dosing.  RBA of arsenic in soil was calculated as the ratio of dose (µg)-adjusted area under the curve (AUC) of the arsenic concentration in plasma (µg hr/L) in animals that ingested arsenic in soil or sodium arsenate (Equation S3):</w:t>
            </w:r>
          </w:p>
          <w:p w:rsidR="00CC17FB" w:rsidRDefault="00CC17FB" w:rsidP="00CC17FB">
            <w:pPr>
              <w:spacing w:line="480" w:lineRule="auto"/>
              <w:jc w:val="right"/>
            </w:pPr>
          </w:p>
          <w:p w:rsidR="00CC17FB" w:rsidRPr="001E6BD9" w:rsidRDefault="00CC17FB" w:rsidP="00CC17FB">
            <w:pPr>
              <w:pStyle w:val="NoSpacing"/>
              <w:spacing w:line="480" w:lineRule="auto"/>
              <w:jc w:val="right"/>
            </w:pPr>
            <m:oMath>
              <m:r>
                <w:rPr>
                  <w:rFonts w:ascii="Cambria Math" w:hAnsi="Cambria Math"/>
                </w:rPr>
                <m:t>RBA (%)=100∙</m:t>
              </m:r>
              <m:f>
                <m:fPr>
                  <m:ctrlPr>
                    <w:rPr>
                      <w:rFonts w:ascii="Cambria Math" w:hAnsi="Cambria Math"/>
                      <w:i/>
                    </w:rPr>
                  </m:ctrlPr>
                </m:fPr>
                <m:num>
                  <m:sSub>
                    <m:sSubPr>
                      <m:ctrlPr>
                        <w:rPr>
                          <w:rFonts w:ascii="Cambria Math" w:hAnsi="Cambria Math"/>
                          <w:i/>
                        </w:rPr>
                      </m:ctrlPr>
                    </m:sSubPr>
                    <m:e>
                      <m:r>
                        <w:rPr>
                          <w:rFonts w:ascii="Cambria Math" w:hAnsi="Cambria Math"/>
                        </w:rPr>
                        <m:t>AUC</m:t>
                      </m:r>
                    </m:e>
                    <m:sub>
                      <m:r>
                        <w:rPr>
                          <w:rFonts w:ascii="Cambria Math" w:hAnsi="Cambria Math"/>
                        </w:rPr>
                        <m:t>Soil</m:t>
                      </m:r>
                    </m:sub>
                  </m:sSub>
                </m:num>
                <m:den>
                  <m:sSub>
                    <m:sSubPr>
                      <m:ctrlPr>
                        <w:rPr>
                          <w:rFonts w:ascii="Cambria Math" w:hAnsi="Cambria Math"/>
                          <w:i/>
                        </w:rPr>
                      </m:ctrlPr>
                    </m:sSubPr>
                    <m:e>
                      <m:r>
                        <w:rPr>
                          <w:rFonts w:ascii="Cambria Math" w:hAnsi="Cambria Math"/>
                        </w:rPr>
                        <m:t>AUC</m:t>
                      </m:r>
                    </m:e>
                    <m:sub>
                      <m:r>
                        <w:rPr>
                          <w:rFonts w:ascii="Cambria Math" w:hAnsi="Cambria Math"/>
                        </w:rPr>
                        <m:t>NaAs</m:t>
                      </m:r>
                      <m:sSub>
                        <m:sSubPr>
                          <m:ctrlPr>
                            <w:rPr>
                              <w:rFonts w:ascii="Cambria Math" w:hAnsi="Cambria Math"/>
                              <w:i/>
                            </w:rPr>
                          </m:ctrlPr>
                        </m:sSubPr>
                        <m:e>
                          <m:r>
                            <w:rPr>
                              <w:rFonts w:ascii="Cambria Math" w:hAnsi="Cambria Math"/>
                            </w:rPr>
                            <m:t>O</m:t>
                          </m:r>
                        </m:e>
                        <m:sub>
                          <m:r>
                            <w:rPr>
                              <w:rFonts w:ascii="Cambria Math" w:hAnsi="Cambria Math"/>
                            </w:rPr>
                            <m:t>4</m:t>
                          </m:r>
                        </m:sub>
                      </m:sSub>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Dose</m:t>
                      </m:r>
                    </m:e>
                    <m:sub>
                      <m:r>
                        <w:rPr>
                          <w:rFonts w:ascii="Cambria Math" w:hAnsi="Cambria Math"/>
                        </w:rPr>
                        <m:t>NaAs</m:t>
                      </m:r>
                      <m:sSub>
                        <m:sSubPr>
                          <m:ctrlPr>
                            <w:rPr>
                              <w:rFonts w:ascii="Cambria Math" w:hAnsi="Cambria Math"/>
                              <w:i/>
                            </w:rPr>
                          </m:ctrlPr>
                        </m:sSubPr>
                        <m:e>
                          <m:r>
                            <w:rPr>
                              <w:rFonts w:ascii="Cambria Math" w:hAnsi="Cambria Math"/>
                            </w:rPr>
                            <m:t>O</m:t>
                          </m:r>
                        </m:e>
                        <m:sub>
                          <m:r>
                            <w:rPr>
                              <w:rFonts w:ascii="Cambria Math" w:hAnsi="Cambria Math"/>
                            </w:rPr>
                            <m:t>4</m:t>
                          </m:r>
                        </m:sub>
                      </m:sSub>
                    </m:sub>
                  </m:sSub>
                </m:num>
                <m:den>
                  <m:sSub>
                    <m:sSubPr>
                      <m:ctrlPr>
                        <w:rPr>
                          <w:rFonts w:ascii="Cambria Math" w:hAnsi="Cambria Math"/>
                          <w:i/>
                        </w:rPr>
                      </m:ctrlPr>
                    </m:sSubPr>
                    <m:e>
                      <m:r>
                        <w:rPr>
                          <w:rFonts w:ascii="Cambria Math" w:hAnsi="Cambria Math"/>
                        </w:rPr>
                        <m:t>Dose</m:t>
                      </m:r>
                    </m:e>
                    <m:sub>
                      <m:r>
                        <w:rPr>
                          <w:rFonts w:ascii="Cambria Math" w:hAnsi="Cambria Math"/>
                        </w:rPr>
                        <m:t>Soil</m:t>
                      </m:r>
                    </m:sub>
                  </m:sSub>
                </m:den>
              </m:f>
            </m:oMath>
            <w:r>
              <w:t xml:space="preserve">                                      Eq. (S3)</w:t>
            </w:r>
          </w:p>
          <w:p w:rsidR="00CC17FB" w:rsidRDefault="00CC17FB" w:rsidP="00CC17FB">
            <w:pPr>
              <w:spacing w:line="480" w:lineRule="auto"/>
            </w:pPr>
          </w:p>
          <w:p w:rsidR="00CC17FB" w:rsidRDefault="00CC17FB" w:rsidP="00CC17FB">
            <w:pPr>
              <w:spacing w:line="480" w:lineRule="auto"/>
            </w:pPr>
            <w:r>
              <w:t xml:space="preserve">(1) Bradham, K. D.; Scheckel, K. G.; Nelson, C. M.; Seales, P. E.; Lee, G. E.; Hughes, M. F.; Miller, B. W.; Yeow, A.; Gilmore, T.; Serda, S. M.; Harper, S.; Thomas, D. J. Relative bioavailability and bioaccessibility and speciation of arsenic in contaminated soils. </w:t>
            </w:r>
            <w:r w:rsidRPr="00CC454E">
              <w:rPr>
                <w:i/>
              </w:rPr>
              <w:t>Environ. Health Persp</w:t>
            </w:r>
            <w:r>
              <w:t xml:space="preserve">. </w:t>
            </w:r>
            <w:r w:rsidRPr="00CC454E">
              <w:rPr>
                <w:b/>
              </w:rPr>
              <w:t>2011</w:t>
            </w:r>
            <w:r>
              <w:t xml:space="preserve">, </w:t>
            </w:r>
            <w:r w:rsidRPr="00CC454E">
              <w:rPr>
                <w:i/>
              </w:rPr>
              <w:t>119</w:t>
            </w:r>
            <w:r>
              <w:t>, 1629–1634</w:t>
            </w:r>
          </w:p>
          <w:p w:rsidR="00CC17FB" w:rsidRDefault="00CC17FB" w:rsidP="00CC17FB">
            <w:pPr>
              <w:spacing w:line="480" w:lineRule="auto"/>
            </w:pPr>
          </w:p>
          <w:p w:rsidR="00CC17FB" w:rsidRDefault="00CC17FB" w:rsidP="00CC17FB">
            <w:pPr>
              <w:pStyle w:val="NoSpacing"/>
              <w:spacing w:line="480" w:lineRule="auto"/>
            </w:pPr>
            <w:r>
              <w:t xml:space="preserve">(3) Brattin, W.; Casteel, S. Measurement of arsenic relative bioavailability in swine. </w:t>
            </w:r>
            <w:r w:rsidRPr="00251BDA">
              <w:rPr>
                <w:i/>
              </w:rPr>
              <w:t>J. Toxicol. Environ. Health A</w:t>
            </w:r>
            <w:r w:rsidRPr="00251BDA">
              <w:t>.</w:t>
            </w:r>
            <w:r>
              <w:t xml:space="preserve"> </w:t>
            </w:r>
            <w:r w:rsidRPr="00251BDA">
              <w:rPr>
                <w:b/>
              </w:rPr>
              <w:t>2013</w:t>
            </w:r>
            <w:r w:rsidRPr="00251BDA">
              <w:t>,</w:t>
            </w:r>
            <w:r>
              <w:t xml:space="preserve"> </w:t>
            </w:r>
            <w:r w:rsidRPr="00251BDA">
              <w:rPr>
                <w:i/>
              </w:rPr>
              <w:t>76</w:t>
            </w:r>
            <w:r>
              <w:t xml:space="preserve"> , 449–457.</w:t>
            </w:r>
          </w:p>
          <w:p w:rsidR="00CC17FB" w:rsidRDefault="00CC17FB" w:rsidP="00CC17FB">
            <w:pPr>
              <w:pStyle w:val="NoSpacing"/>
              <w:spacing w:line="480" w:lineRule="auto"/>
            </w:pPr>
          </w:p>
          <w:p w:rsidR="00CC17FB" w:rsidRDefault="00CC17FB" w:rsidP="00CC17FB">
            <w:pPr>
              <w:pStyle w:val="NoSpacing"/>
              <w:spacing w:line="480" w:lineRule="auto"/>
            </w:pPr>
            <w:r>
              <w:t xml:space="preserve">(2) Brattin, W.; Drexler, J.; Lowney, Y.; Griffin, S.; Diamond, G.; Woodbury, L. An </w:t>
            </w:r>
            <w:r w:rsidRPr="008C43D9">
              <w:rPr>
                <w:i/>
              </w:rPr>
              <w:t>in vitro</w:t>
            </w:r>
            <w:r>
              <w:t xml:space="preserve"> method for estimation of arsenic relative bioavailability in Soil. </w:t>
            </w:r>
            <w:r w:rsidRPr="0073573B">
              <w:rPr>
                <w:i/>
              </w:rPr>
              <w:t>J. Toxicol. Environ. Health A</w:t>
            </w:r>
            <w:r>
              <w:t xml:space="preserve">. </w:t>
            </w:r>
            <w:r w:rsidRPr="0073573B">
              <w:rPr>
                <w:b/>
              </w:rPr>
              <w:t>2013</w:t>
            </w:r>
            <w:r>
              <w:t xml:space="preserve">, </w:t>
            </w:r>
            <w:r w:rsidRPr="0073573B">
              <w:rPr>
                <w:i/>
              </w:rPr>
              <w:t>76</w:t>
            </w:r>
            <w:r>
              <w:t xml:space="preserve"> : 458–478.</w:t>
            </w:r>
          </w:p>
          <w:p w:rsidR="00CC17FB" w:rsidRDefault="00CC17FB" w:rsidP="00CC17FB">
            <w:pPr>
              <w:pStyle w:val="NoSpacing"/>
              <w:spacing w:line="480" w:lineRule="auto"/>
            </w:pPr>
          </w:p>
          <w:p w:rsidR="00CC17FB" w:rsidRDefault="00CC17FB" w:rsidP="00CC17FB">
            <w:pPr>
              <w:pStyle w:val="NoSpacing"/>
              <w:spacing w:line="480" w:lineRule="auto"/>
            </w:pPr>
            <w:r>
              <w:t xml:space="preserve">(4) Juhasz, A. L.; Weber, J.; Smith, E.; Naidu, R.; Rees, M.; Rofe, A.; Kuchel, T.; Sansom, L. Assessment of four commonly employed </w:t>
            </w:r>
            <w:r w:rsidRPr="008C43D9">
              <w:rPr>
                <w:i/>
              </w:rPr>
              <w:t xml:space="preserve">in vitro </w:t>
            </w:r>
            <w:r>
              <w:t xml:space="preserve">arsenic bioaccessibility assays for predicting </w:t>
            </w:r>
            <w:r>
              <w:lastRenderedPageBreak/>
              <w:t xml:space="preserve">in vivo relative arsenic bioavailability in contaminated soils. </w:t>
            </w:r>
            <w:r w:rsidRPr="00122EFF">
              <w:rPr>
                <w:i/>
              </w:rPr>
              <w:t>Environ. Sci. Technol.</w:t>
            </w:r>
            <w:r>
              <w:t xml:space="preserve"> </w:t>
            </w:r>
            <w:r w:rsidRPr="00122EFF">
              <w:rPr>
                <w:b/>
              </w:rPr>
              <w:t>2009</w:t>
            </w:r>
            <w:r>
              <w:t xml:space="preserve">, </w:t>
            </w:r>
            <w:r w:rsidRPr="00122EFF">
              <w:rPr>
                <w:i/>
              </w:rPr>
              <w:t>43</w:t>
            </w:r>
            <w:r>
              <w:t>, 9487–9494.</w:t>
            </w:r>
          </w:p>
          <w:p w:rsidR="00CC17FB" w:rsidRDefault="00CC17FB" w:rsidP="00CC17FB">
            <w:pPr>
              <w:pStyle w:val="NoSpacing"/>
              <w:spacing w:line="480" w:lineRule="auto"/>
            </w:pPr>
          </w:p>
          <w:p w:rsidR="00CC17FB" w:rsidRDefault="00CC17FB" w:rsidP="00CC17FB">
            <w:pPr>
              <w:pStyle w:val="NoSpacing"/>
              <w:spacing w:line="480" w:lineRule="auto"/>
            </w:pPr>
            <w:r>
              <w:t xml:space="preserve">(5) </w:t>
            </w:r>
            <w:r w:rsidRPr="00442144">
              <w:t>Juhasz,</w:t>
            </w:r>
            <w:r>
              <w:t xml:space="preserve"> A. L.;</w:t>
            </w:r>
            <w:r w:rsidRPr="00442144">
              <w:t xml:space="preserve"> </w:t>
            </w:r>
            <w:r>
              <w:t xml:space="preserve">Herde, P.; Herde, C.; Boland, J.; </w:t>
            </w:r>
            <w:r w:rsidRPr="00442144">
              <w:t xml:space="preserve">Smith, </w:t>
            </w:r>
            <w:r>
              <w:t>E. Validation of the predictive capabilities of the Sbrc-G in vitro assay for estimating arsenic relative bioavailability in contaminated soils.</w:t>
            </w:r>
            <w:r w:rsidRPr="00442144">
              <w:t xml:space="preserve">  </w:t>
            </w:r>
            <w:r>
              <w:t xml:space="preserve">                                     </w:t>
            </w:r>
            <w:r w:rsidRPr="00D13682">
              <w:rPr>
                <w:i/>
              </w:rPr>
              <w:t>Environ. Sci. Technol</w:t>
            </w:r>
            <w:r>
              <w:t xml:space="preserve">. </w:t>
            </w:r>
            <w:r w:rsidRPr="00D13682">
              <w:rPr>
                <w:b/>
              </w:rPr>
              <w:t>2014a</w:t>
            </w:r>
            <w:r>
              <w:t xml:space="preserve">, </w:t>
            </w:r>
            <w:r w:rsidRPr="00D13682">
              <w:rPr>
                <w:i/>
              </w:rPr>
              <w:t>48</w:t>
            </w:r>
            <w:r>
              <w:t>, 12962–12969.</w:t>
            </w:r>
          </w:p>
          <w:p w:rsidR="00CC17FB" w:rsidRDefault="00CC17FB" w:rsidP="00CC17FB">
            <w:pPr>
              <w:pStyle w:val="NoSpacing"/>
              <w:spacing w:line="480" w:lineRule="auto"/>
            </w:pPr>
          </w:p>
          <w:p w:rsidR="00CC17FB" w:rsidRDefault="00CC17FB" w:rsidP="00CC17FB">
            <w:pPr>
              <w:pStyle w:val="NoSpacing"/>
              <w:spacing w:line="480" w:lineRule="auto"/>
            </w:pPr>
            <w:r>
              <w:t xml:space="preserve">(6) </w:t>
            </w:r>
            <w:r w:rsidRPr="00D80A79">
              <w:t>Juhasz, A.L.</w:t>
            </w:r>
            <w:r>
              <w:t>;</w:t>
            </w:r>
            <w:r w:rsidRPr="00D80A79">
              <w:t xml:space="preserve"> Smith, E.</w:t>
            </w:r>
            <w:r>
              <w:t>;</w:t>
            </w:r>
            <w:r w:rsidRPr="00D80A79">
              <w:t xml:space="preserve"> Nelson, C.</w:t>
            </w:r>
            <w:r>
              <w:t>;</w:t>
            </w:r>
            <w:r w:rsidRPr="00D80A79">
              <w:t xml:space="preserve"> Thomas, D.</w:t>
            </w:r>
            <w:r>
              <w:t xml:space="preserve"> </w:t>
            </w:r>
            <w:r w:rsidRPr="00D80A79">
              <w:t>J.</w:t>
            </w:r>
            <w:r>
              <w:t>;</w:t>
            </w:r>
            <w:r w:rsidRPr="00D80A79">
              <w:t xml:space="preserve"> Bradham, K. Variability associated with As in vivo-in vitro correlations when using different bioaccessibility methodologies.</w:t>
            </w:r>
            <w:r>
              <w:t xml:space="preserve">       </w:t>
            </w:r>
            <w:r w:rsidRPr="00D13682">
              <w:rPr>
                <w:i/>
              </w:rPr>
              <w:t>Environ. Sci. Technol</w:t>
            </w:r>
            <w:r w:rsidRPr="00D80A79">
              <w:t xml:space="preserve">. </w:t>
            </w:r>
            <w:r w:rsidRPr="00D13682">
              <w:rPr>
                <w:b/>
              </w:rPr>
              <w:t>2014b</w:t>
            </w:r>
            <w:r>
              <w:t>,</w:t>
            </w:r>
            <w:r w:rsidRPr="00D80A79">
              <w:t xml:space="preserve"> </w:t>
            </w:r>
            <w:r w:rsidRPr="00D13682">
              <w:rPr>
                <w:i/>
              </w:rPr>
              <w:t>48</w:t>
            </w:r>
            <w:r>
              <w:t xml:space="preserve">, </w:t>
            </w:r>
            <w:r w:rsidRPr="00D80A79">
              <w:t>11646</w:t>
            </w:r>
            <w:r>
              <w:t>–</w:t>
            </w:r>
            <w:r w:rsidRPr="00D80A79">
              <w:t>11653.</w:t>
            </w:r>
          </w:p>
          <w:p w:rsidR="00CC17FB" w:rsidRDefault="00CC17FB" w:rsidP="00CC17FB">
            <w:pPr>
              <w:pStyle w:val="NoSpacing"/>
              <w:spacing w:line="480" w:lineRule="auto"/>
            </w:pPr>
          </w:p>
          <w:p w:rsidR="00CC17FB" w:rsidRDefault="00CC17FB" w:rsidP="00CC17FB">
            <w:pPr>
              <w:pStyle w:val="NoSpacing"/>
              <w:spacing w:line="480" w:lineRule="auto"/>
            </w:pPr>
            <w:r>
              <w:t xml:space="preserve">(7) </w:t>
            </w:r>
            <w:r w:rsidRPr="00875301">
              <w:t>Rees,</w:t>
            </w:r>
            <w:r>
              <w:t xml:space="preserve"> M.; </w:t>
            </w:r>
            <w:r w:rsidRPr="00875301">
              <w:t>Sansom,</w:t>
            </w:r>
            <w:r>
              <w:t xml:space="preserve"> L.; </w:t>
            </w:r>
            <w:r w:rsidRPr="00875301">
              <w:t xml:space="preserve">Rofe, </w:t>
            </w:r>
            <w:r>
              <w:t xml:space="preserve">A.; </w:t>
            </w:r>
            <w:r w:rsidRPr="00875301">
              <w:t xml:space="preserve">Juhasz, </w:t>
            </w:r>
            <w:r>
              <w:t xml:space="preserve">A. L.; </w:t>
            </w:r>
            <w:r w:rsidRPr="00875301">
              <w:t xml:space="preserve">Smith, </w:t>
            </w:r>
            <w:r>
              <w:t xml:space="preserve">E.; </w:t>
            </w:r>
            <w:r w:rsidRPr="00875301">
              <w:t xml:space="preserve">Weber, </w:t>
            </w:r>
            <w:r>
              <w:t xml:space="preserve">J.; </w:t>
            </w:r>
            <w:r w:rsidRPr="00875301">
              <w:t>Naidu</w:t>
            </w:r>
            <w:r>
              <w:t>,</w:t>
            </w:r>
            <w:r w:rsidRPr="00875301">
              <w:t xml:space="preserve"> </w:t>
            </w:r>
            <w:r>
              <w:t>R.; Kuchel, T.</w:t>
            </w:r>
            <w:r w:rsidRPr="00875301">
              <w:t xml:space="preserve"> Principles and </w:t>
            </w:r>
            <w:r>
              <w:t>a</w:t>
            </w:r>
            <w:r w:rsidRPr="00875301">
              <w:t xml:space="preserve">pplication of an </w:t>
            </w:r>
            <w:r>
              <w:t>i</w:t>
            </w:r>
            <w:r w:rsidRPr="00875301">
              <w:t xml:space="preserve">n </w:t>
            </w:r>
            <w:r>
              <w:t>v</w:t>
            </w:r>
            <w:r w:rsidRPr="00875301">
              <w:t xml:space="preserve">ivo </w:t>
            </w:r>
            <w:r>
              <w:t>s</w:t>
            </w:r>
            <w:r w:rsidRPr="00875301">
              <w:t xml:space="preserve">wine </w:t>
            </w:r>
            <w:r>
              <w:t>a</w:t>
            </w:r>
            <w:r w:rsidRPr="00875301">
              <w:t xml:space="preserve">ssay for the </w:t>
            </w:r>
            <w:r>
              <w:t>d</w:t>
            </w:r>
            <w:r w:rsidRPr="00875301">
              <w:t xml:space="preserve">etermination of </w:t>
            </w:r>
            <w:r>
              <w:t>a</w:t>
            </w:r>
            <w:r w:rsidRPr="00875301">
              <w:t xml:space="preserve">rsenic </w:t>
            </w:r>
            <w:r>
              <w:t>b</w:t>
            </w:r>
            <w:r w:rsidRPr="00875301">
              <w:t xml:space="preserve">ioavailability in </w:t>
            </w:r>
            <w:r>
              <w:t>c</w:t>
            </w:r>
            <w:r w:rsidRPr="00875301">
              <w:t xml:space="preserve">ontaminated </w:t>
            </w:r>
            <w:r>
              <w:t>m</w:t>
            </w:r>
            <w:r w:rsidRPr="00875301">
              <w:t xml:space="preserve">atrices. </w:t>
            </w:r>
            <w:r w:rsidRPr="00820C99">
              <w:rPr>
                <w:i/>
              </w:rPr>
              <w:t>Environ. Geochem. Health</w:t>
            </w:r>
            <w:r>
              <w:t>.</w:t>
            </w:r>
            <w:r w:rsidRPr="00875301">
              <w:t xml:space="preserve"> </w:t>
            </w:r>
            <w:r w:rsidRPr="00820C99">
              <w:rPr>
                <w:b/>
              </w:rPr>
              <w:t>2009</w:t>
            </w:r>
            <w:r>
              <w:t xml:space="preserve">, </w:t>
            </w:r>
            <w:r w:rsidRPr="00820C99">
              <w:rPr>
                <w:i/>
              </w:rPr>
              <w:t>31</w:t>
            </w:r>
            <w:r>
              <w:t>,</w:t>
            </w:r>
            <w:r w:rsidRPr="00875301">
              <w:t xml:space="preserve"> 167</w:t>
            </w:r>
            <w:r>
              <w:t>–</w:t>
            </w:r>
            <w:r w:rsidRPr="00875301">
              <w:t>177</w:t>
            </w:r>
            <w:r>
              <w:t>.</w:t>
            </w:r>
          </w:p>
          <w:p w:rsidR="00CC17FB" w:rsidRDefault="00CC17FB" w:rsidP="001B39EF">
            <w:pPr>
              <w:pStyle w:val="NoSpacing"/>
              <w:spacing w:line="480" w:lineRule="auto"/>
              <w:rPr>
                <w:rFonts w:eastAsia="Times New Roman"/>
                <w:b/>
                <w:color w:val="000000"/>
                <w:sz w:val="22"/>
              </w:rPr>
            </w:pPr>
            <w:r>
              <w:rPr>
                <w:rFonts w:eastAsia="Times New Roman"/>
                <w:b/>
                <w:color w:val="000000"/>
                <w:sz w:val="22"/>
              </w:rPr>
              <w:br/>
            </w:r>
            <w:r w:rsidRPr="003245F8">
              <w:rPr>
                <w:rFonts w:eastAsia="Times New Roman"/>
                <w:b/>
                <w:color w:val="000000"/>
                <w:sz w:val="22"/>
              </w:rPr>
              <w:t>Table S</w:t>
            </w:r>
            <w:r>
              <w:rPr>
                <w:rFonts w:eastAsia="Times New Roman"/>
                <w:b/>
                <w:color w:val="000000"/>
                <w:sz w:val="22"/>
              </w:rPr>
              <w:t>-</w:t>
            </w:r>
            <w:r w:rsidRPr="003245F8">
              <w:rPr>
                <w:rFonts w:eastAsia="Times New Roman"/>
                <w:b/>
                <w:color w:val="000000"/>
                <w:sz w:val="22"/>
              </w:rPr>
              <w:t xml:space="preserve">1.  Data Used </w:t>
            </w:r>
            <w:r>
              <w:rPr>
                <w:rFonts w:eastAsia="Times New Roman"/>
                <w:b/>
                <w:color w:val="000000"/>
                <w:sz w:val="22"/>
              </w:rPr>
              <w:t xml:space="preserve">for </w:t>
            </w:r>
            <w:r w:rsidRPr="003245F8">
              <w:rPr>
                <w:rFonts w:eastAsia="Times New Roman"/>
                <w:b/>
                <w:color w:val="000000"/>
                <w:sz w:val="22"/>
              </w:rPr>
              <w:t>Meta-analysis of IVBA Assay for Predicting oral RBA of Arsenic</w:t>
            </w:r>
          </w:p>
          <w:p w:rsidR="00CC17FB" w:rsidRPr="003245F8" w:rsidRDefault="00CC17FB" w:rsidP="001B39EF">
            <w:pPr>
              <w:spacing w:line="480" w:lineRule="auto"/>
              <w:rPr>
                <w:rFonts w:eastAsia="Times New Roman"/>
                <w:color w:val="000000"/>
                <w:sz w:val="20"/>
                <w:szCs w:val="20"/>
              </w:rPr>
            </w:pPr>
          </w:p>
        </w:tc>
      </w:tr>
      <w:tr w:rsidR="00CC17FB" w:rsidRPr="003245F8" w:rsidTr="001B39EF">
        <w:trPr>
          <w:trHeight w:val="300"/>
        </w:trPr>
        <w:tc>
          <w:tcPr>
            <w:tcW w:w="1182" w:type="dxa"/>
            <w:tcBorders>
              <w:top w:val="single" w:sz="4" w:space="0" w:color="auto"/>
              <w:left w:val="nil"/>
              <w:bottom w:val="nil"/>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lastRenderedPageBreak/>
              <w:t>ID</w:t>
            </w:r>
          </w:p>
        </w:tc>
        <w:tc>
          <w:tcPr>
            <w:tcW w:w="1869" w:type="dxa"/>
            <w:tcBorders>
              <w:top w:val="single" w:sz="4" w:space="0" w:color="auto"/>
              <w:left w:val="nil"/>
              <w:bottom w:val="nil"/>
              <w:right w:val="nil"/>
            </w:tcBorders>
            <w:shd w:val="clear" w:color="auto" w:fill="auto"/>
            <w:noWrap/>
            <w:vAlign w:val="bottom"/>
            <w:hideMark/>
          </w:tcPr>
          <w:p w:rsidR="00CC17FB" w:rsidRPr="003245F8" w:rsidRDefault="00CC17FB" w:rsidP="001B39EF">
            <w:pPr>
              <w:spacing w:line="480" w:lineRule="auto"/>
              <w:rPr>
                <w:rFonts w:eastAsia="Times New Roman"/>
                <w:color w:val="000000"/>
                <w:sz w:val="20"/>
                <w:szCs w:val="20"/>
              </w:rPr>
            </w:pPr>
            <w:r w:rsidRPr="003245F8">
              <w:rPr>
                <w:rFonts w:eastAsia="Times New Roman"/>
                <w:color w:val="000000"/>
                <w:sz w:val="20"/>
                <w:szCs w:val="20"/>
              </w:rPr>
              <w:t>As Source</w:t>
            </w:r>
          </w:p>
        </w:tc>
        <w:tc>
          <w:tcPr>
            <w:tcW w:w="1069" w:type="dxa"/>
            <w:tcBorders>
              <w:top w:val="single" w:sz="4" w:space="0" w:color="auto"/>
              <w:left w:val="nil"/>
              <w:bottom w:val="nil"/>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t>Soil As</w:t>
            </w:r>
          </w:p>
        </w:tc>
        <w:tc>
          <w:tcPr>
            <w:tcW w:w="892" w:type="dxa"/>
            <w:tcBorders>
              <w:top w:val="single" w:sz="4" w:space="0" w:color="auto"/>
              <w:left w:val="nil"/>
              <w:bottom w:val="nil"/>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t>IVBA</w:t>
            </w:r>
          </w:p>
        </w:tc>
        <w:tc>
          <w:tcPr>
            <w:tcW w:w="1158" w:type="dxa"/>
            <w:tcBorders>
              <w:top w:val="single" w:sz="4" w:space="0" w:color="auto"/>
              <w:left w:val="nil"/>
              <w:bottom w:val="nil"/>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t>IVBA SD</w:t>
            </w:r>
          </w:p>
        </w:tc>
        <w:tc>
          <w:tcPr>
            <w:tcW w:w="981" w:type="dxa"/>
            <w:tcBorders>
              <w:top w:val="single" w:sz="4" w:space="0" w:color="auto"/>
              <w:left w:val="nil"/>
              <w:bottom w:val="nil"/>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t xml:space="preserve">RBA </w:t>
            </w:r>
          </w:p>
        </w:tc>
        <w:tc>
          <w:tcPr>
            <w:tcW w:w="981" w:type="dxa"/>
            <w:tcBorders>
              <w:top w:val="single" w:sz="4" w:space="0" w:color="auto"/>
              <w:left w:val="nil"/>
              <w:bottom w:val="nil"/>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t>RBA SE</w:t>
            </w:r>
          </w:p>
        </w:tc>
        <w:tc>
          <w:tcPr>
            <w:tcW w:w="1336" w:type="dxa"/>
            <w:tcBorders>
              <w:top w:val="single" w:sz="4" w:space="0" w:color="auto"/>
              <w:left w:val="nil"/>
              <w:bottom w:val="nil"/>
              <w:right w:val="nil"/>
            </w:tcBorders>
            <w:shd w:val="clear" w:color="auto" w:fill="auto"/>
            <w:noWrap/>
            <w:vAlign w:val="bottom"/>
            <w:hideMark/>
          </w:tcPr>
          <w:p w:rsidR="00CC17FB" w:rsidRPr="003245F8" w:rsidRDefault="00CC17FB" w:rsidP="001B39EF">
            <w:pPr>
              <w:spacing w:line="480" w:lineRule="auto"/>
              <w:rPr>
                <w:rFonts w:eastAsia="Times New Roman"/>
                <w:color w:val="000000"/>
                <w:sz w:val="20"/>
                <w:szCs w:val="20"/>
              </w:rPr>
            </w:pPr>
            <w:r w:rsidRPr="003245F8">
              <w:rPr>
                <w:rFonts w:eastAsia="Times New Roman"/>
                <w:color w:val="000000"/>
                <w:sz w:val="20"/>
                <w:szCs w:val="20"/>
              </w:rPr>
              <w:t>RBA Assay</w:t>
            </w:r>
          </w:p>
        </w:tc>
      </w:tr>
      <w:tr w:rsidR="00CC17FB" w:rsidRPr="003245F8" w:rsidTr="001B39EF">
        <w:trPr>
          <w:trHeight w:val="345"/>
        </w:trPr>
        <w:tc>
          <w:tcPr>
            <w:tcW w:w="1182" w:type="dxa"/>
            <w:tcBorders>
              <w:top w:val="nil"/>
              <w:left w:val="nil"/>
              <w:bottom w:val="single" w:sz="4" w:space="0" w:color="auto"/>
              <w:right w:val="nil"/>
            </w:tcBorders>
            <w:shd w:val="clear" w:color="auto" w:fill="auto"/>
            <w:noWrap/>
            <w:vAlign w:val="bottom"/>
            <w:hideMark/>
          </w:tcPr>
          <w:p w:rsidR="00CC17FB" w:rsidRPr="003245F8" w:rsidRDefault="00CC17FB" w:rsidP="001B39EF">
            <w:pPr>
              <w:spacing w:line="480" w:lineRule="auto"/>
              <w:rPr>
                <w:rFonts w:eastAsia="Times New Roman"/>
                <w:color w:val="000000"/>
                <w:sz w:val="20"/>
                <w:szCs w:val="20"/>
              </w:rPr>
            </w:pPr>
            <w:r w:rsidRPr="003245F8">
              <w:rPr>
                <w:rFonts w:eastAsia="Times New Roman"/>
                <w:color w:val="000000"/>
                <w:sz w:val="20"/>
                <w:szCs w:val="20"/>
              </w:rPr>
              <w:t> </w:t>
            </w:r>
          </w:p>
        </w:tc>
        <w:tc>
          <w:tcPr>
            <w:tcW w:w="1869" w:type="dxa"/>
            <w:tcBorders>
              <w:top w:val="nil"/>
              <w:left w:val="nil"/>
              <w:bottom w:val="single" w:sz="4" w:space="0" w:color="auto"/>
              <w:right w:val="nil"/>
            </w:tcBorders>
            <w:shd w:val="clear" w:color="auto" w:fill="auto"/>
            <w:noWrap/>
            <w:vAlign w:val="bottom"/>
            <w:hideMark/>
          </w:tcPr>
          <w:p w:rsidR="00CC17FB" w:rsidRPr="003245F8" w:rsidRDefault="00CC17FB" w:rsidP="001B39EF">
            <w:pPr>
              <w:spacing w:line="480" w:lineRule="auto"/>
              <w:rPr>
                <w:rFonts w:eastAsia="Times New Roman"/>
                <w:color w:val="000000"/>
                <w:sz w:val="20"/>
                <w:szCs w:val="20"/>
              </w:rPr>
            </w:pPr>
            <w:r w:rsidRPr="003245F8">
              <w:rPr>
                <w:rFonts w:eastAsia="Times New Roman"/>
                <w:color w:val="000000"/>
                <w:sz w:val="20"/>
                <w:szCs w:val="20"/>
              </w:rPr>
              <w:t> </w:t>
            </w:r>
          </w:p>
        </w:tc>
        <w:tc>
          <w:tcPr>
            <w:tcW w:w="1069" w:type="dxa"/>
            <w:tcBorders>
              <w:top w:val="nil"/>
              <w:left w:val="nil"/>
              <w:bottom w:val="single" w:sz="4" w:space="0" w:color="auto"/>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t>(ppm)</w:t>
            </w:r>
          </w:p>
        </w:tc>
        <w:tc>
          <w:tcPr>
            <w:tcW w:w="892" w:type="dxa"/>
            <w:tcBorders>
              <w:top w:val="nil"/>
              <w:left w:val="nil"/>
              <w:bottom w:val="single" w:sz="4" w:space="0" w:color="auto"/>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t>(%)</w:t>
            </w:r>
          </w:p>
        </w:tc>
        <w:tc>
          <w:tcPr>
            <w:tcW w:w="1158" w:type="dxa"/>
            <w:tcBorders>
              <w:top w:val="nil"/>
              <w:left w:val="nil"/>
              <w:bottom w:val="single" w:sz="4" w:space="0" w:color="auto"/>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t>(%)</w:t>
            </w:r>
          </w:p>
        </w:tc>
        <w:tc>
          <w:tcPr>
            <w:tcW w:w="981" w:type="dxa"/>
            <w:tcBorders>
              <w:top w:val="nil"/>
              <w:left w:val="nil"/>
              <w:bottom w:val="single" w:sz="4" w:space="0" w:color="auto"/>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t>(%)</w:t>
            </w:r>
          </w:p>
        </w:tc>
        <w:tc>
          <w:tcPr>
            <w:tcW w:w="981" w:type="dxa"/>
            <w:tcBorders>
              <w:top w:val="nil"/>
              <w:left w:val="nil"/>
              <w:bottom w:val="single" w:sz="4" w:space="0" w:color="auto"/>
              <w:right w:val="nil"/>
            </w:tcBorders>
            <w:shd w:val="clear" w:color="auto" w:fill="auto"/>
            <w:noWrap/>
            <w:vAlign w:val="bottom"/>
            <w:hideMark/>
          </w:tcPr>
          <w:p w:rsidR="00CC17FB" w:rsidRPr="003245F8" w:rsidRDefault="00CC17FB" w:rsidP="001B39EF">
            <w:pPr>
              <w:spacing w:line="480" w:lineRule="auto"/>
              <w:jc w:val="center"/>
              <w:rPr>
                <w:rFonts w:eastAsia="Times New Roman"/>
                <w:color w:val="000000"/>
                <w:sz w:val="20"/>
                <w:szCs w:val="20"/>
              </w:rPr>
            </w:pPr>
            <w:r w:rsidRPr="003245F8">
              <w:rPr>
                <w:rFonts w:eastAsia="Times New Roman"/>
                <w:color w:val="000000"/>
                <w:sz w:val="20"/>
                <w:szCs w:val="20"/>
              </w:rPr>
              <w:t>(%)</w:t>
            </w:r>
          </w:p>
        </w:tc>
        <w:tc>
          <w:tcPr>
            <w:tcW w:w="1336" w:type="dxa"/>
            <w:tcBorders>
              <w:top w:val="nil"/>
              <w:left w:val="nil"/>
              <w:bottom w:val="single" w:sz="4" w:space="0" w:color="auto"/>
              <w:right w:val="nil"/>
            </w:tcBorders>
            <w:shd w:val="clear" w:color="auto" w:fill="auto"/>
            <w:noWrap/>
            <w:vAlign w:val="bottom"/>
            <w:hideMark/>
          </w:tcPr>
          <w:p w:rsidR="00CC17FB" w:rsidRPr="003245F8" w:rsidRDefault="00CC17FB" w:rsidP="001B39EF">
            <w:pPr>
              <w:spacing w:line="480" w:lineRule="auto"/>
              <w:rPr>
                <w:rFonts w:eastAsia="Times New Roman"/>
                <w:color w:val="000000"/>
                <w:sz w:val="20"/>
                <w:szCs w:val="20"/>
              </w:rPr>
            </w:pPr>
            <w:r w:rsidRPr="003245F8">
              <w:rPr>
                <w:rFonts w:eastAsia="Times New Roman"/>
                <w:color w:val="000000"/>
                <w:sz w:val="20"/>
                <w:szCs w:val="20"/>
              </w:rPr>
              <w:t> </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676</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13.0</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0.7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38.1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1.6</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313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32.5</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1.6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52.4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2.0</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(orchard)</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290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21.0</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1.1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31.0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4.0</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(orchard)</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388</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18.6</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0.9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40.8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(orchard)</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382</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19.4</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sidRPr="003245F8">
              <w:rPr>
                <w:sz w:val="20"/>
                <w:szCs w:val="20"/>
              </w:rPr>
              <w:t>0.4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48.7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(orchard)</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364</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30.6</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1.5</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52.8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lastRenderedPageBreak/>
              <w:t>7</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234</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8.8</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sidRPr="003245F8">
              <w:rPr>
                <w:sz w:val="20"/>
                <w:szCs w:val="20"/>
              </w:rPr>
              <w:t>0.3</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17.8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3.2</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367</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6.0</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0.3</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2.4</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9</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181</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50.4</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2.5</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50.7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10</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200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78.0</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3.9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60.2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11</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3957</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11.0</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0.6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12</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590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55.1</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2.8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44.1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13</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1400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42.2</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sidRPr="003245F8">
              <w:rPr>
                <w:sz w:val="20"/>
                <w:szCs w:val="20"/>
              </w:rPr>
              <w:t>0.6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41.8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312</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41.8</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sidRPr="003245F8">
              <w:rPr>
                <w:sz w:val="20"/>
                <w:szCs w:val="20"/>
              </w:rPr>
              <w:t>2.1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40.3</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3.6</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15</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983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33.2</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1.7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42.2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3.8</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16</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390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40.3</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sidRPr="003245F8">
              <w:rPr>
                <w:sz w:val="20"/>
                <w:szCs w:val="20"/>
              </w:rPr>
              <w:t>0.7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36.7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3.3</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17</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813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22.0</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1.1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2.4</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368</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18.7</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0.9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516</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18.6</w:t>
            </w:r>
          </w:p>
        </w:tc>
        <w:tc>
          <w:tcPr>
            <w:tcW w:w="1158" w:type="dxa"/>
            <w:tcBorders>
              <w:top w:val="nil"/>
              <w:left w:val="nil"/>
              <w:bottom w:val="nil"/>
              <w:right w:val="nil"/>
            </w:tcBorders>
            <w:shd w:val="clear" w:color="auto" w:fill="auto"/>
            <w:noWrap/>
            <w:vAlign w:val="bottom"/>
            <w:hideMark/>
          </w:tcPr>
          <w:p w:rsidR="00CC17FB" w:rsidRPr="003245F8" w:rsidRDefault="00CC17FB" w:rsidP="001B39EF">
            <w:pPr>
              <w:pStyle w:val="NoSpacing"/>
              <w:spacing w:line="480" w:lineRule="auto"/>
              <w:jc w:val="center"/>
              <w:rPr>
                <w:sz w:val="20"/>
                <w:szCs w:val="20"/>
              </w:rPr>
            </w:pPr>
            <w:r>
              <w:rPr>
                <w:sz w:val="20"/>
                <w:szCs w:val="20"/>
              </w:rPr>
              <w:t>0.9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23.5</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2.6</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20</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Herbicide (r</w:t>
            </w:r>
            <w:r w:rsidRPr="00840F6D">
              <w:rPr>
                <w:rFonts w:eastAsia="Times New Roman"/>
                <w:color w:val="000000"/>
                <w:sz w:val="20"/>
                <w:szCs w:val="20"/>
              </w:rPr>
              <w:t>ailway corridor</w:t>
            </w:r>
            <w:r>
              <w:rPr>
                <w:rFonts w:eastAsia="Times New Roman"/>
                <w:color w:val="000000"/>
                <w:sz w:val="20"/>
                <w:szCs w:val="20"/>
              </w:rPr>
              <w:t>)</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267</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57.3</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72.2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19.9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Herbicide (r</w:t>
            </w:r>
            <w:r w:rsidRPr="00840F6D">
              <w:rPr>
                <w:rFonts w:eastAsia="Times New Roman"/>
                <w:color w:val="000000"/>
                <w:sz w:val="20"/>
                <w:szCs w:val="20"/>
              </w:rPr>
              <w:t>ailway corridor</w:t>
            </w:r>
            <w:r>
              <w:rPr>
                <w:rFonts w:eastAsia="Times New Roman"/>
                <w:color w:val="000000"/>
                <w:sz w:val="20"/>
                <w:szCs w:val="20"/>
              </w:rPr>
              <w:t>)</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42</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42.7</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41.6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6.6</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22</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Herbicide (r</w:t>
            </w:r>
            <w:r w:rsidRPr="00840F6D">
              <w:rPr>
                <w:rFonts w:eastAsia="Times New Roman"/>
                <w:color w:val="000000"/>
                <w:sz w:val="20"/>
                <w:szCs w:val="20"/>
              </w:rPr>
              <w:t>ailway corridor</w:t>
            </w:r>
            <w:r>
              <w:rPr>
                <w:rFonts w:eastAsia="Times New Roman"/>
                <w:color w:val="000000"/>
                <w:sz w:val="20"/>
                <w:szCs w:val="20"/>
              </w:rPr>
              <w:t>)</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1114</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17.2</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20.0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9.5</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Herbicide (r</w:t>
            </w:r>
            <w:r w:rsidRPr="00840F6D">
              <w:rPr>
                <w:rFonts w:eastAsia="Times New Roman"/>
                <w:color w:val="000000"/>
                <w:sz w:val="20"/>
                <w:szCs w:val="20"/>
              </w:rPr>
              <w:t>ailway corridor</w:t>
            </w:r>
            <w:r>
              <w:rPr>
                <w:rFonts w:eastAsia="Times New Roman"/>
                <w:color w:val="000000"/>
                <w:sz w:val="20"/>
                <w:szCs w:val="20"/>
              </w:rPr>
              <w:t>)</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257</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10.5</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10.1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2.5</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24</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Herbicide (r</w:t>
            </w:r>
            <w:r w:rsidRPr="00840F6D">
              <w:rPr>
                <w:rFonts w:eastAsia="Times New Roman"/>
                <w:color w:val="000000"/>
                <w:sz w:val="20"/>
                <w:szCs w:val="20"/>
              </w:rPr>
              <w:t>ailway corridor</w:t>
            </w:r>
            <w:r>
              <w:rPr>
                <w:rFonts w:eastAsia="Times New Roman"/>
                <w:color w:val="000000"/>
                <w:sz w:val="20"/>
                <w:szCs w:val="20"/>
              </w:rPr>
              <w:t>)</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751</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22.2</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22.5</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2.2</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25</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Herbicide (r</w:t>
            </w:r>
            <w:r w:rsidRPr="00840F6D">
              <w:rPr>
                <w:rFonts w:eastAsia="Times New Roman"/>
                <w:color w:val="000000"/>
                <w:sz w:val="20"/>
                <w:szCs w:val="20"/>
              </w:rPr>
              <w:t>ailway corridor</w:t>
            </w:r>
            <w:r>
              <w:rPr>
                <w:rFonts w:eastAsia="Times New Roman"/>
                <w:color w:val="000000"/>
                <w:sz w:val="20"/>
                <w:szCs w:val="20"/>
              </w:rPr>
              <w:t>)</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91</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80.0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0.3</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80.5</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6.9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26</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(dip site)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713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17.8</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29.3</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8.7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27</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(dip site)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228</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55.4</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43.8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5.6</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28</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807</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40.0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41.7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4.4</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lastRenderedPageBreak/>
              <w:t>29</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577</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3.8</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7.0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2.9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30</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Gossan</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19.0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16.4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5.2</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31</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Gossan</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88</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14.0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12.1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4.9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32</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275</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5.7</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10.8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33</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7.7</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12.9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1.2</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34</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81</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41.7</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1.2</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35</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358</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6.5</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10.1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3.5</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36</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200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13.1</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0.3</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10.9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37</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215</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7.2</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18.2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3.8</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38</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981</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9.7</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16.4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3.6</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39</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1221</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15.1</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15.7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40</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949</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52.9</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45.8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2.6</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41</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1126</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36.9</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30.7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4.1</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42</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1695</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38.1</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1.3</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27.5</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0.7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43</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1306</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78.4</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70.5</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6.8</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44</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2270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43.5</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36.2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sz w:val="20"/>
                <w:szCs w:val="20"/>
              </w:rPr>
            </w:pPr>
            <w:r w:rsidRPr="00840F6D">
              <w:rPr>
                <w:rFonts w:eastAsia="Times New Roman"/>
                <w:sz w:val="20"/>
                <w:szCs w:val="20"/>
              </w:rPr>
              <w:t>1.5</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Swine AUC</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45</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244</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18.1</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0.40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15.5</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1.3</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46</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173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6.8</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0.80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1.2</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47</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6899</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17.5</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0.60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1.0</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48</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280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53.6</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39.9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49</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4495</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8.8</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0.10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14.5</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1.6</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50</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448</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22.8</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17.2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0.5</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51</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195</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25.7</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52</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837</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18.2</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2.70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11.2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0.3</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53</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182</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32.9</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26.7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54</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990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73.1</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0.60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48.7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2.4</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55</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829</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74.3</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1.30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49.7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56</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379</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53.2</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0.50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51.6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lastRenderedPageBreak/>
              <w:t>57</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(orchard)</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322</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18.8</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0.30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26.3</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58</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(orchard)</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462</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16.1</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0.40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35.2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2.0</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59</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(orchard)</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401</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20.9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2.2</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60</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(orchard)</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422</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27.9</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0.80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35.0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61</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(orchard)</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340</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35.4</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33.2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2.4</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62</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(orchard)</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396</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48.1</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0.80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46.4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63</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(dip site)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965</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9.0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0.40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21.7</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1.5</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64</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Pesticide (dip site)</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313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36.4</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1.30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29.1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65</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Herbicide (r</w:t>
            </w:r>
            <w:r w:rsidRPr="00840F6D">
              <w:rPr>
                <w:rFonts w:eastAsia="Times New Roman"/>
                <w:color w:val="000000"/>
                <w:sz w:val="20"/>
                <w:szCs w:val="20"/>
              </w:rPr>
              <w:t>ailway corridor</w:t>
            </w:r>
            <w:r>
              <w:rPr>
                <w:rFonts w:eastAsia="Times New Roman"/>
                <w:color w:val="000000"/>
                <w:sz w:val="20"/>
                <w:szCs w:val="20"/>
              </w:rPr>
              <w:t>)</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246</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47.0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45.1</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66</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Herbicide (r</w:t>
            </w:r>
            <w:r w:rsidRPr="00840F6D">
              <w:rPr>
                <w:rFonts w:eastAsia="Times New Roman"/>
                <w:color w:val="000000"/>
                <w:sz w:val="20"/>
                <w:szCs w:val="20"/>
              </w:rPr>
              <w:t>ailway corridor</w:t>
            </w:r>
            <w:r>
              <w:rPr>
                <w:rFonts w:eastAsia="Times New Roman"/>
                <w:color w:val="000000"/>
                <w:sz w:val="20"/>
                <w:szCs w:val="20"/>
              </w:rPr>
              <w:t>)</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108</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27.0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0.80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67</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Herbicide (r</w:t>
            </w:r>
            <w:r w:rsidRPr="00840F6D">
              <w:rPr>
                <w:rFonts w:eastAsia="Times New Roman"/>
                <w:color w:val="000000"/>
                <w:sz w:val="20"/>
                <w:szCs w:val="20"/>
              </w:rPr>
              <w:t>ailway corridor</w:t>
            </w:r>
            <w:r>
              <w:rPr>
                <w:rFonts w:eastAsia="Times New Roman"/>
                <w:color w:val="000000"/>
                <w:sz w:val="20"/>
                <w:szCs w:val="20"/>
              </w:rPr>
              <w:t>)</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184</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11.9</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68</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Herbicide (r</w:t>
            </w:r>
            <w:r w:rsidRPr="00840F6D">
              <w:rPr>
                <w:rFonts w:eastAsia="Times New Roman"/>
                <w:color w:val="000000"/>
                <w:sz w:val="20"/>
                <w:szCs w:val="20"/>
              </w:rPr>
              <w:t>ailway corridor</w:t>
            </w:r>
            <w:r>
              <w:rPr>
                <w:rFonts w:eastAsia="Times New Roman"/>
                <w:color w:val="000000"/>
                <w:sz w:val="20"/>
                <w:szCs w:val="20"/>
              </w:rPr>
              <w:t>)</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981</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54.3</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2.50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36.3</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1.3</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69</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573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3.5</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0.30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0.3</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70</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583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21.2</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0.3</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71</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Pr>
                <w:rFonts w:eastAsia="Times New Roman"/>
                <w:color w:val="000000"/>
                <w:sz w:val="20"/>
                <w:szCs w:val="20"/>
              </w:rPr>
              <w:t>Gossan</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239</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12.3</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0.70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20.4</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72</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197</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21.9</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29.0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73</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884</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16.9</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0.40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23.2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3.3</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74</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293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12.3</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0.30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17.9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75</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223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17.3</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0.10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19.8</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76</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494</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15.5</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0.10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1.8</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77</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738</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13.4</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3.50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11.2</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0.9</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78</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777</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0.00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4.3</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0.7</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79</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943</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0.1</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0.00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80</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898</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0.1</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0.00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lastRenderedPageBreak/>
              <w:t>81</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668</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0.00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3.6</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0.3</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82</w:t>
            </w:r>
          </w:p>
        </w:tc>
        <w:tc>
          <w:tcPr>
            <w:tcW w:w="18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 (SRM)</w:t>
            </w:r>
          </w:p>
        </w:tc>
        <w:tc>
          <w:tcPr>
            <w:tcW w:w="1069"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601</w:t>
            </w:r>
          </w:p>
        </w:tc>
        <w:tc>
          <w:tcPr>
            <w:tcW w:w="892"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54.0</w:t>
            </w:r>
          </w:p>
        </w:tc>
        <w:tc>
          <w:tcPr>
            <w:tcW w:w="1158"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4.10</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42.9</w:t>
            </w:r>
          </w:p>
        </w:tc>
        <w:tc>
          <w:tcPr>
            <w:tcW w:w="981" w:type="dxa"/>
            <w:tcBorders>
              <w:top w:val="nil"/>
              <w:left w:val="nil"/>
              <w:bottom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1.2</w:t>
            </w:r>
          </w:p>
        </w:tc>
        <w:tc>
          <w:tcPr>
            <w:tcW w:w="1336" w:type="dxa"/>
            <w:tcBorders>
              <w:top w:val="nil"/>
              <w:left w:val="nil"/>
              <w:bottom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83</w:t>
            </w:r>
          </w:p>
        </w:tc>
        <w:tc>
          <w:tcPr>
            <w:tcW w:w="1869" w:type="dxa"/>
            <w:tcBorders>
              <w:top w:val="nil"/>
              <w:left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 (SRM)</w:t>
            </w:r>
          </w:p>
        </w:tc>
        <w:tc>
          <w:tcPr>
            <w:tcW w:w="1069" w:type="dxa"/>
            <w:tcBorders>
              <w:top w:val="nil"/>
              <w:left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1513</w:t>
            </w:r>
          </w:p>
        </w:tc>
        <w:tc>
          <w:tcPr>
            <w:tcW w:w="892" w:type="dxa"/>
            <w:tcBorders>
              <w:top w:val="nil"/>
              <w:left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41.8</w:t>
            </w:r>
          </w:p>
        </w:tc>
        <w:tc>
          <w:tcPr>
            <w:tcW w:w="1158" w:type="dxa"/>
            <w:tcBorders>
              <w:top w:val="nil"/>
              <w:left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1.70</w:t>
            </w:r>
          </w:p>
        </w:tc>
        <w:tc>
          <w:tcPr>
            <w:tcW w:w="981" w:type="dxa"/>
            <w:tcBorders>
              <w:top w:val="nil"/>
              <w:left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42.1</w:t>
            </w:r>
          </w:p>
        </w:tc>
        <w:tc>
          <w:tcPr>
            <w:tcW w:w="981" w:type="dxa"/>
            <w:tcBorders>
              <w:top w:val="nil"/>
              <w:left w:val="nil"/>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1.1</w:t>
            </w:r>
          </w:p>
        </w:tc>
        <w:tc>
          <w:tcPr>
            <w:tcW w:w="1336" w:type="dxa"/>
            <w:tcBorders>
              <w:top w:val="nil"/>
              <w:left w:val="nil"/>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1182" w:type="dxa"/>
            <w:tcBorders>
              <w:top w:val="nil"/>
              <w:left w:val="nil"/>
              <w:bottom w:val="single" w:sz="4" w:space="0" w:color="auto"/>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84</w:t>
            </w:r>
          </w:p>
        </w:tc>
        <w:tc>
          <w:tcPr>
            <w:tcW w:w="1869" w:type="dxa"/>
            <w:tcBorders>
              <w:top w:val="nil"/>
              <w:left w:val="nil"/>
              <w:bottom w:val="single" w:sz="4" w:space="0" w:color="auto"/>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Mining/smelting (SRM)</w:t>
            </w:r>
          </w:p>
        </w:tc>
        <w:tc>
          <w:tcPr>
            <w:tcW w:w="1069" w:type="dxa"/>
            <w:tcBorders>
              <w:top w:val="nil"/>
              <w:left w:val="nil"/>
              <w:bottom w:val="single" w:sz="4" w:space="0" w:color="auto"/>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879</w:t>
            </w:r>
          </w:p>
        </w:tc>
        <w:tc>
          <w:tcPr>
            <w:tcW w:w="892" w:type="dxa"/>
            <w:tcBorders>
              <w:top w:val="nil"/>
              <w:left w:val="nil"/>
              <w:bottom w:val="single" w:sz="4" w:space="0" w:color="auto"/>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14.5</w:t>
            </w:r>
          </w:p>
        </w:tc>
        <w:tc>
          <w:tcPr>
            <w:tcW w:w="1158" w:type="dxa"/>
            <w:tcBorders>
              <w:top w:val="nil"/>
              <w:left w:val="nil"/>
              <w:bottom w:val="single" w:sz="4" w:space="0" w:color="auto"/>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0.20</w:t>
            </w:r>
          </w:p>
        </w:tc>
        <w:tc>
          <w:tcPr>
            <w:tcW w:w="981" w:type="dxa"/>
            <w:tcBorders>
              <w:top w:val="nil"/>
              <w:left w:val="nil"/>
              <w:bottom w:val="single" w:sz="4" w:space="0" w:color="auto"/>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14.6</w:t>
            </w:r>
          </w:p>
        </w:tc>
        <w:tc>
          <w:tcPr>
            <w:tcW w:w="981" w:type="dxa"/>
            <w:tcBorders>
              <w:top w:val="nil"/>
              <w:left w:val="nil"/>
              <w:bottom w:val="single" w:sz="4" w:space="0" w:color="auto"/>
              <w:right w:val="nil"/>
            </w:tcBorders>
            <w:shd w:val="clear" w:color="auto" w:fill="auto"/>
            <w:noWrap/>
            <w:vAlign w:val="bottom"/>
            <w:hideMark/>
          </w:tcPr>
          <w:p w:rsidR="00CC17FB" w:rsidRPr="00840F6D" w:rsidRDefault="00CC17FB" w:rsidP="001B39EF">
            <w:pPr>
              <w:spacing w:line="480" w:lineRule="auto"/>
              <w:jc w:val="center"/>
              <w:rPr>
                <w:rFonts w:eastAsia="Times New Roman"/>
                <w:color w:val="000000"/>
                <w:sz w:val="20"/>
                <w:szCs w:val="20"/>
              </w:rPr>
            </w:pPr>
            <w:r w:rsidRPr="00840F6D">
              <w:rPr>
                <w:rFonts w:eastAsia="Times New Roman"/>
                <w:color w:val="000000"/>
                <w:sz w:val="20"/>
                <w:szCs w:val="20"/>
              </w:rPr>
              <w:t>0.8</w:t>
            </w:r>
          </w:p>
        </w:tc>
        <w:tc>
          <w:tcPr>
            <w:tcW w:w="1336" w:type="dxa"/>
            <w:tcBorders>
              <w:top w:val="nil"/>
              <w:left w:val="nil"/>
              <w:bottom w:val="single" w:sz="4" w:space="0" w:color="auto"/>
              <w:right w:val="nil"/>
            </w:tcBorders>
            <w:shd w:val="clear" w:color="auto" w:fill="auto"/>
            <w:noWrap/>
            <w:vAlign w:val="bottom"/>
            <w:hideMark/>
          </w:tcPr>
          <w:p w:rsidR="00CC17FB" w:rsidRPr="00840F6D" w:rsidRDefault="00CC17FB" w:rsidP="001B39EF">
            <w:pPr>
              <w:spacing w:line="480" w:lineRule="auto"/>
              <w:rPr>
                <w:rFonts w:eastAsia="Times New Roman"/>
                <w:color w:val="000000"/>
                <w:sz w:val="20"/>
                <w:szCs w:val="20"/>
              </w:rPr>
            </w:pPr>
            <w:r w:rsidRPr="00840F6D">
              <w:rPr>
                <w:rFonts w:eastAsia="Times New Roman"/>
                <w:color w:val="000000"/>
                <w:sz w:val="20"/>
                <w:szCs w:val="20"/>
              </w:rPr>
              <w:t>Mouse UEF</w:t>
            </w:r>
          </w:p>
        </w:tc>
      </w:tr>
      <w:tr w:rsidR="00CC17FB" w:rsidRPr="00840F6D" w:rsidTr="001B39EF">
        <w:trPr>
          <w:trHeight w:val="300"/>
        </w:trPr>
        <w:tc>
          <w:tcPr>
            <w:tcW w:w="9468" w:type="dxa"/>
            <w:gridSpan w:val="8"/>
            <w:tcBorders>
              <w:top w:val="single" w:sz="4" w:space="0" w:color="auto"/>
              <w:left w:val="nil"/>
              <w:right w:val="nil"/>
            </w:tcBorders>
            <w:shd w:val="clear" w:color="auto" w:fill="auto"/>
            <w:noWrap/>
            <w:vAlign w:val="bottom"/>
          </w:tcPr>
          <w:p w:rsidR="00CC17FB" w:rsidRPr="003245F8" w:rsidRDefault="00CC17FB" w:rsidP="001B39EF">
            <w:pPr>
              <w:spacing w:line="480" w:lineRule="auto"/>
              <w:ind w:left="90"/>
              <w:rPr>
                <w:rFonts w:eastAsia="Times New Roman"/>
                <w:color w:val="000000"/>
                <w:sz w:val="20"/>
                <w:szCs w:val="20"/>
              </w:rPr>
            </w:pPr>
            <w:r w:rsidRPr="003245F8">
              <w:rPr>
                <w:rFonts w:eastAsia="Times New Roman"/>
                <w:color w:val="000000"/>
                <w:sz w:val="20"/>
                <w:szCs w:val="20"/>
              </w:rPr>
              <w:t xml:space="preserve">As, arsenic; AUC, area under the curve; </w:t>
            </w:r>
            <w:r>
              <w:rPr>
                <w:rFonts w:eastAsia="Times New Roman"/>
                <w:color w:val="000000"/>
                <w:sz w:val="20"/>
                <w:szCs w:val="20"/>
              </w:rPr>
              <w:t>I</w:t>
            </w:r>
            <w:r w:rsidRPr="003245F8">
              <w:rPr>
                <w:rFonts w:eastAsia="Times New Roman"/>
                <w:color w:val="000000"/>
                <w:sz w:val="20"/>
                <w:szCs w:val="20"/>
              </w:rPr>
              <w:t>D</w:t>
            </w:r>
            <w:r>
              <w:rPr>
                <w:rFonts w:eastAsia="Times New Roman"/>
                <w:color w:val="000000"/>
                <w:sz w:val="20"/>
                <w:szCs w:val="20"/>
              </w:rPr>
              <w:t>, sample identification number</w:t>
            </w:r>
            <w:r w:rsidRPr="003245F8">
              <w:rPr>
                <w:rFonts w:eastAsia="Times New Roman"/>
                <w:color w:val="000000"/>
                <w:sz w:val="20"/>
                <w:szCs w:val="20"/>
              </w:rPr>
              <w:t xml:space="preserve">; IVBA, </w:t>
            </w:r>
            <w:r w:rsidRPr="003245F8">
              <w:rPr>
                <w:rFonts w:eastAsia="Times New Roman"/>
                <w:i/>
                <w:color w:val="000000"/>
                <w:sz w:val="20"/>
                <w:szCs w:val="20"/>
              </w:rPr>
              <w:t>in vitro</w:t>
            </w:r>
            <w:r w:rsidRPr="003245F8">
              <w:rPr>
                <w:rFonts w:eastAsia="Times New Roman"/>
                <w:color w:val="000000"/>
                <w:sz w:val="20"/>
                <w:szCs w:val="20"/>
              </w:rPr>
              <w:t xml:space="preserve"> bioaccessibility; RBA, relative bioavailability; SD, standard deviation; SE, standard error; SRM, standard reference material; UEF, urinary excretion fraction</w:t>
            </w:r>
          </w:p>
          <w:p w:rsidR="00CC17FB" w:rsidRPr="00840F6D" w:rsidRDefault="00CC17FB" w:rsidP="001B39EF">
            <w:pPr>
              <w:spacing w:line="480" w:lineRule="auto"/>
              <w:rPr>
                <w:rFonts w:eastAsia="Times New Roman"/>
                <w:color w:val="000000"/>
                <w:sz w:val="20"/>
                <w:szCs w:val="20"/>
              </w:rPr>
            </w:pPr>
          </w:p>
        </w:tc>
      </w:tr>
    </w:tbl>
    <w:p w:rsidR="00CC17FB" w:rsidRDefault="00CC17FB" w:rsidP="00CC17FB">
      <w:pPr>
        <w:spacing w:line="480" w:lineRule="auto"/>
      </w:pPr>
    </w:p>
    <w:p w:rsidR="00CC17FB" w:rsidRDefault="00CC17FB" w:rsidP="00CC17FB">
      <w:pPr>
        <w:spacing w:line="480" w:lineRule="auto"/>
      </w:pPr>
      <w:r>
        <w:br w:type="page"/>
      </w:r>
    </w:p>
    <w:p w:rsidR="00CC17FB" w:rsidRDefault="00CC17FB" w:rsidP="00CC17FB">
      <w:pPr>
        <w:pStyle w:val="NoSpacing"/>
        <w:spacing w:line="480" w:lineRule="auto"/>
        <w:jc w:val="center"/>
      </w:pPr>
      <w:r w:rsidRPr="00D40B12">
        <w:rPr>
          <w:noProof/>
        </w:rPr>
        <w:lastRenderedPageBreak/>
        <w:drawing>
          <wp:inline distT="0" distB="0" distL="0" distR="0" wp14:anchorId="3FA9AE39" wp14:editId="6B8DA123">
            <wp:extent cx="4827905" cy="3964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27905" cy="3964940"/>
                    </a:xfrm>
                    <a:prstGeom prst="rect">
                      <a:avLst/>
                    </a:prstGeom>
                    <a:noFill/>
                    <a:ln>
                      <a:noFill/>
                    </a:ln>
                  </pic:spPr>
                </pic:pic>
              </a:graphicData>
            </a:graphic>
          </wp:inline>
        </w:drawing>
      </w:r>
    </w:p>
    <w:p w:rsidR="00CC17FB" w:rsidRDefault="00CC17FB" w:rsidP="00CC17FB">
      <w:pPr>
        <w:pStyle w:val="NoSpacing"/>
        <w:spacing w:line="480" w:lineRule="auto"/>
        <w:jc w:val="center"/>
      </w:pPr>
    </w:p>
    <w:p w:rsidR="00CC17FB" w:rsidRDefault="00CC17FB" w:rsidP="00CC17FB">
      <w:pPr>
        <w:pStyle w:val="NoSpacing"/>
        <w:spacing w:line="480" w:lineRule="auto"/>
      </w:pPr>
    </w:p>
    <w:p w:rsidR="00CC17FB" w:rsidRDefault="00CC17FB" w:rsidP="00CC17FB">
      <w:pPr>
        <w:spacing w:line="480" w:lineRule="auto"/>
        <w:ind w:left="1440"/>
      </w:pPr>
      <w:r>
        <w:t>Figure S-1.  Ordinary least squares linear regression model for data from Laboratory A (n=40; RBA estimated with mouse UEF assay; Bradham et al 2011).</w:t>
      </w:r>
    </w:p>
    <w:p w:rsidR="00CC17FB" w:rsidRDefault="00CC17FB" w:rsidP="00CC17FB">
      <w:pPr>
        <w:spacing w:line="480" w:lineRule="auto"/>
      </w:pPr>
      <w:r>
        <w:br w:type="page"/>
      </w:r>
    </w:p>
    <w:p w:rsidR="00CC17FB" w:rsidRDefault="00CC17FB" w:rsidP="00CC17FB">
      <w:pPr>
        <w:pStyle w:val="NoSpacing"/>
        <w:spacing w:line="480" w:lineRule="auto"/>
        <w:jc w:val="center"/>
      </w:pPr>
    </w:p>
    <w:p w:rsidR="00CC17FB" w:rsidRDefault="00CC17FB" w:rsidP="00CC17FB">
      <w:pPr>
        <w:pStyle w:val="NoSpacing"/>
        <w:spacing w:line="480" w:lineRule="auto"/>
        <w:jc w:val="center"/>
      </w:pPr>
      <w:r w:rsidRPr="001F1224">
        <w:rPr>
          <w:noProof/>
        </w:rPr>
        <w:drawing>
          <wp:inline distT="0" distB="0" distL="0" distR="0" wp14:anchorId="336BB327" wp14:editId="45C4A753">
            <wp:extent cx="4827905" cy="3964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7905" cy="3964940"/>
                    </a:xfrm>
                    <a:prstGeom prst="rect">
                      <a:avLst/>
                    </a:prstGeom>
                    <a:noFill/>
                    <a:ln>
                      <a:noFill/>
                    </a:ln>
                  </pic:spPr>
                </pic:pic>
              </a:graphicData>
            </a:graphic>
          </wp:inline>
        </w:drawing>
      </w:r>
    </w:p>
    <w:p w:rsidR="00CC17FB" w:rsidRDefault="00CC17FB" w:rsidP="00CC17FB">
      <w:pPr>
        <w:pStyle w:val="NoSpacing"/>
        <w:spacing w:line="480" w:lineRule="auto"/>
        <w:jc w:val="center"/>
      </w:pPr>
    </w:p>
    <w:p w:rsidR="00CC17FB" w:rsidRDefault="00CC17FB" w:rsidP="00CC17FB">
      <w:pPr>
        <w:spacing w:line="480" w:lineRule="auto"/>
        <w:ind w:left="1440"/>
        <w:jc w:val="both"/>
      </w:pPr>
      <w:r>
        <w:t>Figure S-2.  Ordinary least squares linear regression model for data from Laboratory B (n-19; RBA estimated with swine UEF assay; Brattin and Casteel, 2013).</w:t>
      </w:r>
    </w:p>
    <w:p w:rsidR="00CC17FB" w:rsidRDefault="00CC17FB" w:rsidP="00CC17FB">
      <w:pPr>
        <w:spacing w:line="480" w:lineRule="auto"/>
      </w:pPr>
      <w:r>
        <w:br w:type="page"/>
      </w:r>
    </w:p>
    <w:p w:rsidR="00CC17FB" w:rsidRDefault="00CC17FB" w:rsidP="00CC17FB">
      <w:pPr>
        <w:pStyle w:val="NoSpacing"/>
        <w:spacing w:line="480" w:lineRule="auto"/>
        <w:jc w:val="center"/>
      </w:pPr>
    </w:p>
    <w:p w:rsidR="00CC17FB" w:rsidRDefault="00CC17FB" w:rsidP="00CC17FB">
      <w:pPr>
        <w:pStyle w:val="NoSpacing"/>
        <w:spacing w:line="480" w:lineRule="auto"/>
        <w:jc w:val="center"/>
      </w:pPr>
      <w:r w:rsidRPr="00FD5D45">
        <w:rPr>
          <w:noProof/>
        </w:rPr>
        <w:drawing>
          <wp:inline distT="0" distB="0" distL="0" distR="0" wp14:anchorId="2453F1EC" wp14:editId="4374AB3F">
            <wp:extent cx="4827905" cy="3964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7905" cy="3964940"/>
                    </a:xfrm>
                    <a:prstGeom prst="rect">
                      <a:avLst/>
                    </a:prstGeom>
                    <a:noFill/>
                    <a:ln>
                      <a:noFill/>
                    </a:ln>
                  </pic:spPr>
                </pic:pic>
              </a:graphicData>
            </a:graphic>
          </wp:inline>
        </w:drawing>
      </w:r>
    </w:p>
    <w:p w:rsidR="00CC17FB" w:rsidRDefault="00CC17FB" w:rsidP="00CC17FB">
      <w:pPr>
        <w:pStyle w:val="NoSpacing"/>
        <w:spacing w:line="480" w:lineRule="auto"/>
        <w:jc w:val="center"/>
      </w:pPr>
    </w:p>
    <w:p w:rsidR="00CC17FB" w:rsidRDefault="00CC17FB" w:rsidP="00CC17FB">
      <w:pPr>
        <w:spacing w:line="480" w:lineRule="auto"/>
        <w:ind w:left="720"/>
      </w:pPr>
      <w:r>
        <w:t xml:space="preserve">Figure S-3.  Ordinary least squares linear regression model for data from Laboratory C (n=24; RBA estimated with swine AUC assay; Rees et al. 2009).  The data point labeled </w:t>
      </w:r>
      <w:r w:rsidRPr="00790EA4">
        <w:rPr>
          <w:i/>
        </w:rPr>
        <w:t>outlier</w:t>
      </w:r>
      <w:r>
        <w:t xml:space="preserve"> was not used in fitting the regression model.</w:t>
      </w:r>
    </w:p>
    <w:p w:rsidR="00CC17FB" w:rsidRPr="00AD66C9" w:rsidRDefault="00CC17FB" w:rsidP="00CC17FB">
      <w:pPr>
        <w:pStyle w:val="NoSpacing"/>
        <w:spacing w:line="480" w:lineRule="auto"/>
        <w:jc w:val="center"/>
      </w:pPr>
    </w:p>
    <w:p w:rsidR="00D31FA8" w:rsidRDefault="00D31FA8"/>
    <w:sectPr w:rsidR="00D31FA8" w:rsidSect="004359C6">
      <w:footerReference w:type="default" r:id="rId7"/>
      <w:pgSz w:w="12240" w:h="15840"/>
      <w:pgMar w:top="1440" w:right="720" w:bottom="144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8F" w:rsidRPr="001731C0" w:rsidRDefault="00CC17FB">
    <w:pPr>
      <w:pStyle w:val="Footer"/>
      <w:rPr>
        <w:i/>
        <w:sz w:val="18"/>
        <w:szCs w:val="18"/>
      </w:rPr>
    </w:pPr>
    <w:r>
      <w:rPr>
        <w:i/>
        <w:sz w:val="18"/>
        <w:szCs w:val="18"/>
      </w:rPr>
      <w:t>Diamond et al</w:t>
    </w:r>
    <w:r w:rsidRPr="001731C0">
      <w:rPr>
        <w:i/>
        <w:sz w:val="18"/>
        <w:szCs w:val="18"/>
      </w:rPr>
      <w:ptab w:relativeTo="margin" w:alignment="center" w:leader="none"/>
    </w:r>
    <w:r>
      <w:rPr>
        <w:i/>
        <w:sz w:val="18"/>
        <w:szCs w:val="18"/>
      </w:rPr>
      <w:t>S</w:t>
    </w:r>
    <w:r w:rsidRPr="001731C0">
      <w:rPr>
        <w:i/>
        <w:sz w:val="18"/>
        <w:szCs w:val="18"/>
      </w:rPr>
      <w:fldChar w:fldCharType="begin"/>
    </w:r>
    <w:r w:rsidRPr="001731C0">
      <w:rPr>
        <w:i/>
        <w:sz w:val="18"/>
        <w:szCs w:val="18"/>
      </w:rPr>
      <w:instrText xml:space="preserve"> PAGE   \* MERGEFORMAT </w:instrText>
    </w:r>
    <w:r w:rsidRPr="001731C0">
      <w:rPr>
        <w:i/>
        <w:sz w:val="18"/>
        <w:szCs w:val="18"/>
      </w:rPr>
      <w:fldChar w:fldCharType="separate"/>
    </w:r>
    <w:r>
      <w:rPr>
        <w:i/>
        <w:noProof/>
        <w:sz w:val="18"/>
        <w:szCs w:val="18"/>
      </w:rPr>
      <w:t>1</w:t>
    </w:r>
    <w:r w:rsidRPr="001731C0">
      <w:rPr>
        <w:i/>
        <w:noProof/>
        <w:sz w:val="18"/>
        <w:szCs w:val="18"/>
      </w:rPr>
      <w:fldChar w:fldCharType="end"/>
    </w:r>
    <w:r w:rsidRPr="001731C0">
      <w:rPr>
        <w:i/>
        <w:sz w:val="18"/>
        <w:szCs w:val="18"/>
      </w:rPr>
      <w:ptab w:relativeTo="margin" w:alignment="right" w:leader="none"/>
    </w:r>
    <w:r>
      <w:rPr>
        <w:i/>
        <w:sz w:val="18"/>
        <w:szCs w:val="18"/>
      </w:rPr>
      <w:t>10/14</w:t>
    </w:r>
    <w:r>
      <w:rPr>
        <w:i/>
        <w:sz w:val="18"/>
        <w:szCs w:val="18"/>
      </w:rPr>
      <w:t>/2015</w:t>
    </w:r>
  </w:p>
  <w:p w:rsidR="00F7228F" w:rsidRPr="000F0D1B" w:rsidRDefault="00CC17FB" w:rsidP="004C20C1">
    <w:pPr>
      <w:pStyle w:val="Footer"/>
      <w:tabs>
        <w:tab w:val="left" w:pos="4580"/>
      </w:tabs>
      <w:rPr>
        <w:i/>
      </w:rPr>
    </w:pPr>
    <w:r>
      <w:rPr>
        <w:i/>
      </w:rPr>
      <w:tab/>
    </w:r>
    <w:r>
      <w:rPr>
        <w:i/>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FB"/>
    <w:rsid w:val="00000A03"/>
    <w:rsid w:val="00000D2A"/>
    <w:rsid w:val="00004026"/>
    <w:rsid w:val="000051B1"/>
    <w:rsid w:val="00006847"/>
    <w:rsid w:val="00006FAB"/>
    <w:rsid w:val="00011009"/>
    <w:rsid w:val="00017946"/>
    <w:rsid w:val="0002385A"/>
    <w:rsid w:val="00023A61"/>
    <w:rsid w:val="000303F8"/>
    <w:rsid w:val="000354D5"/>
    <w:rsid w:val="00037DFC"/>
    <w:rsid w:val="000403B9"/>
    <w:rsid w:val="00041861"/>
    <w:rsid w:val="00052C2F"/>
    <w:rsid w:val="00052D58"/>
    <w:rsid w:val="0005702D"/>
    <w:rsid w:val="0005724E"/>
    <w:rsid w:val="00067883"/>
    <w:rsid w:val="00070DBF"/>
    <w:rsid w:val="00080837"/>
    <w:rsid w:val="0008215B"/>
    <w:rsid w:val="0008264B"/>
    <w:rsid w:val="00092A73"/>
    <w:rsid w:val="00095615"/>
    <w:rsid w:val="000B0564"/>
    <w:rsid w:val="000B136D"/>
    <w:rsid w:val="000B1CDC"/>
    <w:rsid w:val="000B1E8B"/>
    <w:rsid w:val="000B2FA2"/>
    <w:rsid w:val="000B34F4"/>
    <w:rsid w:val="000D2808"/>
    <w:rsid w:val="000D5CD8"/>
    <w:rsid w:val="000D7681"/>
    <w:rsid w:val="000D76E9"/>
    <w:rsid w:val="000E015B"/>
    <w:rsid w:val="000E4F10"/>
    <w:rsid w:val="000E6784"/>
    <w:rsid w:val="000F03D8"/>
    <w:rsid w:val="000F0B31"/>
    <w:rsid w:val="000F1C60"/>
    <w:rsid w:val="000F3758"/>
    <w:rsid w:val="00103535"/>
    <w:rsid w:val="0010425F"/>
    <w:rsid w:val="00107989"/>
    <w:rsid w:val="0011279B"/>
    <w:rsid w:val="001129F5"/>
    <w:rsid w:val="001138C0"/>
    <w:rsid w:val="00113B12"/>
    <w:rsid w:val="00113D3F"/>
    <w:rsid w:val="00116AF1"/>
    <w:rsid w:val="00117965"/>
    <w:rsid w:val="00131BB4"/>
    <w:rsid w:val="00140F99"/>
    <w:rsid w:val="00142997"/>
    <w:rsid w:val="00145C22"/>
    <w:rsid w:val="001478C3"/>
    <w:rsid w:val="001551E9"/>
    <w:rsid w:val="001562BE"/>
    <w:rsid w:val="00165334"/>
    <w:rsid w:val="00165A84"/>
    <w:rsid w:val="0017197D"/>
    <w:rsid w:val="001763C2"/>
    <w:rsid w:val="001800D0"/>
    <w:rsid w:val="00181DE0"/>
    <w:rsid w:val="0018446E"/>
    <w:rsid w:val="00194BE6"/>
    <w:rsid w:val="001A0340"/>
    <w:rsid w:val="001A0A98"/>
    <w:rsid w:val="001A1EDA"/>
    <w:rsid w:val="001A4DCA"/>
    <w:rsid w:val="001A6173"/>
    <w:rsid w:val="001A7FF1"/>
    <w:rsid w:val="001B7BEF"/>
    <w:rsid w:val="001D15C7"/>
    <w:rsid w:val="001E1DF0"/>
    <w:rsid w:val="001E3ADC"/>
    <w:rsid w:val="001E7107"/>
    <w:rsid w:val="001F0264"/>
    <w:rsid w:val="001F2560"/>
    <w:rsid w:val="001F2568"/>
    <w:rsid w:val="001F3790"/>
    <w:rsid w:val="001F62B7"/>
    <w:rsid w:val="001F733B"/>
    <w:rsid w:val="002059E2"/>
    <w:rsid w:val="00211DA9"/>
    <w:rsid w:val="00225A15"/>
    <w:rsid w:val="00226275"/>
    <w:rsid w:val="00226F70"/>
    <w:rsid w:val="00235C9F"/>
    <w:rsid w:val="00240BAA"/>
    <w:rsid w:val="00242DF7"/>
    <w:rsid w:val="00252836"/>
    <w:rsid w:val="00253E85"/>
    <w:rsid w:val="00263D22"/>
    <w:rsid w:val="00263E07"/>
    <w:rsid w:val="002647D6"/>
    <w:rsid w:val="002707B1"/>
    <w:rsid w:val="00281385"/>
    <w:rsid w:val="002864EC"/>
    <w:rsid w:val="00286D58"/>
    <w:rsid w:val="002876AC"/>
    <w:rsid w:val="00292EF1"/>
    <w:rsid w:val="00295AD9"/>
    <w:rsid w:val="002A2BDC"/>
    <w:rsid w:val="002A4227"/>
    <w:rsid w:val="002B0356"/>
    <w:rsid w:val="002C55F6"/>
    <w:rsid w:val="002D0D88"/>
    <w:rsid w:val="002D40D2"/>
    <w:rsid w:val="002E1BE6"/>
    <w:rsid w:val="002E580A"/>
    <w:rsid w:val="002E7D02"/>
    <w:rsid w:val="002F18B9"/>
    <w:rsid w:val="002F2EF6"/>
    <w:rsid w:val="002F6DF8"/>
    <w:rsid w:val="00303D0D"/>
    <w:rsid w:val="0031081F"/>
    <w:rsid w:val="00332F0A"/>
    <w:rsid w:val="003336A8"/>
    <w:rsid w:val="00334298"/>
    <w:rsid w:val="00340F64"/>
    <w:rsid w:val="00342EEE"/>
    <w:rsid w:val="00343D6E"/>
    <w:rsid w:val="0035295B"/>
    <w:rsid w:val="003539CD"/>
    <w:rsid w:val="003547F2"/>
    <w:rsid w:val="003569CF"/>
    <w:rsid w:val="00361201"/>
    <w:rsid w:val="00361E26"/>
    <w:rsid w:val="00364E32"/>
    <w:rsid w:val="00365B88"/>
    <w:rsid w:val="003672C9"/>
    <w:rsid w:val="003719B1"/>
    <w:rsid w:val="00373B6B"/>
    <w:rsid w:val="0037606B"/>
    <w:rsid w:val="0037637D"/>
    <w:rsid w:val="00382DEF"/>
    <w:rsid w:val="00385F99"/>
    <w:rsid w:val="00386281"/>
    <w:rsid w:val="0039488F"/>
    <w:rsid w:val="00395C94"/>
    <w:rsid w:val="00396810"/>
    <w:rsid w:val="003A1C68"/>
    <w:rsid w:val="003A2786"/>
    <w:rsid w:val="003C0873"/>
    <w:rsid w:val="003C4DD5"/>
    <w:rsid w:val="003D0D71"/>
    <w:rsid w:val="003D7827"/>
    <w:rsid w:val="003E229A"/>
    <w:rsid w:val="003E3417"/>
    <w:rsid w:val="003E4EDF"/>
    <w:rsid w:val="003E5355"/>
    <w:rsid w:val="003E6F8C"/>
    <w:rsid w:val="003E7139"/>
    <w:rsid w:val="003F31C7"/>
    <w:rsid w:val="0040461D"/>
    <w:rsid w:val="00413297"/>
    <w:rsid w:val="00415646"/>
    <w:rsid w:val="0041592F"/>
    <w:rsid w:val="004161B2"/>
    <w:rsid w:val="00423925"/>
    <w:rsid w:val="004270C8"/>
    <w:rsid w:val="0043494A"/>
    <w:rsid w:val="00436352"/>
    <w:rsid w:val="00436D9B"/>
    <w:rsid w:val="00437740"/>
    <w:rsid w:val="004400AA"/>
    <w:rsid w:val="00440B95"/>
    <w:rsid w:val="00445358"/>
    <w:rsid w:val="00445888"/>
    <w:rsid w:val="004466FC"/>
    <w:rsid w:val="00447BA1"/>
    <w:rsid w:val="00457CDF"/>
    <w:rsid w:val="0046516E"/>
    <w:rsid w:val="00467E4E"/>
    <w:rsid w:val="004804CB"/>
    <w:rsid w:val="0048402A"/>
    <w:rsid w:val="004938F1"/>
    <w:rsid w:val="00494AE0"/>
    <w:rsid w:val="004962CD"/>
    <w:rsid w:val="0049772D"/>
    <w:rsid w:val="004A432B"/>
    <w:rsid w:val="004A6BE0"/>
    <w:rsid w:val="004B3590"/>
    <w:rsid w:val="004C0AD1"/>
    <w:rsid w:val="004C4E67"/>
    <w:rsid w:val="004C5D36"/>
    <w:rsid w:val="004D075E"/>
    <w:rsid w:val="004D1984"/>
    <w:rsid w:val="004D28CB"/>
    <w:rsid w:val="004D2C81"/>
    <w:rsid w:val="004D5D6A"/>
    <w:rsid w:val="004D6C7A"/>
    <w:rsid w:val="004E1EB3"/>
    <w:rsid w:val="004E2508"/>
    <w:rsid w:val="004E3BE7"/>
    <w:rsid w:val="004F2BA1"/>
    <w:rsid w:val="004F403A"/>
    <w:rsid w:val="004F759C"/>
    <w:rsid w:val="00502AE7"/>
    <w:rsid w:val="005050B3"/>
    <w:rsid w:val="005055D1"/>
    <w:rsid w:val="00510AA0"/>
    <w:rsid w:val="00512090"/>
    <w:rsid w:val="00513C09"/>
    <w:rsid w:val="00513FB0"/>
    <w:rsid w:val="00520A08"/>
    <w:rsid w:val="00520DB0"/>
    <w:rsid w:val="005242F5"/>
    <w:rsid w:val="005253A5"/>
    <w:rsid w:val="00531267"/>
    <w:rsid w:val="005356A1"/>
    <w:rsid w:val="00540A15"/>
    <w:rsid w:val="00547347"/>
    <w:rsid w:val="00547DAC"/>
    <w:rsid w:val="00550A45"/>
    <w:rsid w:val="00555414"/>
    <w:rsid w:val="005635A3"/>
    <w:rsid w:val="005657F0"/>
    <w:rsid w:val="00567235"/>
    <w:rsid w:val="00570938"/>
    <w:rsid w:val="0057427D"/>
    <w:rsid w:val="00576636"/>
    <w:rsid w:val="00577773"/>
    <w:rsid w:val="0058393E"/>
    <w:rsid w:val="005842AD"/>
    <w:rsid w:val="005849EE"/>
    <w:rsid w:val="00584CC1"/>
    <w:rsid w:val="00585425"/>
    <w:rsid w:val="0059088E"/>
    <w:rsid w:val="00591403"/>
    <w:rsid w:val="00597321"/>
    <w:rsid w:val="005A2DF3"/>
    <w:rsid w:val="005A504A"/>
    <w:rsid w:val="005A58A3"/>
    <w:rsid w:val="005A6282"/>
    <w:rsid w:val="005A6EA1"/>
    <w:rsid w:val="005B39B3"/>
    <w:rsid w:val="005B7906"/>
    <w:rsid w:val="005D4270"/>
    <w:rsid w:val="005D64F4"/>
    <w:rsid w:val="005E19E6"/>
    <w:rsid w:val="005E1A0F"/>
    <w:rsid w:val="005E2628"/>
    <w:rsid w:val="005E3DE5"/>
    <w:rsid w:val="005E5989"/>
    <w:rsid w:val="005F773B"/>
    <w:rsid w:val="00601300"/>
    <w:rsid w:val="006111DA"/>
    <w:rsid w:val="0061278F"/>
    <w:rsid w:val="00615F6F"/>
    <w:rsid w:val="00622818"/>
    <w:rsid w:val="006335F9"/>
    <w:rsid w:val="006456AE"/>
    <w:rsid w:val="0065051B"/>
    <w:rsid w:val="00654D94"/>
    <w:rsid w:val="006611BC"/>
    <w:rsid w:val="00671AF7"/>
    <w:rsid w:val="0067452A"/>
    <w:rsid w:val="006808E3"/>
    <w:rsid w:val="00681A97"/>
    <w:rsid w:val="00685246"/>
    <w:rsid w:val="00685370"/>
    <w:rsid w:val="00690FAD"/>
    <w:rsid w:val="00692F81"/>
    <w:rsid w:val="006A13BD"/>
    <w:rsid w:val="006A55C2"/>
    <w:rsid w:val="006A608F"/>
    <w:rsid w:val="006B14D5"/>
    <w:rsid w:val="006B3CB3"/>
    <w:rsid w:val="006B4367"/>
    <w:rsid w:val="006C3758"/>
    <w:rsid w:val="006C47DA"/>
    <w:rsid w:val="006C4FA1"/>
    <w:rsid w:val="006C71E0"/>
    <w:rsid w:val="006D1B50"/>
    <w:rsid w:val="006E2A3C"/>
    <w:rsid w:val="006E2B77"/>
    <w:rsid w:val="006E5341"/>
    <w:rsid w:val="006E7E5B"/>
    <w:rsid w:val="006F3B7B"/>
    <w:rsid w:val="006F7E88"/>
    <w:rsid w:val="00701C30"/>
    <w:rsid w:val="007036D4"/>
    <w:rsid w:val="00725230"/>
    <w:rsid w:val="00726A55"/>
    <w:rsid w:val="007336E3"/>
    <w:rsid w:val="00734BC0"/>
    <w:rsid w:val="00735A7C"/>
    <w:rsid w:val="00736B75"/>
    <w:rsid w:val="00737208"/>
    <w:rsid w:val="00743854"/>
    <w:rsid w:val="00744146"/>
    <w:rsid w:val="0075021D"/>
    <w:rsid w:val="00766CE7"/>
    <w:rsid w:val="0076721A"/>
    <w:rsid w:val="00771CF1"/>
    <w:rsid w:val="007727CD"/>
    <w:rsid w:val="0077357A"/>
    <w:rsid w:val="00776181"/>
    <w:rsid w:val="00795BAA"/>
    <w:rsid w:val="0079734A"/>
    <w:rsid w:val="007A2FBD"/>
    <w:rsid w:val="007A3C23"/>
    <w:rsid w:val="007A5D25"/>
    <w:rsid w:val="007B0E66"/>
    <w:rsid w:val="007C1CA4"/>
    <w:rsid w:val="007C2E63"/>
    <w:rsid w:val="007C3572"/>
    <w:rsid w:val="007C41DF"/>
    <w:rsid w:val="007D0752"/>
    <w:rsid w:val="007D266C"/>
    <w:rsid w:val="007D444B"/>
    <w:rsid w:val="007D4456"/>
    <w:rsid w:val="007D6949"/>
    <w:rsid w:val="007E2B0D"/>
    <w:rsid w:val="007E3494"/>
    <w:rsid w:val="007F1B44"/>
    <w:rsid w:val="007F2ADB"/>
    <w:rsid w:val="007F462D"/>
    <w:rsid w:val="007F5755"/>
    <w:rsid w:val="00801C48"/>
    <w:rsid w:val="00805FB0"/>
    <w:rsid w:val="0081039C"/>
    <w:rsid w:val="00822298"/>
    <w:rsid w:val="00822A5D"/>
    <w:rsid w:val="00827295"/>
    <w:rsid w:val="008319CA"/>
    <w:rsid w:val="008335DA"/>
    <w:rsid w:val="00845D56"/>
    <w:rsid w:val="00854634"/>
    <w:rsid w:val="0085669E"/>
    <w:rsid w:val="00862A2F"/>
    <w:rsid w:val="008655ED"/>
    <w:rsid w:val="00871C52"/>
    <w:rsid w:val="00874DAD"/>
    <w:rsid w:val="00877563"/>
    <w:rsid w:val="0088510D"/>
    <w:rsid w:val="008A2828"/>
    <w:rsid w:val="008A43E8"/>
    <w:rsid w:val="008B3DF6"/>
    <w:rsid w:val="008B6A7B"/>
    <w:rsid w:val="008B6B29"/>
    <w:rsid w:val="008C200C"/>
    <w:rsid w:val="008C450F"/>
    <w:rsid w:val="008D03C6"/>
    <w:rsid w:val="008D114A"/>
    <w:rsid w:val="008D1310"/>
    <w:rsid w:val="008D1DF4"/>
    <w:rsid w:val="008D5092"/>
    <w:rsid w:val="008E10AF"/>
    <w:rsid w:val="008E3450"/>
    <w:rsid w:val="008F2038"/>
    <w:rsid w:val="008F246E"/>
    <w:rsid w:val="008F74D1"/>
    <w:rsid w:val="00900333"/>
    <w:rsid w:val="00903300"/>
    <w:rsid w:val="00904167"/>
    <w:rsid w:val="00906B17"/>
    <w:rsid w:val="0091594B"/>
    <w:rsid w:val="00916B1A"/>
    <w:rsid w:val="00920AFD"/>
    <w:rsid w:val="0092279E"/>
    <w:rsid w:val="00927F8C"/>
    <w:rsid w:val="0093204F"/>
    <w:rsid w:val="009356F2"/>
    <w:rsid w:val="00935804"/>
    <w:rsid w:val="00937ECF"/>
    <w:rsid w:val="0094373B"/>
    <w:rsid w:val="00943B7E"/>
    <w:rsid w:val="0094433C"/>
    <w:rsid w:val="00950298"/>
    <w:rsid w:val="00952D00"/>
    <w:rsid w:val="00972F0E"/>
    <w:rsid w:val="0097306D"/>
    <w:rsid w:val="009745D5"/>
    <w:rsid w:val="0097668E"/>
    <w:rsid w:val="00983AE5"/>
    <w:rsid w:val="009854A6"/>
    <w:rsid w:val="00985A05"/>
    <w:rsid w:val="009901AF"/>
    <w:rsid w:val="00992228"/>
    <w:rsid w:val="00994501"/>
    <w:rsid w:val="009959CC"/>
    <w:rsid w:val="00995C3D"/>
    <w:rsid w:val="009A1D3F"/>
    <w:rsid w:val="009A5981"/>
    <w:rsid w:val="009A5F33"/>
    <w:rsid w:val="009A75C0"/>
    <w:rsid w:val="009B0FCA"/>
    <w:rsid w:val="009B3103"/>
    <w:rsid w:val="009B5DDE"/>
    <w:rsid w:val="009C309E"/>
    <w:rsid w:val="009D194D"/>
    <w:rsid w:val="009F3B2D"/>
    <w:rsid w:val="00A00E4A"/>
    <w:rsid w:val="00A01394"/>
    <w:rsid w:val="00A10DD9"/>
    <w:rsid w:val="00A14AC8"/>
    <w:rsid w:val="00A20294"/>
    <w:rsid w:val="00A21FB4"/>
    <w:rsid w:val="00A330E5"/>
    <w:rsid w:val="00A44786"/>
    <w:rsid w:val="00A45323"/>
    <w:rsid w:val="00A51625"/>
    <w:rsid w:val="00A53E66"/>
    <w:rsid w:val="00A54147"/>
    <w:rsid w:val="00A556B3"/>
    <w:rsid w:val="00A55E89"/>
    <w:rsid w:val="00A57D6E"/>
    <w:rsid w:val="00A624F9"/>
    <w:rsid w:val="00A62FDA"/>
    <w:rsid w:val="00A63C74"/>
    <w:rsid w:val="00A6442B"/>
    <w:rsid w:val="00A760B4"/>
    <w:rsid w:val="00A7620B"/>
    <w:rsid w:val="00A76959"/>
    <w:rsid w:val="00A76FFA"/>
    <w:rsid w:val="00A8506B"/>
    <w:rsid w:val="00A861AE"/>
    <w:rsid w:val="00A912D4"/>
    <w:rsid w:val="00A9425C"/>
    <w:rsid w:val="00A95345"/>
    <w:rsid w:val="00A95FFC"/>
    <w:rsid w:val="00AA0D38"/>
    <w:rsid w:val="00AA667A"/>
    <w:rsid w:val="00AB3683"/>
    <w:rsid w:val="00AB3E5F"/>
    <w:rsid w:val="00AB44EE"/>
    <w:rsid w:val="00AB57D0"/>
    <w:rsid w:val="00AB718E"/>
    <w:rsid w:val="00AB74E0"/>
    <w:rsid w:val="00AC3CEA"/>
    <w:rsid w:val="00AC4575"/>
    <w:rsid w:val="00AC6AAE"/>
    <w:rsid w:val="00AD0C33"/>
    <w:rsid w:val="00AD1A6C"/>
    <w:rsid w:val="00AD4DCA"/>
    <w:rsid w:val="00AE38DB"/>
    <w:rsid w:val="00AE3AB6"/>
    <w:rsid w:val="00AF14F4"/>
    <w:rsid w:val="00AF6594"/>
    <w:rsid w:val="00AF7A9A"/>
    <w:rsid w:val="00B07361"/>
    <w:rsid w:val="00B07747"/>
    <w:rsid w:val="00B1708A"/>
    <w:rsid w:val="00B172D9"/>
    <w:rsid w:val="00B20ED5"/>
    <w:rsid w:val="00B228B5"/>
    <w:rsid w:val="00B23AD7"/>
    <w:rsid w:val="00B23BC0"/>
    <w:rsid w:val="00B25A3E"/>
    <w:rsid w:val="00B26EB4"/>
    <w:rsid w:val="00B27267"/>
    <w:rsid w:val="00B34772"/>
    <w:rsid w:val="00B36121"/>
    <w:rsid w:val="00B37083"/>
    <w:rsid w:val="00B40F20"/>
    <w:rsid w:val="00B41A17"/>
    <w:rsid w:val="00B42C4A"/>
    <w:rsid w:val="00B43127"/>
    <w:rsid w:val="00B50497"/>
    <w:rsid w:val="00B52424"/>
    <w:rsid w:val="00B57C03"/>
    <w:rsid w:val="00B71771"/>
    <w:rsid w:val="00B71FB4"/>
    <w:rsid w:val="00B77861"/>
    <w:rsid w:val="00B81C5F"/>
    <w:rsid w:val="00B8413E"/>
    <w:rsid w:val="00B84290"/>
    <w:rsid w:val="00B861D8"/>
    <w:rsid w:val="00B86DBE"/>
    <w:rsid w:val="00B91EB9"/>
    <w:rsid w:val="00B93B06"/>
    <w:rsid w:val="00B9584A"/>
    <w:rsid w:val="00BA077F"/>
    <w:rsid w:val="00BA2883"/>
    <w:rsid w:val="00BA398E"/>
    <w:rsid w:val="00BA4AA9"/>
    <w:rsid w:val="00BB10E6"/>
    <w:rsid w:val="00BB1343"/>
    <w:rsid w:val="00BB3A93"/>
    <w:rsid w:val="00BB4656"/>
    <w:rsid w:val="00BB6614"/>
    <w:rsid w:val="00BB7C7D"/>
    <w:rsid w:val="00BC12EA"/>
    <w:rsid w:val="00BC2CA3"/>
    <w:rsid w:val="00BC540E"/>
    <w:rsid w:val="00BC5CF7"/>
    <w:rsid w:val="00BC79E8"/>
    <w:rsid w:val="00BC7B36"/>
    <w:rsid w:val="00BD3BD3"/>
    <w:rsid w:val="00BD3E31"/>
    <w:rsid w:val="00BD6752"/>
    <w:rsid w:val="00BD6A87"/>
    <w:rsid w:val="00BE0153"/>
    <w:rsid w:val="00BE10BA"/>
    <w:rsid w:val="00BE48FE"/>
    <w:rsid w:val="00BE65F5"/>
    <w:rsid w:val="00BF16C6"/>
    <w:rsid w:val="00BF18EA"/>
    <w:rsid w:val="00BF295F"/>
    <w:rsid w:val="00BF77D8"/>
    <w:rsid w:val="00BF79F6"/>
    <w:rsid w:val="00C018D9"/>
    <w:rsid w:val="00C03E4F"/>
    <w:rsid w:val="00C12D6B"/>
    <w:rsid w:val="00C1574A"/>
    <w:rsid w:val="00C17645"/>
    <w:rsid w:val="00C20C87"/>
    <w:rsid w:val="00C24C29"/>
    <w:rsid w:val="00C27D9C"/>
    <w:rsid w:val="00C32C18"/>
    <w:rsid w:val="00C375EF"/>
    <w:rsid w:val="00C41ED2"/>
    <w:rsid w:val="00C50F68"/>
    <w:rsid w:val="00C57897"/>
    <w:rsid w:val="00C60B0D"/>
    <w:rsid w:val="00C61A17"/>
    <w:rsid w:val="00C66E1A"/>
    <w:rsid w:val="00C72700"/>
    <w:rsid w:val="00C72A6C"/>
    <w:rsid w:val="00C7623F"/>
    <w:rsid w:val="00C77CA0"/>
    <w:rsid w:val="00C84083"/>
    <w:rsid w:val="00C85925"/>
    <w:rsid w:val="00C87DE8"/>
    <w:rsid w:val="00C90E28"/>
    <w:rsid w:val="00C91BAB"/>
    <w:rsid w:val="00C9230D"/>
    <w:rsid w:val="00C95A77"/>
    <w:rsid w:val="00CA39AD"/>
    <w:rsid w:val="00CA41C2"/>
    <w:rsid w:val="00CB1871"/>
    <w:rsid w:val="00CB33BC"/>
    <w:rsid w:val="00CB624D"/>
    <w:rsid w:val="00CC032C"/>
    <w:rsid w:val="00CC1551"/>
    <w:rsid w:val="00CC17FB"/>
    <w:rsid w:val="00CD351E"/>
    <w:rsid w:val="00CD41DD"/>
    <w:rsid w:val="00CD49FA"/>
    <w:rsid w:val="00CD526D"/>
    <w:rsid w:val="00CE3CC1"/>
    <w:rsid w:val="00CE4D69"/>
    <w:rsid w:val="00CE50DA"/>
    <w:rsid w:val="00CE75D9"/>
    <w:rsid w:val="00CE7EAA"/>
    <w:rsid w:val="00CF199D"/>
    <w:rsid w:val="00CF2B8B"/>
    <w:rsid w:val="00D05AF4"/>
    <w:rsid w:val="00D10D92"/>
    <w:rsid w:val="00D110D6"/>
    <w:rsid w:val="00D167A9"/>
    <w:rsid w:val="00D17291"/>
    <w:rsid w:val="00D20EBA"/>
    <w:rsid w:val="00D2389E"/>
    <w:rsid w:val="00D31FA8"/>
    <w:rsid w:val="00D43135"/>
    <w:rsid w:val="00D44392"/>
    <w:rsid w:val="00D54A1B"/>
    <w:rsid w:val="00D60381"/>
    <w:rsid w:val="00D80C68"/>
    <w:rsid w:val="00D819DB"/>
    <w:rsid w:val="00D87689"/>
    <w:rsid w:val="00D919F4"/>
    <w:rsid w:val="00D92F1A"/>
    <w:rsid w:val="00D95909"/>
    <w:rsid w:val="00D966F9"/>
    <w:rsid w:val="00DA2A2A"/>
    <w:rsid w:val="00DB0600"/>
    <w:rsid w:val="00DB64B0"/>
    <w:rsid w:val="00DC1EF4"/>
    <w:rsid w:val="00DC310B"/>
    <w:rsid w:val="00DC391D"/>
    <w:rsid w:val="00DC443C"/>
    <w:rsid w:val="00DC477F"/>
    <w:rsid w:val="00DC4A22"/>
    <w:rsid w:val="00DC6909"/>
    <w:rsid w:val="00DC695F"/>
    <w:rsid w:val="00DC6C63"/>
    <w:rsid w:val="00DD2696"/>
    <w:rsid w:val="00DD6021"/>
    <w:rsid w:val="00DD639A"/>
    <w:rsid w:val="00DE2A19"/>
    <w:rsid w:val="00E016BC"/>
    <w:rsid w:val="00E26218"/>
    <w:rsid w:val="00E33793"/>
    <w:rsid w:val="00E40494"/>
    <w:rsid w:val="00E43753"/>
    <w:rsid w:val="00E46DE9"/>
    <w:rsid w:val="00E51C65"/>
    <w:rsid w:val="00E5505A"/>
    <w:rsid w:val="00E57055"/>
    <w:rsid w:val="00E60979"/>
    <w:rsid w:val="00E625C4"/>
    <w:rsid w:val="00E63556"/>
    <w:rsid w:val="00E655FC"/>
    <w:rsid w:val="00E67766"/>
    <w:rsid w:val="00E72B1E"/>
    <w:rsid w:val="00E746C9"/>
    <w:rsid w:val="00E7586E"/>
    <w:rsid w:val="00E87507"/>
    <w:rsid w:val="00E94699"/>
    <w:rsid w:val="00E96220"/>
    <w:rsid w:val="00EA2141"/>
    <w:rsid w:val="00EB1F32"/>
    <w:rsid w:val="00EB5498"/>
    <w:rsid w:val="00EB721A"/>
    <w:rsid w:val="00EC224A"/>
    <w:rsid w:val="00EC2504"/>
    <w:rsid w:val="00EC7ACE"/>
    <w:rsid w:val="00ED759C"/>
    <w:rsid w:val="00EE5AEC"/>
    <w:rsid w:val="00EF0BDD"/>
    <w:rsid w:val="00EF1589"/>
    <w:rsid w:val="00EF5F71"/>
    <w:rsid w:val="00F00797"/>
    <w:rsid w:val="00F01DF1"/>
    <w:rsid w:val="00F0206A"/>
    <w:rsid w:val="00F155EF"/>
    <w:rsid w:val="00F173F7"/>
    <w:rsid w:val="00F20A66"/>
    <w:rsid w:val="00F26C1D"/>
    <w:rsid w:val="00F30D20"/>
    <w:rsid w:val="00F33B6F"/>
    <w:rsid w:val="00F43924"/>
    <w:rsid w:val="00F5115E"/>
    <w:rsid w:val="00F51727"/>
    <w:rsid w:val="00F52B08"/>
    <w:rsid w:val="00F73CEA"/>
    <w:rsid w:val="00F74A71"/>
    <w:rsid w:val="00F76ADC"/>
    <w:rsid w:val="00F8327F"/>
    <w:rsid w:val="00F83CD2"/>
    <w:rsid w:val="00F86D21"/>
    <w:rsid w:val="00F9778A"/>
    <w:rsid w:val="00FA1B0A"/>
    <w:rsid w:val="00FC2FB7"/>
    <w:rsid w:val="00FC752C"/>
    <w:rsid w:val="00FC7707"/>
    <w:rsid w:val="00FD0624"/>
    <w:rsid w:val="00FD177B"/>
    <w:rsid w:val="00FD1864"/>
    <w:rsid w:val="00FD3831"/>
    <w:rsid w:val="00FD48B4"/>
    <w:rsid w:val="00FD5774"/>
    <w:rsid w:val="00FD6250"/>
    <w:rsid w:val="00FD6BA6"/>
    <w:rsid w:val="00FD7330"/>
    <w:rsid w:val="00FD77F2"/>
    <w:rsid w:val="00FE61F8"/>
    <w:rsid w:val="00FF237D"/>
    <w:rsid w:val="00FF2869"/>
    <w:rsid w:val="00FF4952"/>
    <w:rsid w:val="00FF55E8"/>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2F6F5-5D6E-485A-8368-444D5180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C17FB"/>
    <w:pPr>
      <w:spacing w:after="0" w:line="360"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autoRedefine/>
    <w:qFormat/>
    <w:rsid w:val="00513C09"/>
  </w:style>
  <w:style w:type="character" w:customStyle="1" w:styleId="FootnoteChar">
    <w:name w:val="Footnote Char"/>
    <w:basedOn w:val="FootnoteTextChar"/>
    <w:link w:val="Footnote"/>
    <w:rsid w:val="00513C09"/>
    <w:rPr>
      <w:rFonts w:ascii="Times New Roman" w:hAnsi="Times New Roman"/>
      <w:sz w:val="20"/>
      <w:szCs w:val="20"/>
    </w:rPr>
  </w:style>
  <w:style w:type="paragraph" w:styleId="FootnoteText">
    <w:name w:val="footnote text"/>
    <w:basedOn w:val="Normal"/>
    <w:link w:val="FootnoteTextChar"/>
    <w:uiPriority w:val="99"/>
    <w:semiHidden/>
    <w:unhideWhenUsed/>
    <w:rsid w:val="00513C09"/>
    <w:pPr>
      <w:spacing w:line="240" w:lineRule="auto"/>
    </w:pPr>
    <w:rPr>
      <w:sz w:val="20"/>
    </w:rPr>
  </w:style>
  <w:style w:type="character" w:customStyle="1" w:styleId="FootnoteTextChar">
    <w:name w:val="Footnote Text Char"/>
    <w:basedOn w:val="DefaultParagraphFont"/>
    <w:link w:val="FootnoteText"/>
    <w:uiPriority w:val="99"/>
    <w:semiHidden/>
    <w:rsid w:val="00513C09"/>
    <w:rPr>
      <w:sz w:val="20"/>
      <w:szCs w:val="20"/>
    </w:rPr>
  </w:style>
  <w:style w:type="paragraph" w:styleId="NoSpacing">
    <w:name w:val="No Spacing"/>
    <w:uiPriority w:val="1"/>
    <w:qFormat/>
    <w:rsid w:val="00CC17FB"/>
    <w:pPr>
      <w:spacing w:after="0" w:line="240" w:lineRule="auto"/>
    </w:pPr>
    <w:rPr>
      <w:rFonts w:eastAsia="Calibri" w:cs="Times New Roman"/>
      <w:szCs w:val="22"/>
    </w:rPr>
  </w:style>
  <w:style w:type="paragraph" w:styleId="Footer">
    <w:name w:val="footer"/>
    <w:basedOn w:val="Normal"/>
    <w:link w:val="FooterChar"/>
    <w:uiPriority w:val="99"/>
    <w:unhideWhenUsed/>
    <w:rsid w:val="00CC17FB"/>
    <w:pPr>
      <w:tabs>
        <w:tab w:val="center" w:pos="4680"/>
        <w:tab w:val="right" w:pos="9360"/>
      </w:tabs>
    </w:pPr>
    <w:rPr>
      <w:szCs w:val="20"/>
    </w:rPr>
  </w:style>
  <w:style w:type="character" w:customStyle="1" w:styleId="FooterChar">
    <w:name w:val="Footer Char"/>
    <w:basedOn w:val="DefaultParagraphFont"/>
    <w:link w:val="Footer"/>
    <w:uiPriority w:val="99"/>
    <w:rsid w:val="00CC17F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1814</Words>
  <Characters>10345</Characters>
  <Application>Microsoft Office Word</Application>
  <DocSecurity>0</DocSecurity>
  <Lines>86</Lines>
  <Paragraphs>24</Paragraphs>
  <ScaleCrop>false</ScaleCrop>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Howell</dc:creator>
  <cp:keywords/>
  <dc:description/>
  <cp:lastModifiedBy>Ted Howell</cp:lastModifiedBy>
  <cp:revision>1</cp:revision>
  <dcterms:created xsi:type="dcterms:W3CDTF">2015-12-17T03:16:00Z</dcterms:created>
  <dcterms:modified xsi:type="dcterms:W3CDTF">2015-12-17T03:18:00Z</dcterms:modified>
</cp:coreProperties>
</file>