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FA2" w:rsidRPr="009B3FA2" w:rsidRDefault="005416CB" w:rsidP="009B3FA2">
      <w:pPr>
        <w:pStyle w:val="Heading1"/>
      </w:pPr>
      <w:r w:rsidRPr="005416CB">
        <w:rPr>
          <w:rFonts w:cs="Times New Roman"/>
          <w:bCs w:val="0"/>
          <w:kern w:val="0"/>
          <w:sz w:val="28"/>
          <w:szCs w:val="24"/>
        </w:rPr>
        <w:t xml:space="preserve">Testing nano-silver food </w:t>
      </w:r>
      <w:r w:rsidR="00327C62">
        <w:rPr>
          <w:rFonts w:cs="Times New Roman"/>
          <w:bCs w:val="0"/>
          <w:kern w:val="0"/>
          <w:sz w:val="28"/>
          <w:szCs w:val="24"/>
        </w:rPr>
        <w:t>packaging</w:t>
      </w:r>
      <w:r w:rsidRPr="005416CB">
        <w:rPr>
          <w:rFonts w:cs="Times New Roman"/>
          <w:bCs w:val="0"/>
          <w:kern w:val="0"/>
          <w:sz w:val="28"/>
          <w:szCs w:val="24"/>
        </w:rPr>
        <w:t xml:space="preserve"> to evaluate silver migration and food spoilage bacteria on chicken meat </w:t>
      </w:r>
      <w:r w:rsidR="009B3FA2" w:rsidRPr="009B3FA2">
        <w:t>Supplementary Data</w:t>
      </w:r>
    </w:p>
    <w:p w:rsidR="009B3FA2" w:rsidRPr="009B3FA2" w:rsidRDefault="009B3FA2" w:rsidP="009B3FA2">
      <w:pPr>
        <w:pStyle w:val="Heading2"/>
      </w:pPr>
      <w:r w:rsidRPr="009B3FA2">
        <w:t xml:space="preserve">Silver Nanoparticle size distribution by Transmission Electron Microscopy: </w:t>
      </w:r>
    </w:p>
    <w:p w:rsidR="009B3FA2" w:rsidRDefault="009B3FA2" w:rsidP="009B3FA2">
      <w:pPr>
        <w:pStyle w:val="Paragraph"/>
      </w:pPr>
      <w:r w:rsidRPr="0062057E">
        <w:t xml:space="preserve">6 µL of </w:t>
      </w:r>
      <w:r w:rsidR="000305F7">
        <w:t>water dispersion of s</w:t>
      </w:r>
      <w:r>
        <w:t xml:space="preserve">ilver nanoparticles (dispersion nanoparticles, 20 nm particle size, 0.02 mg/mL in aqueous buffer, contains sodium citrate as stabilizer) </w:t>
      </w:r>
      <w:r w:rsidRPr="0062057E">
        <w:t>(Sigma-Aldrich® St Louis, MO, USA) was deposited on carbon coated 400 mesh copper grids. After one minute, the suspension was removed by filter paper and the grid was left to dry overnight. The sample was imaged with Fei Tecnai 12 G2 transmission electron microscope equipped with tungsten filament and operated at 120 kV. Images were recorded on a side-mounted Olympus Morada CCD at instrumental magnifications rangi</w:t>
      </w:r>
      <w:r w:rsidR="000305F7">
        <w:t>ng from 135000 to 360000×. A total of 769 i</w:t>
      </w:r>
      <w:r w:rsidR="000305F7" w:rsidRPr="0062057E">
        <w:t>ndividual particle</w:t>
      </w:r>
      <w:r w:rsidR="000305F7">
        <w:t>s</w:t>
      </w:r>
      <w:r w:rsidR="000305F7" w:rsidRPr="0062057E">
        <w:t xml:space="preserve"> </w:t>
      </w:r>
      <w:r w:rsidRPr="0062057E">
        <w:t>were manually selected from 23 representative micrographs and the distribution of their area-equivalent circular diameters (ECD) was calculated. Fi</w:t>
      </w:r>
      <w:r>
        <w:t>nal particle size distribution</w:t>
      </w:r>
      <w:r w:rsidRPr="0062057E">
        <w:t xml:space="preserve"> was obtained by log-normal fit to ECD.</w:t>
      </w:r>
      <w:r>
        <w:t xml:space="preserve"> AgNPs particle size distribution (obtained from </w:t>
      </w:r>
      <w:r w:rsidR="000305F7">
        <w:t xml:space="preserve">these </w:t>
      </w:r>
      <w:r>
        <w:t>769 particles) showed the presence of a single population, with median (± MAD) diameter of 17 nm (± 2 nm) and with first and third quartiles at 15 nm and 20 nm respectively (</w:t>
      </w:r>
      <w:r w:rsidRPr="0062057E">
        <w:t xml:space="preserve">Figure </w:t>
      </w:r>
      <w:r>
        <w:t>S-</w:t>
      </w:r>
      <w:r w:rsidRPr="0062057E">
        <w:t>1</w:t>
      </w:r>
      <w:r>
        <w:t>).</w:t>
      </w:r>
    </w:p>
    <w:p w:rsidR="009B3FA2" w:rsidRPr="00561107" w:rsidRDefault="009B3FA2" w:rsidP="009B3FA2">
      <w:pPr>
        <w:pStyle w:val="Heading2"/>
      </w:pPr>
      <w:r w:rsidRPr="00561107">
        <w:t>Atomic Absorption Spectrometer (AAS)</w:t>
      </w:r>
    </w:p>
    <w:p w:rsidR="009B3FA2" w:rsidRDefault="009B3FA2" w:rsidP="009B3FA2">
      <w:pPr>
        <w:pStyle w:val="Paragraph"/>
      </w:pPr>
      <w:r w:rsidRPr="00503AEF">
        <w:rPr>
          <w:rFonts w:eastAsia="Calibri"/>
        </w:rPr>
        <w:t>Silver quantification was performed on an Electrothermal (ETAAS) using an M6 mkII Atomic Absorption Spectrometer (Thermo Electron, Cambridge, UK) with D2 and Zeeman background correction, equipped with a GF95 Graphite Furnace atomizer</w:t>
      </w:r>
      <w:r>
        <w:rPr>
          <w:rFonts w:eastAsia="Calibri"/>
        </w:rPr>
        <w:t xml:space="preserve"> (GFAAS)</w:t>
      </w:r>
      <w:r w:rsidRPr="00503AEF">
        <w:rPr>
          <w:rFonts w:eastAsia="Calibri"/>
        </w:rPr>
        <w:t>.  Analytical conditions are reported in</w:t>
      </w:r>
      <w:r>
        <w:rPr>
          <w:rFonts w:eastAsia="Calibri"/>
        </w:rPr>
        <w:t xml:space="preserve"> Supplementary </w:t>
      </w:r>
      <w:r w:rsidRPr="00503AEF">
        <w:rPr>
          <w:rFonts w:eastAsia="Calibri"/>
        </w:rPr>
        <w:t xml:space="preserve"> tables </w:t>
      </w:r>
      <w:r>
        <w:rPr>
          <w:rFonts w:eastAsia="Calibri"/>
        </w:rPr>
        <w:t>S-1</w:t>
      </w:r>
      <w:r w:rsidRPr="00503AEF">
        <w:rPr>
          <w:rFonts w:eastAsia="Calibri"/>
        </w:rPr>
        <w:t xml:space="preserve"> and </w:t>
      </w:r>
      <w:r>
        <w:rPr>
          <w:rFonts w:eastAsia="Calibri"/>
        </w:rPr>
        <w:t>S-2</w:t>
      </w:r>
      <w:r w:rsidRPr="00503AEF">
        <w:rPr>
          <w:rFonts w:eastAsia="Calibri"/>
        </w:rPr>
        <w:t xml:space="preserve">. Calibration solutions were prepared within  the range of </w:t>
      </w:r>
      <w:r>
        <w:rPr>
          <w:rFonts w:eastAsia="Calibri"/>
        </w:rPr>
        <w:t>0.3-2.4 µ</w:t>
      </w:r>
      <w:r w:rsidRPr="00503AEF">
        <w:rPr>
          <w:rFonts w:eastAsia="Calibri"/>
        </w:rPr>
        <w:t xml:space="preserve">g </w:t>
      </w:r>
      <w:r w:rsidR="000305F7">
        <w:rPr>
          <w:rFonts w:eastAsia="Calibri"/>
        </w:rPr>
        <w:t>k</w:t>
      </w:r>
      <w:r w:rsidRPr="00503AEF">
        <w:rPr>
          <w:rFonts w:eastAsia="Calibri"/>
        </w:rPr>
        <w:t>g</w:t>
      </w:r>
      <w:r w:rsidRPr="00FE64C5">
        <w:rPr>
          <w:rFonts w:eastAsia="Calibri"/>
          <w:vertAlign w:val="superscript"/>
        </w:rPr>
        <w:t>-1</w:t>
      </w:r>
      <w:r w:rsidRPr="00503AEF">
        <w:rPr>
          <w:rFonts w:eastAsia="Calibri"/>
        </w:rPr>
        <w:t xml:space="preserve"> </w:t>
      </w:r>
      <w:r>
        <w:rPr>
          <w:rFonts w:eastAsia="Calibri"/>
        </w:rPr>
        <w:t xml:space="preserve">(corresponding </w:t>
      </w:r>
      <w:r>
        <w:rPr>
          <w:rFonts w:eastAsia="Calibri"/>
        </w:rPr>
        <w:lastRenderedPageBreak/>
        <w:t xml:space="preserve">to </w:t>
      </w:r>
      <w:r w:rsidRPr="00503AEF">
        <w:rPr>
          <w:rFonts w:eastAsia="Calibri"/>
        </w:rPr>
        <w:t xml:space="preserve">15- 120 </w:t>
      </w:r>
      <w:r>
        <w:rPr>
          <w:rFonts w:eastAsia="Calibri"/>
        </w:rPr>
        <w:t>µ</w:t>
      </w:r>
      <w:r w:rsidRPr="00503AEF">
        <w:rPr>
          <w:rFonts w:eastAsia="Calibri"/>
        </w:rPr>
        <w:t xml:space="preserve">g </w:t>
      </w:r>
      <w:r w:rsidR="00327C62">
        <w:rPr>
          <w:rFonts w:eastAsia="Calibri"/>
        </w:rPr>
        <w:t>k</w:t>
      </w:r>
      <w:r w:rsidRPr="00503AEF">
        <w:rPr>
          <w:rFonts w:eastAsia="Calibri"/>
        </w:rPr>
        <w:t>g</w:t>
      </w:r>
      <w:r w:rsidRPr="00FE64C5">
        <w:rPr>
          <w:rFonts w:eastAsia="Calibri"/>
          <w:vertAlign w:val="superscript"/>
        </w:rPr>
        <w:t>-1</w:t>
      </w:r>
      <w:r w:rsidRPr="00503AEF">
        <w:rPr>
          <w:rFonts w:eastAsia="Calibri"/>
        </w:rPr>
        <w:t xml:space="preserve"> </w:t>
      </w:r>
      <w:r>
        <w:rPr>
          <w:rFonts w:eastAsia="Calibri"/>
        </w:rPr>
        <w:t xml:space="preserve">in sample) </w:t>
      </w:r>
      <w:r w:rsidRPr="00503AEF">
        <w:rPr>
          <w:rFonts w:eastAsia="Calibri"/>
        </w:rPr>
        <w:t>by dilution of a Silver Nitrate (AgNO</w:t>
      </w:r>
      <w:r w:rsidRPr="00503AEF">
        <w:rPr>
          <w:rFonts w:eastAsia="Calibri"/>
          <w:vertAlign w:val="subscript"/>
        </w:rPr>
        <w:t>3</w:t>
      </w:r>
      <w:r w:rsidRPr="00503AEF">
        <w:rPr>
          <w:rFonts w:eastAsia="Calibri"/>
        </w:rPr>
        <w:t>) stock solution 1000 mg L</w:t>
      </w:r>
      <w:r w:rsidRPr="00FE64C5">
        <w:rPr>
          <w:rFonts w:eastAsia="Calibri"/>
          <w:vertAlign w:val="superscript"/>
        </w:rPr>
        <w:t>-1</w:t>
      </w:r>
      <w:r w:rsidRPr="00503AEF">
        <w:rPr>
          <w:rFonts w:eastAsia="Calibri"/>
        </w:rPr>
        <w:t xml:space="preserve"> (</w:t>
      </w:r>
      <w:r w:rsidRPr="00753458">
        <w:t>Ultra Scientific</w:t>
      </w:r>
      <w:r w:rsidRPr="00097302">
        <w:rPr>
          <w:b/>
        </w:rPr>
        <w:t xml:space="preserve"> </w:t>
      </w:r>
      <w:r w:rsidRPr="00503AEF">
        <w:t>North Kingstown, RI, USA).</w:t>
      </w:r>
      <w:r>
        <w:t xml:space="preserve"> </w:t>
      </w:r>
    </w:p>
    <w:p w:rsidR="009B3FA2" w:rsidRPr="00561107" w:rsidRDefault="009B3FA2" w:rsidP="009B3FA2">
      <w:pPr>
        <w:pStyle w:val="Heading2"/>
      </w:pPr>
      <w:r w:rsidRPr="00561107">
        <w:t>Inductively Coupled Plasma Mass Spectrometer (ICP-MS)</w:t>
      </w:r>
    </w:p>
    <w:p w:rsidR="009B3FA2" w:rsidRPr="00ED3B85" w:rsidRDefault="009B3FA2" w:rsidP="009B3FA2">
      <w:pPr>
        <w:pStyle w:val="Paragraph"/>
        <w:rPr>
          <w:rFonts w:eastAsia="Calibri"/>
        </w:rPr>
      </w:pPr>
      <w:r w:rsidRPr="00ED3B85">
        <w:rPr>
          <w:rFonts w:eastAsia="Calibri"/>
        </w:rPr>
        <w:t xml:space="preserve">Silver </w:t>
      </w:r>
      <w:r>
        <w:rPr>
          <w:rFonts w:eastAsia="Calibri"/>
        </w:rPr>
        <w:t xml:space="preserve">quantification was performed on a </w:t>
      </w:r>
      <w:r w:rsidRPr="00ED3B85">
        <w:rPr>
          <w:rFonts w:eastAsia="Calibri"/>
        </w:rPr>
        <w:t>ICP-MS</w:t>
      </w:r>
      <w:r>
        <w:rPr>
          <w:rFonts w:eastAsia="Calibri"/>
        </w:rPr>
        <w:t xml:space="preserve"> (</w:t>
      </w:r>
      <w:r w:rsidRPr="00ED3B85">
        <w:rPr>
          <w:rFonts w:eastAsia="Calibri"/>
        </w:rPr>
        <w:t xml:space="preserve">NexION 300D, Perkin Elmer) used in standard mode, as Ag is not affected by severe polyatomic interferences. Samples were introduced in the ICP-MS by a quartz cyclonic spray chamber (Perkin Elmer), a concentric quartz nebulizer (Type A0.5, Meinhard) and a quartz torch and injector (Perkin Elmer); instrumental parameters were daily optimized by following an autotune procedure. The final operating conditions are reported in table </w:t>
      </w:r>
      <w:r>
        <w:rPr>
          <w:rFonts w:eastAsia="Calibri"/>
        </w:rPr>
        <w:t>S-3</w:t>
      </w:r>
      <w:r w:rsidRPr="00ED3B85">
        <w:rPr>
          <w:rFonts w:eastAsia="Calibri"/>
        </w:rPr>
        <w:t>.</w:t>
      </w:r>
    </w:p>
    <w:p w:rsidR="009B3FA2" w:rsidRDefault="009B3FA2" w:rsidP="009B3FA2">
      <w:pPr>
        <w:pStyle w:val="Paragraph"/>
        <w:rPr>
          <w:rFonts w:eastAsia="Calibri"/>
        </w:rPr>
      </w:pPr>
      <w:r w:rsidRPr="00ED3B85">
        <w:rPr>
          <w:rFonts w:eastAsia="Calibri"/>
        </w:rPr>
        <w:t>The analys</w:t>
      </w:r>
      <w:r>
        <w:rPr>
          <w:rFonts w:eastAsia="Calibri"/>
        </w:rPr>
        <w:t>es</w:t>
      </w:r>
      <w:r w:rsidRPr="00ED3B85">
        <w:rPr>
          <w:rFonts w:eastAsia="Calibri"/>
        </w:rPr>
        <w:t xml:space="preserve"> were carried out with internal standard correction to compensate for instrumental drift: the internal standard solution (10 </w:t>
      </w:r>
      <w:r w:rsidR="00327C62">
        <w:rPr>
          <w:rFonts w:eastAsia="Calibri"/>
        </w:rPr>
        <w:t>µg k</w:t>
      </w:r>
      <w:r w:rsidRPr="00ED3B85">
        <w:rPr>
          <w:rFonts w:eastAsia="Calibri"/>
        </w:rPr>
        <w:t>g</w:t>
      </w:r>
      <w:r w:rsidRPr="00FE64C5">
        <w:rPr>
          <w:rFonts w:eastAsia="Calibri"/>
          <w:vertAlign w:val="superscript"/>
        </w:rPr>
        <w:t>-1</w:t>
      </w:r>
      <w:r w:rsidR="00327C62">
        <w:rPr>
          <w:rFonts w:eastAsia="Calibri"/>
        </w:rPr>
        <w:t xml:space="preserve"> of r</w:t>
      </w:r>
      <w:r w:rsidRPr="00ED3B85">
        <w:rPr>
          <w:rFonts w:eastAsia="Calibri"/>
        </w:rPr>
        <w:t>hodium, obtained by dilution of a 1000 mg kg</w:t>
      </w:r>
      <w:r w:rsidRPr="00FE64C5">
        <w:rPr>
          <w:rFonts w:eastAsia="Calibri"/>
          <w:vertAlign w:val="superscript"/>
        </w:rPr>
        <w:t xml:space="preserve">-1  </w:t>
      </w:r>
      <w:r w:rsidRPr="00ED3B85">
        <w:rPr>
          <w:rFonts w:eastAsia="Calibri"/>
        </w:rPr>
        <w:t>stock solution provided by Romil) was added on-line to the samples before being introduced into the nebulizer. Calibration solutions were prepared within the range of</w:t>
      </w:r>
      <w:r>
        <w:rPr>
          <w:rFonts w:eastAsia="Calibri"/>
        </w:rPr>
        <w:t xml:space="preserve"> 0.1 - 5 µ</w:t>
      </w:r>
      <w:r w:rsidRPr="00ED3B85">
        <w:rPr>
          <w:rFonts w:eastAsia="Calibri"/>
        </w:rPr>
        <w:t xml:space="preserve">g </w:t>
      </w:r>
      <w:r w:rsidR="00327C62">
        <w:rPr>
          <w:rFonts w:eastAsia="Calibri"/>
        </w:rPr>
        <w:t>k</w:t>
      </w:r>
      <w:r w:rsidRPr="00ED3B85">
        <w:rPr>
          <w:rFonts w:eastAsia="Calibri"/>
        </w:rPr>
        <w:t>g</w:t>
      </w:r>
      <w:r w:rsidRPr="00FE64C5">
        <w:rPr>
          <w:rFonts w:eastAsia="Calibri"/>
          <w:vertAlign w:val="superscript"/>
        </w:rPr>
        <w:t>-1</w:t>
      </w:r>
      <w:r w:rsidRPr="00ED3B85">
        <w:rPr>
          <w:rFonts w:eastAsia="Calibri"/>
        </w:rPr>
        <w:t xml:space="preserve"> </w:t>
      </w:r>
      <w:r>
        <w:rPr>
          <w:rFonts w:eastAsia="Calibri"/>
        </w:rPr>
        <w:t xml:space="preserve">(corresponding to </w:t>
      </w:r>
      <w:r w:rsidRPr="000557D5">
        <w:rPr>
          <w:rFonts w:eastAsia="Calibri"/>
        </w:rPr>
        <w:t>2.5- 125</w:t>
      </w:r>
      <w:r>
        <w:rPr>
          <w:rFonts w:eastAsia="Calibri"/>
        </w:rPr>
        <w:t xml:space="preserve"> µ</w:t>
      </w:r>
      <w:r w:rsidRPr="00ED3B85">
        <w:rPr>
          <w:rFonts w:eastAsia="Calibri"/>
        </w:rPr>
        <w:t xml:space="preserve">g </w:t>
      </w:r>
      <w:r w:rsidR="00327C62">
        <w:rPr>
          <w:rFonts w:eastAsia="Calibri"/>
        </w:rPr>
        <w:t>k</w:t>
      </w:r>
      <w:r w:rsidRPr="00ED3B85">
        <w:rPr>
          <w:rFonts w:eastAsia="Calibri"/>
        </w:rPr>
        <w:t>g</w:t>
      </w:r>
      <w:r w:rsidRPr="00FE64C5">
        <w:rPr>
          <w:rFonts w:eastAsia="Calibri"/>
          <w:vertAlign w:val="superscript"/>
        </w:rPr>
        <w:t>-1</w:t>
      </w:r>
      <w:r w:rsidRPr="00ED3B85">
        <w:rPr>
          <w:rFonts w:eastAsia="Calibri"/>
        </w:rPr>
        <w:t xml:space="preserve"> </w:t>
      </w:r>
      <w:r>
        <w:rPr>
          <w:rFonts w:eastAsia="Calibri"/>
        </w:rPr>
        <w:t>in sample)</w:t>
      </w:r>
      <w:r w:rsidR="00327C62">
        <w:rPr>
          <w:rFonts w:eastAsia="Calibri"/>
        </w:rPr>
        <w:t xml:space="preserve"> for ICP-MS, by dilution of a s</w:t>
      </w:r>
      <w:r w:rsidRPr="00ED3B85">
        <w:rPr>
          <w:rFonts w:eastAsia="Calibri"/>
        </w:rPr>
        <w:t>ilver stock solution 1000 mg L</w:t>
      </w:r>
      <w:r w:rsidRPr="00FE64C5">
        <w:rPr>
          <w:rFonts w:eastAsia="Calibri"/>
          <w:vertAlign w:val="superscript"/>
        </w:rPr>
        <w:t>-1</w:t>
      </w:r>
      <w:r w:rsidRPr="00ED3B85">
        <w:rPr>
          <w:rFonts w:eastAsia="Calibri"/>
        </w:rPr>
        <w:t xml:space="preserve"> (Ultra Scientific North Kingstown, RI, USA).</w:t>
      </w:r>
    </w:p>
    <w:p w:rsidR="009B3FA2" w:rsidRPr="009B3FA2" w:rsidRDefault="009B3FA2" w:rsidP="009B3FA2">
      <w:pPr>
        <w:pStyle w:val="Heading2"/>
        <w:rPr>
          <w:rFonts w:eastAsia="Calibri"/>
        </w:rPr>
      </w:pPr>
      <w:r w:rsidRPr="009B3FA2">
        <w:rPr>
          <w:rFonts w:eastAsia="Calibri"/>
        </w:rPr>
        <w:t>AAS and ICP-MS methods validation</w:t>
      </w:r>
    </w:p>
    <w:p w:rsidR="009B3FA2" w:rsidRDefault="000305F7" w:rsidP="009B3FA2">
      <w:pPr>
        <w:pStyle w:val="Paragraph"/>
      </w:pPr>
      <w:r>
        <w:t>Analytical</w:t>
      </w:r>
      <w:r w:rsidR="009B3FA2">
        <w:t xml:space="preserve"> </w:t>
      </w:r>
      <w:r w:rsidR="009B3FA2" w:rsidRPr="00F76C5A">
        <w:t xml:space="preserve">methods were </w:t>
      </w:r>
      <w:r w:rsidR="009B3FA2">
        <w:t>f</w:t>
      </w:r>
      <w:r w:rsidR="009B3FA2" w:rsidRPr="00F76C5A">
        <w:t xml:space="preserve">ully validated in agreement with </w:t>
      </w:r>
      <w:r w:rsidR="009B3FA2" w:rsidRPr="00DB3646">
        <w:t>the guidelines laid down by</w:t>
      </w:r>
      <w:r w:rsidR="009B3FA2">
        <w:t xml:space="preserve"> </w:t>
      </w:r>
      <w:r w:rsidR="009B3FA2" w:rsidRPr="00F76C5A">
        <w:t>Commission Decision 2002/657/EC, following the conventional validation approach required for quantitative confirmation. The following parameters were eval</w:t>
      </w:r>
      <w:r w:rsidR="009B3FA2">
        <w:t xml:space="preserve">uated: specificity, linearity, </w:t>
      </w:r>
      <w:r w:rsidR="009B3FA2" w:rsidRPr="00DB3646">
        <w:t>recovery,</w:t>
      </w:r>
      <w:r w:rsidR="009B3FA2" w:rsidRPr="00F76C5A">
        <w:t xml:space="preserve"> repeatability, within-laboratory reproducibility, decision limit (CCα), detection capability (CCβ) and ruggedness.</w:t>
      </w:r>
    </w:p>
    <w:p w:rsidR="009B3FA2" w:rsidRPr="006147D8" w:rsidRDefault="009B3FA2" w:rsidP="009B3FA2">
      <w:pPr>
        <w:pStyle w:val="Paragraph"/>
      </w:pPr>
      <w:r w:rsidRPr="006147D8">
        <w:t xml:space="preserve">Specificity was assessed by analysis 20 different blank samples, verifying the absence </w:t>
      </w:r>
      <w:r w:rsidRPr="006147D8">
        <w:lastRenderedPageBreak/>
        <w:t>of interfering signals.</w:t>
      </w:r>
    </w:p>
    <w:p w:rsidR="009B3FA2" w:rsidRDefault="009B3FA2" w:rsidP="009B3FA2">
      <w:pPr>
        <w:pStyle w:val="Paragraph"/>
        <w:rPr>
          <w:iCs/>
        </w:rPr>
      </w:pPr>
      <w:r w:rsidRPr="006147D8">
        <w:t xml:space="preserve">Linearity was studied by means of calibration curves within the range of </w:t>
      </w:r>
      <w:r w:rsidR="000305F7">
        <w:t>0.3-2.4 µg k</w:t>
      </w:r>
      <w:r w:rsidRPr="001378D4">
        <w:t>g</w:t>
      </w:r>
      <w:r w:rsidRPr="001378D4">
        <w:rPr>
          <w:vertAlign w:val="superscript"/>
        </w:rPr>
        <w:t>-1</w:t>
      </w:r>
      <w:r w:rsidR="00327C62">
        <w:t xml:space="preserve"> (corresponding to 15 - </w:t>
      </w:r>
      <w:r w:rsidRPr="001378D4">
        <w:t xml:space="preserve">120 µg </w:t>
      </w:r>
      <w:r w:rsidR="00DF4496">
        <w:t>k</w:t>
      </w:r>
      <w:r w:rsidRPr="001378D4">
        <w:t>g</w:t>
      </w:r>
      <w:r w:rsidRPr="001378D4">
        <w:rPr>
          <w:vertAlign w:val="superscript"/>
        </w:rPr>
        <w:t>-1</w:t>
      </w:r>
      <w:r w:rsidRPr="001378D4">
        <w:t xml:space="preserve"> in </w:t>
      </w:r>
      <w:r w:rsidR="00327C62">
        <w:t xml:space="preserve">a </w:t>
      </w:r>
      <w:r w:rsidRPr="001378D4">
        <w:t xml:space="preserve">sample) </w:t>
      </w:r>
      <w:r w:rsidRPr="001378D4">
        <w:rPr>
          <w:iCs/>
        </w:rPr>
        <w:t xml:space="preserve">for AAS and </w:t>
      </w:r>
      <w:r w:rsidR="000305F7">
        <w:t>within the range of 0.1 - 5 µg k</w:t>
      </w:r>
      <w:r w:rsidRPr="001378D4">
        <w:t>g</w:t>
      </w:r>
      <w:r w:rsidRPr="001378D4">
        <w:rPr>
          <w:vertAlign w:val="superscript"/>
        </w:rPr>
        <w:t>-1</w:t>
      </w:r>
      <w:r w:rsidRPr="001378D4">
        <w:t xml:space="preserve"> (corresponding to 2.5- 125 µg </w:t>
      </w:r>
      <w:r w:rsidR="000305F7">
        <w:t>k</w:t>
      </w:r>
      <w:r w:rsidRPr="001378D4">
        <w:t>g</w:t>
      </w:r>
      <w:r w:rsidRPr="001378D4">
        <w:rPr>
          <w:vertAlign w:val="superscript"/>
        </w:rPr>
        <w:t>-1</w:t>
      </w:r>
      <w:r w:rsidRPr="001378D4">
        <w:t xml:space="preserve"> in </w:t>
      </w:r>
      <w:r w:rsidR="00327C62">
        <w:t xml:space="preserve">a </w:t>
      </w:r>
      <w:r w:rsidRPr="001378D4">
        <w:t xml:space="preserve">sample) </w:t>
      </w:r>
      <w:r w:rsidRPr="001378D4">
        <w:rPr>
          <w:iCs/>
        </w:rPr>
        <w:t>for ICP-MS</w:t>
      </w:r>
      <w:r w:rsidRPr="006147D8">
        <w:rPr>
          <w:iCs/>
        </w:rPr>
        <w:t xml:space="preserve">. Calibration curves were </w:t>
      </w:r>
      <w:r w:rsidR="00327C62">
        <w:rPr>
          <w:iCs/>
        </w:rPr>
        <w:t>plotted using</w:t>
      </w:r>
      <w:r w:rsidRPr="006147D8">
        <w:rPr>
          <w:iCs/>
        </w:rPr>
        <w:t xml:space="preserve"> the absorbance versus the analyte concentration including zero level in the curve construction. Linear regression analysis was carried out and the linear calibration model was verified by correlation coefficients (Pearson’s R) better than 0.992 and by Mandel</w:t>
      </w:r>
      <w:r w:rsidR="000305F7">
        <w:rPr>
          <w:iCs/>
        </w:rPr>
        <w:t>’s</w:t>
      </w:r>
      <w:r w:rsidRPr="006147D8">
        <w:rPr>
          <w:iCs/>
        </w:rPr>
        <w:t xml:space="preserve"> test.</w:t>
      </w:r>
    </w:p>
    <w:p w:rsidR="009B3FA2" w:rsidRDefault="009B3FA2" w:rsidP="009B3FA2">
      <w:pPr>
        <w:pStyle w:val="Paragraph"/>
        <w:rPr>
          <w:iCs/>
        </w:rPr>
      </w:pPr>
      <w:r>
        <w:rPr>
          <w:iCs/>
        </w:rPr>
        <w:t>Recovery</w:t>
      </w:r>
      <w:r w:rsidRPr="001378D4">
        <w:rPr>
          <w:iCs/>
        </w:rPr>
        <w:t>, repeatability, within-laboratory reproducibility</w:t>
      </w:r>
      <w:r w:rsidRPr="001378D4">
        <w:rPr>
          <w:i/>
          <w:iCs/>
        </w:rPr>
        <w:t xml:space="preserve"> </w:t>
      </w:r>
      <w:r w:rsidRPr="001378D4">
        <w:rPr>
          <w:iCs/>
        </w:rPr>
        <w:t>were estimated by analyzing 18</w:t>
      </w:r>
      <w:r w:rsidRPr="001378D4">
        <w:rPr>
          <w:i/>
          <w:iCs/>
        </w:rPr>
        <w:t xml:space="preserve"> </w:t>
      </w:r>
      <w:r w:rsidRPr="001378D4">
        <w:rPr>
          <w:iCs/>
        </w:rPr>
        <w:t>replicates at 4 c</w:t>
      </w:r>
      <w:r w:rsidR="000305F7">
        <w:rPr>
          <w:iCs/>
        </w:rPr>
        <w:t>oncentration levels (20, 50, 75</w:t>
      </w:r>
      <w:r w:rsidRPr="001378D4">
        <w:rPr>
          <w:iCs/>
        </w:rPr>
        <w:t xml:space="preserve"> </w:t>
      </w:r>
      <w:r w:rsidR="000305F7">
        <w:rPr>
          <w:iCs/>
        </w:rPr>
        <w:t xml:space="preserve">and </w:t>
      </w:r>
      <w:r w:rsidRPr="001378D4">
        <w:rPr>
          <w:iCs/>
        </w:rPr>
        <w:t xml:space="preserve">100 </w:t>
      </w:r>
      <w:r w:rsidR="00DF4496">
        <w:rPr>
          <w:iCs/>
        </w:rPr>
        <w:t>µ</w:t>
      </w:r>
      <w:r w:rsidRPr="001378D4">
        <w:rPr>
          <w:iCs/>
        </w:rPr>
        <w:t xml:space="preserve">g </w:t>
      </w:r>
      <w:r w:rsidR="000305F7">
        <w:rPr>
          <w:iCs/>
        </w:rPr>
        <w:t>k</w:t>
      </w:r>
      <w:r w:rsidRPr="001378D4">
        <w:rPr>
          <w:iCs/>
        </w:rPr>
        <w:t>g</w:t>
      </w:r>
      <w:r w:rsidRPr="001378D4">
        <w:rPr>
          <w:iCs/>
          <w:vertAlign w:val="superscript"/>
        </w:rPr>
        <w:t>-1</w:t>
      </w:r>
      <w:r w:rsidRPr="001378D4">
        <w:rPr>
          <w:iCs/>
        </w:rPr>
        <w:t>) on three different days (6 replicates per level per day).</w:t>
      </w:r>
      <w:r>
        <w:rPr>
          <w:iCs/>
        </w:rPr>
        <w:t xml:space="preserve"> </w:t>
      </w:r>
    </w:p>
    <w:p w:rsidR="009B3FA2" w:rsidRDefault="009B3FA2" w:rsidP="009B3FA2">
      <w:pPr>
        <w:pStyle w:val="Paragraph"/>
        <w:rPr>
          <w:iCs/>
        </w:rPr>
      </w:pPr>
      <w:r w:rsidRPr="002A720A">
        <w:rPr>
          <w:iCs/>
        </w:rPr>
        <w:t>Decision limit</w:t>
      </w:r>
      <w:r w:rsidRPr="002A720A">
        <w:rPr>
          <w:i/>
          <w:iCs/>
        </w:rPr>
        <w:t xml:space="preserve"> </w:t>
      </w:r>
      <w:r w:rsidRPr="002A720A">
        <w:rPr>
          <w:iCs/>
        </w:rPr>
        <w:t xml:space="preserve">(CCα), and detection capability (CCβ) were </w:t>
      </w:r>
      <w:r w:rsidRPr="006147D8">
        <w:rPr>
          <w:iCs/>
        </w:rPr>
        <w:t>estimated b</w:t>
      </w:r>
      <w:r w:rsidRPr="002A720A">
        <w:rPr>
          <w:iCs/>
        </w:rPr>
        <w:t xml:space="preserve">y the calibration procedure according to ISO 11843-2 (2000), considering the approach proposed by </w:t>
      </w:r>
      <w:r w:rsidRPr="007C02A8">
        <w:rPr>
          <w:iCs/>
        </w:rPr>
        <w:t>Verdon</w:t>
      </w:r>
      <w:r w:rsidRPr="002A720A">
        <w:rPr>
          <w:iCs/>
        </w:rPr>
        <w:t xml:space="preserve"> </w:t>
      </w:r>
      <w:r w:rsidR="007D18F1" w:rsidRPr="002A720A">
        <w:rPr>
          <w:iCs/>
        </w:rPr>
        <w:fldChar w:fldCharType="begin"/>
      </w:r>
      <w:r w:rsidRPr="002A720A">
        <w:rPr>
          <w:iCs/>
        </w:rPr>
        <w:instrText>ADDIN RW.CITE{{79 Verdon,Eric 2007}}</w:instrText>
      </w:r>
      <w:r w:rsidR="007D18F1" w:rsidRPr="002A720A">
        <w:rPr>
          <w:iCs/>
        </w:rPr>
        <w:fldChar w:fldCharType="separate"/>
      </w:r>
      <w:r w:rsidR="003313AF">
        <w:rPr>
          <w:iCs/>
        </w:rPr>
        <w:t>(Verdon et al. 2007)</w:t>
      </w:r>
      <w:r w:rsidR="007D18F1" w:rsidRPr="002A720A">
        <w:rPr>
          <w:iCs/>
        </w:rPr>
        <w:fldChar w:fldCharType="end"/>
      </w:r>
      <w:r w:rsidR="00DF4496">
        <w:rPr>
          <w:iCs/>
        </w:rPr>
        <w:t xml:space="preserve"> </w:t>
      </w:r>
      <w:r w:rsidRPr="002A720A">
        <w:rPr>
          <w:iCs/>
        </w:rPr>
        <w:t xml:space="preserve">and </w:t>
      </w:r>
      <w:r w:rsidRPr="007C02A8">
        <w:rPr>
          <w:iCs/>
        </w:rPr>
        <w:t xml:space="preserve">Lega </w:t>
      </w:r>
      <w:r w:rsidR="000305F7">
        <w:rPr>
          <w:iCs/>
        </w:rPr>
        <w:t xml:space="preserve">et al. </w:t>
      </w:r>
      <w:r w:rsidRPr="007C02A8">
        <w:rPr>
          <w:iCs/>
        </w:rPr>
        <w:t>(2013)</w:t>
      </w:r>
      <w:r w:rsidR="000305F7">
        <w:rPr>
          <w:iCs/>
        </w:rPr>
        <w:t>. Estimated CCα and CCβ  were 8.1 and 19.</w:t>
      </w:r>
      <w:r w:rsidRPr="002A720A">
        <w:rPr>
          <w:iCs/>
        </w:rPr>
        <w:t xml:space="preserve">7 </w:t>
      </w:r>
      <w:r>
        <w:rPr>
          <w:iCs/>
        </w:rPr>
        <w:t>µ</w:t>
      </w:r>
      <w:r w:rsidRPr="002A720A">
        <w:rPr>
          <w:iCs/>
        </w:rPr>
        <w:t xml:space="preserve">g </w:t>
      </w:r>
      <w:r w:rsidR="000305F7">
        <w:rPr>
          <w:iCs/>
        </w:rPr>
        <w:t>k</w:t>
      </w:r>
      <w:r w:rsidRPr="002A720A">
        <w:rPr>
          <w:iCs/>
        </w:rPr>
        <w:t>g</w:t>
      </w:r>
      <w:r w:rsidRPr="002A720A">
        <w:rPr>
          <w:iCs/>
          <w:vertAlign w:val="superscript"/>
        </w:rPr>
        <w:t xml:space="preserve">-1  </w:t>
      </w:r>
      <w:r w:rsidRPr="002A720A">
        <w:rPr>
          <w:iCs/>
        </w:rPr>
        <w:t xml:space="preserve"> for </w:t>
      </w:r>
      <w:r>
        <w:rPr>
          <w:iCs/>
        </w:rPr>
        <w:t xml:space="preserve">AAS </w:t>
      </w:r>
      <w:r w:rsidR="000305F7">
        <w:rPr>
          <w:iCs/>
        </w:rPr>
        <w:t xml:space="preserve"> and 5.1 and 8.</w:t>
      </w:r>
      <w:r w:rsidRPr="002A720A">
        <w:rPr>
          <w:iCs/>
        </w:rPr>
        <w:t xml:space="preserve">7 </w:t>
      </w:r>
      <w:r>
        <w:rPr>
          <w:iCs/>
        </w:rPr>
        <w:t>µ</w:t>
      </w:r>
      <w:r w:rsidRPr="002A720A">
        <w:rPr>
          <w:iCs/>
        </w:rPr>
        <w:t xml:space="preserve">g </w:t>
      </w:r>
      <w:r w:rsidR="000305F7">
        <w:rPr>
          <w:iCs/>
        </w:rPr>
        <w:t>k</w:t>
      </w:r>
      <w:r w:rsidRPr="002A720A">
        <w:rPr>
          <w:iCs/>
        </w:rPr>
        <w:t>g</w:t>
      </w:r>
      <w:r w:rsidRPr="002A720A">
        <w:rPr>
          <w:iCs/>
          <w:vertAlign w:val="superscript"/>
        </w:rPr>
        <w:t xml:space="preserve">-1  </w:t>
      </w:r>
      <w:r w:rsidRPr="002A720A">
        <w:rPr>
          <w:iCs/>
        </w:rPr>
        <w:t xml:space="preserve"> for ICP-MS. In </w:t>
      </w:r>
      <w:r>
        <w:rPr>
          <w:iCs/>
        </w:rPr>
        <w:t>all</w:t>
      </w:r>
      <w:r w:rsidR="00DF4496">
        <w:rPr>
          <w:iCs/>
        </w:rPr>
        <w:t xml:space="preserve"> cases CCα and CCβ </w:t>
      </w:r>
      <w:r w:rsidRPr="002A720A">
        <w:rPr>
          <w:iCs/>
        </w:rPr>
        <w:t>were verified by spiking a minimum of six blank matrices at the concentration corresponding to the calculated decision limits.</w:t>
      </w:r>
    </w:p>
    <w:p w:rsidR="009B3FA2" w:rsidRPr="00090801" w:rsidRDefault="009B3FA2" w:rsidP="009B3FA2">
      <w:pPr>
        <w:pStyle w:val="Paragraph"/>
        <w:rPr>
          <w:iCs/>
        </w:rPr>
      </w:pPr>
      <w:r>
        <w:rPr>
          <w:iCs/>
        </w:rPr>
        <w:t>Detailed information about parameters evaluated within the validation session are reported in table</w:t>
      </w:r>
      <w:r w:rsidR="000305F7">
        <w:rPr>
          <w:iCs/>
        </w:rPr>
        <w:t>s</w:t>
      </w:r>
      <w:r>
        <w:rPr>
          <w:iCs/>
        </w:rPr>
        <w:t xml:space="preserve"> </w:t>
      </w:r>
      <w:r w:rsidRPr="004B793C">
        <w:t>S-</w:t>
      </w:r>
      <w:r>
        <w:t>5 and S-6</w:t>
      </w:r>
      <w:r w:rsidRPr="004B793C">
        <w:t>.</w:t>
      </w:r>
      <w:r w:rsidRPr="001561EB">
        <w:rPr>
          <w:iCs/>
        </w:rPr>
        <w:t xml:space="preserve"> </w:t>
      </w:r>
    </w:p>
    <w:p w:rsidR="009B3FA2" w:rsidRPr="009B3FA2" w:rsidRDefault="009B3FA2" w:rsidP="009B3FA2">
      <w:pPr>
        <w:pStyle w:val="Heading1"/>
      </w:pPr>
      <w:r w:rsidRPr="009B3FA2">
        <w:lastRenderedPageBreak/>
        <w:t>Supplementary Figures and Tables</w:t>
      </w:r>
    </w:p>
    <w:p w:rsidR="009B3FA2" w:rsidRPr="009B3FA2" w:rsidRDefault="009B3FA2" w:rsidP="009B3FA2">
      <w:pPr>
        <w:pStyle w:val="Heading2"/>
      </w:pPr>
      <w:r w:rsidRPr="009B3FA2">
        <w:t>Supplementary Figures</w:t>
      </w:r>
    </w:p>
    <w:p w:rsidR="009B3FA2" w:rsidRPr="009B3FA2" w:rsidRDefault="009B3FA2" w:rsidP="009B3FA2">
      <w:pPr>
        <w:keepNext/>
      </w:pPr>
      <w:r w:rsidRPr="009B3FA2">
        <w:t xml:space="preserve"> Figure S-</w:t>
      </w:r>
      <w:r w:rsidR="00E05958">
        <w:fldChar w:fldCharType="begin"/>
      </w:r>
      <w:r w:rsidR="00E05958">
        <w:instrText xml:space="preserve"> SEQ Figure \* ARABIC </w:instrText>
      </w:r>
      <w:r w:rsidR="00E05958">
        <w:fldChar w:fldCharType="separate"/>
      </w:r>
      <w:r w:rsidRPr="009B3FA2">
        <w:t>1</w:t>
      </w:r>
      <w:r w:rsidR="00E05958">
        <w:fldChar w:fldCharType="end"/>
      </w:r>
      <w:r w:rsidRPr="009B3FA2">
        <w:t>.</w:t>
      </w:r>
      <w:r w:rsidRPr="001549D3">
        <w:t xml:space="preserve"> </w:t>
      </w:r>
      <w:r w:rsidRPr="0062057E">
        <w:t>Si</w:t>
      </w:r>
      <w:r w:rsidR="000305F7">
        <w:t>l</w:t>
      </w:r>
      <w:r w:rsidRPr="0062057E">
        <w:t>ver, dispersion – nanoparticles</w:t>
      </w:r>
      <w:r>
        <w:t xml:space="preserve"> size distribution</w:t>
      </w:r>
      <w:r w:rsidRPr="001549D3">
        <w:t xml:space="preserve">. </w:t>
      </w:r>
    </w:p>
    <w:p w:rsidR="009B3FA2" w:rsidRPr="001549D3" w:rsidRDefault="008823AD" w:rsidP="009B3FA2">
      <w:pPr>
        <w:spacing w:before="240"/>
      </w:pPr>
      <w:r w:rsidRPr="008823AD">
        <w:rPr>
          <w:noProof/>
        </w:rPr>
        <w:drawing>
          <wp:inline distT="0" distB="0" distL="0" distR="0">
            <wp:extent cx="5715000" cy="4152900"/>
            <wp:effectExtent l="0" t="0" r="0" b="0"/>
            <wp:docPr id="1" name="Picture 1" descr="F:\OX4 Publishing\Taylor &amp;Francis\TFAC\Supplementary\tfac-2016-094-File00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X4 Publishing\Taylor &amp;Francis\TFAC\Supplementary\tfac-2016-094-File009.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4152900"/>
                    </a:xfrm>
                    <a:prstGeom prst="rect">
                      <a:avLst/>
                    </a:prstGeom>
                    <a:noFill/>
                    <a:ln>
                      <a:noFill/>
                    </a:ln>
                  </pic:spPr>
                </pic:pic>
              </a:graphicData>
            </a:graphic>
          </wp:inline>
        </w:drawing>
      </w:r>
    </w:p>
    <w:p w:rsidR="009B3FA2" w:rsidRDefault="009B3FA2" w:rsidP="009B3FA2">
      <w:pPr>
        <w:pStyle w:val="Heading2"/>
      </w:pPr>
      <w:r w:rsidRPr="009B3FA2">
        <w:t>Supplementary Tables</w:t>
      </w:r>
    </w:p>
    <w:p w:rsidR="009B3FA2" w:rsidRPr="009B3FA2" w:rsidRDefault="009B3FA2" w:rsidP="009B3FA2">
      <w:pPr>
        <w:pStyle w:val="Tabletitle"/>
      </w:pPr>
      <w:r w:rsidRPr="009B3FA2">
        <w:t>Table S-</w:t>
      </w:r>
      <w:r w:rsidR="00E05958">
        <w:fldChar w:fldCharType="begin"/>
      </w:r>
      <w:r w:rsidR="00E05958">
        <w:instrText xml:space="preserve"> SEQ Table \* ARABIC </w:instrText>
      </w:r>
      <w:r w:rsidR="00E05958">
        <w:fldChar w:fldCharType="separate"/>
      </w:r>
      <w:r w:rsidRPr="009B3FA2">
        <w:t>1</w:t>
      </w:r>
      <w:r w:rsidR="00E05958">
        <w:fldChar w:fldCharType="end"/>
      </w:r>
      <w:r w:rsidRPr="009B3FA2">
        <w:t xml:space="preserve"> </w:t>
      </w:r>
      <w:r w:rsidRPr="00A31079">
        <w:t>Digestion 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037"/>
        <w:gridCol w:w="1269"/>
        <w:gridCol w:w="1430"/>
        <w:gridCol w:w="1328"/>
      </w:tblGrid>
      <w:tr w:rsidR="009B3FA2" w:rsidRPr="00A31079" w:rsidTr="00B61C5E">
        <w:tc>
          <w:tcPr>
            <w:tcW w:w="2162" w:type="dxa"/>
            <w:gridSpan w:val="2"/>
            <w:vAlign w:val="center"/>
          </w:tcPr>
          <w:p w:rsidR="009B3FA2" w:rsidRPr="00A31079" w:rsidRDefault="009B3FA2" w:rsidP="001D43B7">
            <w:pPr>
              <w:spacing w:before="240"/>
              <w:jc w:val="center"/>
              <w:rPr>
                <w:b/>
              </w:rPr>
            </w:pPr>
            <w:r w:rsidRPr="00A31079">
              <w:rPr>
                <w:b/>
              </w:rPr>
              <w:t>POWER</w:t>
            </w:r>
          </w:p>
        </w:tc>
        <w:tc>
          <w:tcPr>
            <w:tcW w:w="1269" w:type="dxa"/>
            <w:vMerge w:val="restart"/>
            <w:vAlign w:val="center"/>
          </w:tcPr>
          <w:p w:rsidR="009B3FA2" w:rsidRPr="00A31079" w:rsidRDefault="009B3FA2" w:rsidP="001D43B7">
            <w:pPr>
              <w:spacing w:before="240"/>
              <w:jc w:val="center"/>
              <w:rPr>
                <w:b/>
              </w:rPr>
            </w:pPr>
            <w:r w:rsidRPr="00A31079">
              <w:rPr>
                <w:b/>
              </w:rPr>
              <w:t>RAMP (min)</w:t>
            </w:r>
          </w:p>
        </w:tc>
        <w:tc>
          <w:tcPr>
            <w:tcW w:w="1430" w:type="dxa"/>
            <w:vMerge w:val="restart"/>
            <w:vAlign w:val="center"/>
          </w:tcPr>
          <w:p w:rsidR="009B3FA2" w:rsidRPr="00A31079" w:rsidRDefault="009B3FA2" w:rsidP="001D43B7">
            <w:pPr>
              <w:spacing w:before="240"/>
              <w:jc w:val="center"/>
              <w:rPr>
                <w:b/>
              </w:rPr>
            </w:pPr>
            <w:r w:rsidRPr="00A31079">
              <w:rPr>
                <w:b/>
              </w:rPr>
              <w:t>C° CONTROL</w:t>
            </w:r>
          </w:p>
        </w:tc>
        <w:tc>
          <w:tcPr>
            <w:tcW w:w="1328" w:type="dxa"/>
            <w:vMerge w:val="restart"/>
            <w:vAlign w:val="center"/>
          </w:tcPr>
          <w:p w:rsidR="009B3FA2" w:rsidRPr="00A31079" w:rsidRDefault="009B3FA2" w:rsidP="001D43B7">
            <w:pPr>
              <w:spacing w:before="240"/>
              <w:jc w:val="center"/>
              <w:rPr>
                <w:b/>
              </w:rPr>
            </w:pPr>
            <w:r w:rsidRPr="00A31079">
              <w:rPr>
                <w:b/>
              </w:rPr>
              <w:t>time(min)</w:t>
            </w:r>
          </w:p>
        </w:tc>
      </w:tr>
      <w:tr w:rsidR="009B3FA2" w:rsidRPr="00A31079" w:rsidTr="00B61C5E">
        <w:tc>
          <w:tcPr>
            <w:tcW w:w="1125" w:type="dxa"/>
            <w:vAlign w:val="center"/>
          </w:tcPr>
          <w:p w:rsidR="009B3FA2" w:rsidRPr="00A31079" w:rsidRDefault="009B3FA2" w:rsidP="001D43B7">
            <w:pPr>
              <w:spacing w:before="240"/>
              <w:jc w:val="center"/>
              <w:rPr>
                <w:b/>
              </w:rPr>
            </w:pPr>
            <w:r w:rsidRPr="00A31079">
              <w:rPr>
                <w:b/>
              </w:rPr>
              <w:t>MAX</w:t>
            </w:r>
          </w:p>
        </w:tc>
        <w:tc>
          <w:tcPr>
            <w:tcW w:w="1037" w:type="dxa"/>
            <w:vAlign w:val="center"/>
          </w:tcPr>
          <w:p w:rsidR="009B3FA2" w:rsidRPr="00A31079" w:rsidRDefault="009B3FA2" w:rsidP="001D43B7">
            <w:pPr>
              <w:spacing w:before="240"/>
              <w:jc w:val="center"/>
              <w:rPr>
                <w:b/>
              </w:rPr>
            </w:pPr>
            <w:r w:rsidRPr="00A31079">
              <w:rPr>
                <w:b/>
              </w:rPr>
              <w:t>%</w:t>
            </w:r>
          </w:p>
        </w:tc>
        <w:tc>
          <w:tcPr>
            <w:tcW w:w="1269" w:type="dxa"/>
            <w:vMerge/>
            <w:vAlign w:val="center"/>
          </w:tcPr>
          <w:p w:rsidR="009B3FA2" w:rsidRPr="00A31079" w:rsidRDefault="009B3FA2" w:rsidP="00B61C5E">
            <w:pPr>
              <w:spacing w:before="240"/>
              <w:rPr>
                <w:b/>
              </w:rPr>
            </w:pPr>
          </w:p>
        </w:tc>
        <w:tc>
          <w:tcPr>
            <w:tcW w:w="1430" w:type="dxa"/>
            <w:vMerge/>
            <w:vAlign w:val="center"/>
          </w:tcPr>
          <w:p w:rsidR="009B3FA2" w:rsidRPr="00A31079" w:rsidRDefault="009B3FA2" w:rsidP="00B61C5E">
            <w:pPr>
              <w:spacing w:before="240"/>
              <w:rPr>
                <w:b/>
              </w:rPr>
            </w:pPr>
          </w:p>
        </w:tc>
        <w:tc>
          <w:tcPr>
            <w:tcW w:w="1328" w:type="dxa"/>
            <w:vMerge/>
            <w:vAlign w:val="center"/>
          </w:tcPr>
          <w:p w:rsidR="009B3FA2" w:rsidRPr="00A31079" w:rsidRDefault="009B3FA2" w:rsidP="00B61C5E">
            <w:pPr>
              <w:spacing w:before="240"/>
              <w:rPr>
                <w:b/>
              </w:rPr>
            </w:pPr>
          </w:p>
        </w:tc>
      </w:tr>
      <w:tr w:rsidR="009B3FA2" w:rsidTr="00B61C5E">
        <w:tc>
          <w:tcPr>
            <w:tcW w:w="1125" w:type="dxa"/>
            <w:vAlign w:val="center"/>
          </w:tcPr>
          <w:p w:rsidR="009B3FA2" w:rsidRPr="00F80EE9" w:rsidRDefault="009B3FA2" w:rsidP="00B61C5E">
            <w:pPr>
              <w:jc w:val="center"/>
              <w:rPr>
                <w:shd w:val="clear" w:color="auto" w:fill="FFFFFF"/>
              </w:rPr>
            </w:pPr>
            <w:r w:rsidRPr="00F80EE9">
              <w:rPr>
                <w:shd w:val="clear" w:color="auto" w:fill="FFFFFF"/>
              </w:rPr>
              <w:t>1600</w:t>
            </w:r>
          </w:p>
        </w:tc>
        <w:tc>
          <w:tcPr>
            <w:tcW w:w="1037" w:type="dxa"/>
            <w:vAlign w:val="center"/>
          </w:tcPr>
          <w:p w:rsidR="009B3FA2" w:rsidRPr="00F80EE9" w:rsidRDefault="009B3FA2" w:rsidP="00B61C5E">
            <w:pPr>
              <w:jc w:val="center"/>
              <w:rPr>
                <w:shd w:val="clear" w:color="auto" w:fill="FFFFFF"/>
              </w:rPr>
            </w:pPr>
            <w:r w:rsidRPr="00F80EE9">
              <w:rPr>
                <w:shd w:val="clear" w:color="auto" w:fill="FFFFFF"/>
              </w:rPr>
              <w:t>100</w:t>
            </w:r>
          </w:p>
        </w:tc>
        <w:tc>
          <w:tcPr>
            <w:tcW w:w="1269" w:type="dxa"/>
            <w:vAlign w:val="center"/>
          </w:tcPr>
          <w:p w:rsidR="009B3FA2" w:rsidRPr="00F80EE9" w:rsidRDefault="009B3FA2" w:rsidP="00B61C5E">
            <w:pPr>
              <w:jc w:val="center"/>
              <w:rPr>
                <w:shd w:val="clear" w:color="auto" w:fill="FFFFFF"/>
              </w:rPr>
            </w:pPr>
            <w:r w:rsidRPr="00F80EE9">
              <w:rPr>
                <w:shd w:val="clear" w:color="auto" w:fill="FFFFFF"/>
              </w:rPr>
              <w:t>20</w:t>
            </w:r>
          </w:p>
        </w:tc>
        <w:tc>
          <w:tcPr>
            <w:tcW w:w="1430" w:type="dxa"/>
            <w:vAlign w:val="center"/>
          </w:tcPr>
          <w:p w:rsidR="009B3FA2" w:rsidRPr="00F80EE9" w:rsidRDefault="009B3FA2" w:rsidP="00B61C5E">
            <w:pPr>
              <w:jc w:val="center"/>
              <w:rPr>
                <w:shd w:val="clear" w:color="auto" w:fill="FFFFFF"/>
              </w:rPr>
            </w:pPr>
            <w:r w:rsidRPr="00F80EE9">
              <w:rPr>
                <w:shd w:val="clear" w:color="auto" w:fill="FFFFFF"/>
              </w:rPr>
              <w:t>180</w:t>
            </w:r>
          </w:p>
        </w:tc>
        <w:tc>
          <w:tcPr>
            <w:tcW w:w="1328" w:type="dxa"/>
            <w:vAlign w:val="center"/>
          </w:tcPr>
          <w:p w:rsidR="009B3FA2" w:rsidRPr="00F80EE9" w:rsidRDefault="009B3FA2" w:rsidP="00B61C5E">
            <w:pPr>
              <w:jc w:val="center"/>
              <w:rPr>
                <w:shd w:val="clear" w:color="auto" w:fill="FFFFFF"/>
              </w:rPr>
            </w:pPr>
            <w:r w:rsidRPr="00F80EE9">
              <w:rPr>
                <w:shd w:val="clear" w:color="auto" w:fill="FFFFFF"/>
              </w:rPr>
              <w:t>15</w:t>
            </w:r>
          </w:p>
        </w:tc>
      </w:tr>
    </w:tbl>
    <w:p w:rsidR="009B3FA2" w:rsidRPr="00A31079" w:rsidRDefault="009B3FA2" w:rsidP="009B3FA2"/>
    <w:p w:rsidR="008823AD" w:rsidRDefault="008823AD" w:rsidP="009B3FA2">
      <w:pPr>
        <w:pStyle w:val="Tabletitle"/>
      </w:pPr>
    </w:p>
    <w:p w:rsidR="009B3FA2" w:rsidRPr="009B3FA2" w:rsidRDefault="009B3FA2" w:rsidP="009B3FA2">
      <w:pPr>
        <w:pStyle w:val="Tabletitle"/>
      </w:pPr>
      <w:r w:rsidRPr="009B3FA2">
        <w:lastRenderedPageBreak/>
        <w:t>Table S-</w:t>
      </w:r>
      <w:r w:rsidR="00E05958">
        <w:fldChar w:fldCharType="begin"/>
      </w:r>
      <w:r w:rsidR="00E05958">
        <w:instrText xml:space="preserve"> SEQ Table \* ARABIC </w:instrText>
      </w:r>
      <w:r w:rsidR="00E05958">
        <w:fldChar w:fldCharType="separate"/>
      </w:r>
      <w:r w:rsidRPr="009B3FA2">
        <w:t>2</w:t>
      </w:r>
      <w:r w:rsidR="00E05958">
        <w:fldChar w:fldCharType="end"/>
      </w:r>
      <w:r w:rsidRPr="00ED3B85">
        <w:t xml:space="preserve"> </w:t>
      </w:r>
      <w:r w:rsidRPr="008E65C5">
        <w:t>Instrumental parameters for GFAAS determination</w:t>
      </w:r>
    </w:p>
    <w:tbl>
      <w:tblPr>
        <w:tblW w:w="34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3"/>
        <w:gridCol w:w="2235"/>
      </w:tblGrid>
      <w:tr w:rsidR="009B3FA2" w:rsidRPr="008E65C5" w:rsidTr="00B61C5E">
        <w:tc>
          <w:tcPr>
            <w:tcW w:w="3076" w:type="pct"/>
          </w:tcPr>
          <w:p w:rsidR="009B3FA2" w:rsidRPr="00ED3B85" w:rsidRDefault="009B3FA2" w:rsidP="001D43B7">
            <w:pPr>
              <w:spacing w:before="240"/>
              <w:jc w:val="center"/>
              <w:rPr>
                <w:b/>
              </w:rPr>
            </w:pPr>
            <w:r w:rsidRPr="00ED3B85">
              <w:rPr>
                <w:b/>
              </w:rPr>
              <w:t>Parameter</w:t>
            </w:r>
          </w:p>
        </w:tc>
        <w:tc>
          <w:tcPr>
            <w:tcW w:w="1924" w:type="pct"/>
          </w:tcPr>
          <w:p w:rsidR="009B3FA2" w:rsidRPr="00ED3B85" w:rsidRDefault="009B3FA2" w:rsidP="001D43B7">
            <w:pPr>
              <w:spacing w:before="240"/>
              <w:jc w:val="center"/>
              <w:rPr>
                <w:b/>
              </w:rPr>
            </w:pPr>
            <w:r w:rsidRPr="00ED3B85">
              <w:rPr>
                <w:b/>
              </w:rPr>
              <w:t>Ag</w:t>
            </w:r>
          </w:p>
        </w:tc>
      </w:tr>
      <w:tr w:rsidR="009B3FA2" w:rsidRPr="008E65C5" w:rsidTr="00B61C5E">
        <w:trPr>
          <w:trHeight w:val="70"/>
        </w:trPr>
        <w:tc>
          <w:tcPr>
            <w:tcW w:w="3076" w:type="pct"/>
          </w:tcPr>
          <w:p w:rsidR="009B3FA2" w:rsidRPr="00ED3B85" w:rsidRDefault="009B3FA2" w:rsidP="00B61C5E">
            <w:pPr>
              <w:jc w:val="center"/>
              <w:rPr>
                <w:shd w:val="clear" w:color="auto" w:fill="FFFFFF"/>
              </w:rPr>
            </w:pPr>
            <w:r w:rsidRPr="00ED3B85">
              <w:rPr>
                <w:shd w:val="clear" w:color="auto" w:fill="FFFFFF"/>
              </w:rPr>
              <w:t>Wavelength (nm)</w:t>
            </w:r>
          </w:p>
        </w:tc>
        <w:tc>
          <w:tcPr>
            <w:tcW w:w="1924" w:type="pct"/>
          </w:tcPr>
          <w:p w:rsidR="009B3FA2" w:rsidRPr="00ED3B85" w:rsidRDefault="009B3FA2" w:rsidP="00B61C5E">
            <w:pPr>
              <w:jc w:val="center"/>
              <w:rPr>
                <w:shd w:val="clear" w:color="auto" w:fill="FFFFFF"/>
              </w:rPr>
            </w:pPr>
            <w:r w:rsidRPr="00ED3B85">
              <w:rPr>
                <w:shd w:val="clear" w:color="auto" w:fill="FFFFFF"/>
              </w:rPr>
              <w:t>328.1</w:t>
            </w:r>
          </w:p>
        </w:tc>
      </w:tr>
      <w:tr w:rsidR="009B3FA2" w:rsidRPr="008E65C5" w:rsidTr="00B61C5E">
        <w:tc>
          <w:tcPr>
            <w:tcW w:w="3076" w:type="pct"/>
          </w:tcPr>
          <w:p w:rsidR="009B3FA2" w:rsidRPr="00ED3B85" w:rsidRDefault="009B3FA2" w:rsidP="00B61C5E">
            <w:pPr>
              <w:jc w:val="center"/>
              <w:rPr>
                <w:shd w:val="clear" w:color="auto" w:fill="FFFFFF"/>
              </w:rPr>
            </w:pPr>
            <w:r w:rsidRPr="00ED3B85">
              <w:rPr>
                <w:shd w:val="clear" w:color="auto" w:fill="FFFFFF"/>
              </w:rPr>
              <w:t>Slit (nm)</w:t>
            </w:r>
          </w:p>
        </w:tc>
        <w:tc>
          <w:tcPr>
            <w:tcW w:w="1924" w:type="pct"/>
          </w:tcPr>
          <w:p w:rsidR="009B3FA2" w:rsidRPr="00ED3B85" w:rsidRDefault="009B3FA2" w:rsidP="00B61C5E">
            <w:pPr>
              <w:jc w:val="center"/>
              <w:rPr>
                <w:shd w:val="clear" w:color="auto" w:fill="FFFFFF"/>
              </w:rPr>
            </w:pPr>
            <w:r w:rsidRPr="00ED3B85">
              <w:rPr>
                <w:shd w:val="clear" w:color="auto" w:fill="FFFFFF"/>
              </w:rPr>
              <w:t>0.5</w:t>
            </w:r>
          </w:p>
        </w:tc>
      </w:tr>
      <w:tr w:rsidR="009B3FA2" w:rsidRPr="008E65C5" w:rsidTr="00B61C5E">
        <w:tc>
          <w:tcPr>
            <w:tcW w:w="3076" w:type="pct"/>
          </w:tcPr>
          <w:p w:rsidR="009B3FA2" w:rsidRPr="00ED3B85" w:rsidRDefault="009B3FA2" w:rsidP="00B61C5E">
            <w:pPr>
              <w:jc w:val="center"/>
              <w:rPr>
                <w:shd w:val="clear" w:color="auto" w:fill="FFFFFF"/>
              </w:rPr>
            </w:pPr>
            <w:r w:rsidRPr="00ED3B85">
              <w:rPr>
                <w:shd w:val="clear" w:color="auto" w:fill="FFFFFF"/>
              </w:rPr>
              <w:t>Measurement time (sec)</w:t>
            </w:r>
          </w:p>
        </w:tc>
        <w:tc>
          <w:tcPr>
            <w:tcW w:w="1924" w:type="pct"/>
          </w:tcPr>
          <w:p w:rsidR="009B3FA2" w:rsidRPr="00ED3B85" w:rsidRDefault="009B3FA2" w:rsidP="00B61C5E">
            <w:pPr>
              <w:jc w:val="center"/>
              <w:rPr>
                <w:shd w:val="clear" w:color="auto" w:fill="FFFFFF"/>
              </w:rPr>
            </w:pPr>
            <w:r w:rsidRPr="00ED3B85">
              <w:rPr>
                <w:shd w:val="clear" w:color="auto" w:fill="FFFFFF"/>
              </w:rPr>
              <w:t>3.0</w:t>
            </w:r>
          </w:p>
        </w:tc>
      </w:tr>
      <w:tr w:rsidR="009B3FA2" w:rsidRPr="008E65C5" w:rsidTr="00B61C5E">
        <w:tc>
          <w:tcPr>
            <w:tcW w:w="3076" w:type="pct"/>
          </w:tcPr>
          <w:p w:rsidR="009B3FA2" w:rsidRPr="00ED3B85" w:rsidRDefault="009B3FA2" w:rsidP="00B61C5E">
            <w:pPr>
              <w:jc w:val="center"/>
              <w:rPr>
                <w:shd w:val="clear" w:color="auto" w:fill="FFFFFF"/>
              </w:rPr>
            </w:pPr>
            <w:r w:rsidRPr="00ED3B85">
              <w:rPr>
                <w:shd w:val="clear" w:color="auto" w:fill="FFFFFF"/>
              </w:rPr>
              <w:t>Background correction</w:t>
            </w:r>
          </w:p>
        </w:tc>
        <w:tc>
          <w:tcPr>
            <w:tcW w:w="1924" w:type="pct"/>
          </w:tcPr>
          <w:p w:rsidR="009B3FA2" w:rsidRPr="00ED3B85" w:rsidRDefault="009B3FA2" w:rsidP="00B61C5E">
            <w:pPr>
              <w:jc w:val="center"/>
              <w:rPr>
                <w:shd w:val="clear" w:color="auto" w:fill="FFFFFF"/>
              </w:rPr>
            </w:pPr>
            <w:r w:rsidRPr="00ED3B85">
              <w:rPr>
                <w:shd w:val="clear" w:color="auto" w:fill="FFFFFF"/>
              </w:rPr>
              <w:t>D2</w:t>
            </w:r>
          </w:p>
        </w:tc>
      </w:tr>
      <w:tr w:rsidR="009B3FA2" w:rsidRPr="008E65C5" w:rsidTr="00B61C5E">
        <w:tc>
          <w:tcPr>
            <w:tcW w:w="3076" w:type="pct"/>
          </w:tcPr>
          <w:p w:rsidR="009B3FA2" w:rsidRPr="00ED3B85" w:rsidRDefault="009B3FA2" w:rsidP="00B61C5E">
            <w:pPr>
              <w:jc w:val="center"/>
              <w:rPr>
                <w:shd w:val="clear" w:color="auto" w:fill="FFFFFF"/>
              </w:rPr>
            </w:pPr>
            <w:r w:rsidRPr="00ED3B85">
              <w:rPr>
                <w:shd w:val="clear" w:color="auto" w:fill="FFFFFF"/>
              </w:rPr>
              <w:t>Atomisation (t °C)</w:t>
            </w:r>
          </w:p>
        </w:tc>
        <w:tc>
          <w:tcPr>
            <w:tcW w:w="1924" w:type="pct"/>
          </w:tcPr>
          <w:p w:rsidR="009B3FA2" w:rsidRPr="00ED3B85" w:rsidRDefault="009B3FA2" w:rsidP="00B61C5E">
            <w:pPr>
              <w:jc w:val="center"/>
              <w:rPr>
                <w:shd w:val="clear" w:color="auto" w:fill="FFFFFF"/>
              </w:rPr>
            </w:pPr>
            <w:r w:rsidRPr="00ED3B85">
              <w:rPr>
                <w:shd w:val="clear" w:color="auto" w:fill="FFFFFF"/>
              </w:rPr>
              <w:t>1500</w:t>
            </w:r>
          </w:p>
        </w:tc>
      </w:tr>
    </w:tbl>
    <w:p w:rsidR="009B3FA2" w:rsidRDefault="009B3FA2" w:rsidP="009B3FA2">
      <w:pPr>
        <w:rPr>
          <w:b/>
        </w:rPr>
      </w:pPr>
    </w:p>
    <w:p w:rsidR="00723936" w:rsidRDefault="00723936" w:rsidP="009B3FA2">
      <w:pPr>
        <w:pStyle w:val="Tabletitle"/>
      </w:pPr>
    </w:p>
    <w:p w:rsidR="00723936" w:rsidRDefault="00723936" w:rsidP="009B3FA2">
      <w:pPr>
        <w:pStyle w:val="Tabletitle"/>
      </w:pPr>
    </w:p>
    <w:p w:rsidR="00723936" w:rsidRDefault="00723936" w:rsidP="009B3FA2">
      <w:pPr>
        <w:pStyle w:val="Tabletitle"/>
      </w:pPr>
    </w:p>
    <w:p w:rsidR="009B3FA2" w:rsidRPr="009B3FA2" w:rsidRDefault="009B3FA2" w:rsidP="009B3FA2">
      <w:pPr>
        <w:pStyle w:val="Tabletitle"/>
      </w:pPr>
      <w:r w:rsidRPr="009B3FA2">
        <w:t>Table S-</w:t>
      </w:r>
      <w:r w:rsidR="00E05958">
        <w:fldChar w:fldCharType="begin"/>
      </w:r>
      <w:r w:rsidR="00E05958">
        <w:instrText xml:space="preserve"> SEQ Table \* ARABIC </w:instrText>
      </w:r>
      <w:r w:rsidR="00E05958">
        <w:fldChar w:fldCharType="separate"/>
      </w:r>
      <w:r w:rsidRPr="009B3FA2">
        <w:t>3</w:t>
      </w:r>
      <w:r w:rsidR="00E05958">
        <w:fldChar w:fldCharType="end"/>
      </w:r>
      <w:r w:rsidRPr="009B3FA2">
        <w:t xml:space="preserve"> </w:t>
      </w:r>
      <w:r w:rsidRPr="008E65C5">
        <w:t>GFAAS temperature program</w:t>
      </w:r>
    </w:p>
    <w:tbl>
      <w:tblPr>
        <w:tblW w:w="29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
        <w:gridCol w:w="816"/>
        <w:gridCol w:w="750"/>
        <w:gridCol w:w="1350"/>
        <w:gridCol w:w="1353"/>
      </w:tblGrid>
      <w:tr w:rsidR="009B3FA2" w:rsidRPr="008E65C5" w:rsidTr="001D43B7">
        <w:tc>
          <w:tcPr>
            <w:tcW w:w="661" w:type="pct"/>
            <w:vAlign w:val="center"/>
          </w:tcPr>
          <w:p w:rsidR="001D43B7" w:rsidRDefault="009B3FA2" w:rsidP="001D43B7">
            <w:pPr>
              <w:spacing w:before="240"/>
              <w:jc w:val="center"/>
              <w:rPr>
                <w:b/>
              </w:rPr>
            </w:pPr>
            <w:r w:rsidRPr="00ED3B85">
              <w:rPr>
                <w:b/>
              </w:rPr>
              <w:t>Step</w:t>
            </w:r>
          </w:p>
          <w:p w:rsidR="009B3FA2" w:rsidRPr="00ED3B85" w:rsidRDefault="009B3FA2" w:rsidP="001D43B7">
            <w:pPr>
              <w:spacing w:before="240"/>
              <w:jc w:val="center"/>
              <w:rPr>
                <w:b/>
              </w:rPr>
            </w:pPr>
            <w:r w:rsidRPr="00ED3B85">
              <w:rPr>
                <w:b/>
              </w:rPr>
              <w:t>n°</w:t>
            </w:r>
          </w:p>
        </w:tc>
        <w:tc>
          <w:tcPr>
            <w:tcW w:w="805" w:type="pct"/>
            <w:vAlign w:val="center"/>
          </w:tcPr>
          <w:p w:rsidR="001D43B7" w:rsidRDefault="009B3FA2" w:rsidP="001D43B7">
            <w:pPr>
              <w:spacing w:before="240"/>
              <w:jc w:val="center"/>
              <w:rPr>
                <w:b/>
              </w:rPr>
            </w:pPr>
            <w:r w:rsidRPr="00ED3B85">
              <w:rPr>
                <w:b/>
              </w:rPr>
              <w:t>Temp</w:t>
            </w:r>
          </w:p>
          <w:p w:rsidR="009B3FA2" w:rsidRPr="00ED3B85" w:rsidRDefault="009B3FA2" w:rsidP="001D43B7">
            <w:pPr>
              <w:spacing w:before="240"/>
              <w:jc w:val="center"/>
              <w:rPr>
                <w:b/>
              </w:rPr>
            </w:pPr>
            <w:r w:rsidRPr="00ED3B85">
              <w:rPr>
                <w:b/>
              </w:rPr>
              <w:t>(°C)</w:t>
            </w:r>
          </w:p>
        </w:tc>
        <w:tc>
          <w:tcPr>
            <w:tcW w:w="740" w:type="pct"/>
            <w:vAlign w:val="center"/>
          </w:tcPr>
          <w:p w:rsidR="001D43B7" w:rsidRDefault="009B3FA2" w:rsidP="001D43B7">
            <w:pPr>
              <w:spacing w:before="240"/>
              <w:jc w:val="center"/>
              <w:rPr>
                <w:b/>
              </w:rPr>
            </w:pPr>
            <w:r w:rsidRPr="00ED3B85">
              <w:rPr>
                <w:b/>
              </w:rPr>
              <w:t>Time</w:t>
            </w:r>
          </w:p>
          <w:p w:rsidR="009B3FA2" w:rsidRPr="00ED3B85" w:rsidRDefault="009B3FA2" w:rsidP="001D43B7">
            <w:pPr>
              <w:spacing w:before="240"/>
              <w:jc w:val="center"/>
              <w:rPr>
                <w:b/>
              </w:rPr>
            </w:pPr>
            <w:r w:rsidRPr="00ED3B85">
              <w:rPr>
                <w:b/>
              </w:rPr>
              <w:t>(sec)</w:t>
            </w:r>
          </w:p>
        </w:tc>
        <w:tc>
          <w:tcPr>
            <w:tcW w:w="1396" w:type="pct"/>
            <w:vAlign w:val="center"/>
          </w:tcPr>
          <w:p w:rsidR="001D43B7" w:rsidRDefault="009B3FA2" w:rsidP="001D43B7">
            <w:pPr>
              <w:spacing w:before="240"/>
              <w:jc w:val="center"/>
              <w:rPr>
                <w:b/>
              </w:rPr>
            </w:pPr>
            <w:r w:rsidRPr="00ED3B85">
              <w:rPr>
                <w:b/>
              </w:rPr>
              <w:t>Ramp</w:t>
            </w:r>
          </w:p>
          <w:p w:rsidR="009B3FA2" w:rsidRPr="00ED3B85" w:rsidRDefault="009B3FA2" w:rsidP="001D43B7">
            <w:pPr>
              <w:spacing w:before="240"/>
              <w:jc w:val="center"/>
              <w:rPr>
                <w:b/>
              </w:rPr>
            </w:pPr>
            <w:r w:rsidRPr="00ED3B85">
              <w:rPr>
                <w:b/>
              </w:rPr>
              <w:t>(°C sec-1)</w:t>
            </w:r>
          </w:p>
        </w:tc>
        <w:tc>
          <w:tcPr>
            <w:tcW w:w="1398" w:type="pct"/>
            <w:vAlign w:val="center"/>
          </w:tcPr>
          <w:p w:rsidR="001D43B7" w:rsidRDefault="009B3FA2" w:rsidP="001D43B7">
            <w:pPr>
              <w:spacing w:before="240"/>
              <w:jc w:val="center"/>
              <w:rPr>
                <w:b/>
              </w:rPr>
            </w:pPr>
            <w:r w:rsidRPr="00ED3B85">
              <w:rPr>
                <w:b/>
              </w:rPr>
              <w:t>Air flow</w:t>
            </w:r>
          </w:p>
          <w:p w:rsidR="009B3FA2" w:rsidRPr="00ED3B85" w:rsidRDefault="009B3FA2" w:rsidP="001D43B7">
            <w:pPr>
              <w:spacing w:before="240"/>
              <w:jc w:val="center"/>
              <w:rPr>
                <w:b/>
              </w:rPr>
            </w:pPr>
            <w:r w:rsidRPr="00ED3B85">
              <w:rPr>
                <w:b/>
              </w:rPr>
              <w:t>(L min</w:t>
            </w:r>
            <w:r w:rsidRPr="001D43B7">
              <w:rPr>
                <w:b/>
                <w:vertAlign w:val="superscript"/>
              </w:rPr>
              <w:t>-1</w:t>
            </w:r>
            <w:r w:rsidRPr="00ED3B85">
              <w:rPr>
                <w:b/>
              </w:rPr>
              <w:t>)</w:t>
            </w:r>
          </w:p>
        </w:tc>
      </w:tr>
      <w:tr w:rsidR="009B3FA2" w:rsidRPr="008E65C5" w:rsidTr="001D43B7">
        <w:tc>
          <w:tcPr>
            <w:tcW w:w="661" w:type="pct"/>
            <w:vAlign w:val="center"/>
          </w:tcPr>
          <w:p w:rsidR="009B3FA2" w:rsidRPr="00ED3B85" w:rsidRDefault="009B3FA2" w:rsidP="00B61C5E">
            <w:pPr>
              <w:jc w:val="center"/>
              <w:rPr>
                <w:shd w:val="clear" w:color="auto" w:fill="FFFFFF"/>
              </w:rPr>
            </w:pPr>
            <w:r w:rsidRPr="00ED3B85">
              <w:rPr>
                <w:shd w:val="clear" w:color="auto" w:fill="FFFFFF"/>
              </w:rPr>
              <w:t>1</w:t>
            </w:r>
          </w:p>
        </w:tc>
        <w:tc>
          <w:tcPr>
            <w:tcW w:w="805" w:type="pct"/>
            <w:vAlign w:val="center"/>
          </w:tcPr>
          <w:p w:rsidR="009B3FA2" w:rsidRPr="00ED3B85" w:rsidRDefault="009B3FA2" w:rsidP="00B61C5E">
            <w:pPr>
              <w:jc w:val="center"/>
              <w:rPr>
                <w:shd w:val="clear" w:color="auto" w:fill="FFFFFF"/>
              </w:rPr>
            </w:pPr>
            <w:r w:rsidRPr="00ED3B85">
              <w:rPr>
                <w:shd w:val="clear" w:color="auto" w:fill="FFFFFF"/>
              </w:rPr>
              <w:t>110</w:t>
            </w:r>
          </w:p>
        </w:tc>
        <w:tc>
          <w:tcPr>
            <w:tcW w:w="740" w:type="pct"/>
            <w:vAlign w:val="center"/>
          </w:tcPr>
          <w:p w:rsidR="009B3FA2" w:rsidRPr="00ED3B85" w:rsidRDefault="009B3FA2" w:rsidP="00B61C5E">
            <w:pPr>
              <w:jc w:val="center"/>
              <w:rPr>
                <w:shd w:val="clear" w:color="auto" w:fill="FFFFFF"/>
              </w:rPr>
            </w:pPr>
            <w:r w:rsidRPr="00ED3B85">
              <w:rPr>
                <w:shd w:val="clear" w:color="auto" w:fill="FFFFFF"/>
              </w:rPr>
              <w:t>20</w:t>
            </w:r>
          </w:p>
        </w:tc>
        <w:tc>
          <w:tcPr>
            <w:tcW w:w="1396" w:type="pct"/>
            <w:vAlign w:val="center"/>
          </w:tcPr>
          <w:p w:rsidR="009B3FA2" w:rsidRPr="00ED3B85" w:rsidRDefault="009B3FA2" w:rsidP="00B61C5E">
            <w:pPr>
              <w:jc w:val="center"/>
              <w:rPr>
                <w:shd w:val="clear" w:color="auto" w:fill="FFFFFF"/>
              </w:rPr>
            </w:pPr>
            <w:r w:rsidRPr="00ED3B85">
              <w:rPr>
                <w:shd w:val="clear" w:color="auto" w:fill="FFFFFF"/>
              </w:rPr>
              <w:t>5</w:t>
            </w:r>
          </w:p>
        </w:tc>
        <w:tc>
          <w:tcPr>
            <w:tcW w:w="1398" w:type="pct"/>
            <w:vAlign w:val="center"/>
          </w:tcPr>
          <w:p w:rsidR="009B3FA2" w:rsidRPr="00ED3B85" w:rsidRDefault="009B3FA2" w:rsidP="00B61C5E">
            <w:pPr>
              <w:jc w:val="center"/>
              <w:rPr>
                <w:shd w:val="clear" w:color="auto" w:fill="FFFFFF"/>
              </w:rPr>
            </w:pPr>
            <w:r w:rsidRPr="00ED3B85">
              <w:rPr>
                <w:shd w:val="clear" w:color="auto" w:fill="FFFFFF"/>
              </w:rPr>
              <w:t>0.1</w:t>
            </w:r>
          </w:p>
        </w:tc>
      </w:tr>
      <w:tr w:rsidR="009B3FA2" w:rsidRPr="008E65C5" w:rsidTr="001D43B7">
        <w:tc>
          <w:tcPr>
            <w:tcW w:w="661" w:type="pct"/>
            <w:vAlign w:val="center"/>
          </w:tcPr>
          <w:p w:rsidR="009B3FA2" w:rsidRPr="00ED3B85" w:rsidRDefault="009B3FA2" w:rsidP="00B61C5E">
            <w:pPr>
              <w:jc w:val="center"/>
              <w:rPr>
                <w:shd w:val="clear" w:color="auto" w:fill="FFFFFF"/>
              </w:rPr>
            </w:pPr>
            <w:r w:rsidRPr="00ED3B85">
              <w:rPr>
                <w:shd w:val="clear" w:color="auto" w:fill="FFFFFF"/>
              </w:rPr>
              <w:t>2</w:t>
            </w:r>
          </w:p>
        </w:tc>
        <w:tc>
          <w:tcPr>
            <w:tcW w:w="805" w:type="pct"/>
            <w:vAlign w:val="center"/>
          </w:tcPr>
          <w:p w:rsidR="009B3FA2" w:rsidRPr="00ED3B85" w:rsidRDefault="009B3FA2" w:rsidP="00B61C5E">
            <w:pPr>
              <w:jc w:val="center"/>
              <w:rPr>
                <w:shd w:val="clear" w:color="auto" w:fill="FFFFFF"/>
              </w:rPr>
            </w:pPr>
            <w:r w:rsidRPr="00ED3B85">
              <w:rPr>
                <w:shd w:val="clear" w:color="auto" w:fill="FFFFFF"/>
              </w:rPr>
              <w:t>160</w:t>
            </w:r>
          </w:p>
        </w:tc>
        <w:tc>
          <w:tcPr>
            <w:tcW w:w="740" w:type="pct"/>
            <w:vAlign w:val="center"/>
          </w:tcPr>
          <w:p w:rsidR="009B3FA2" w:rsidRPr="00ED3B85" w:rsidRDefault="009B3FA2" w:rsidP="00B61C5E">
            <w:pPr>
              <w:jc w:val="center"/>
              <w:rPr>
                <w:shd w:val="clear" w:color="auto" w:fill="FFFFFF"/>
              </w:rPr>
            </w:pPr>
            <w:r w:rsidRPr="00ED3B85">
              <w:rPr>
                <w:shd w:val="clear" w:color="auto" w:fill="FFFFFF"/>
              </w:rPr>
              <w:t>10</w:t>
            </w:r>
          </w:p>
        </w:tc>
        <w:tc>
          <w:tcPr>
            <w:tcW w:w="1396" w:type="pct"/>
            <w:vAlign w:val="center"/>
          </w:tcPr>
          <w:p w:rsidR="009B3FA2" w:rsidRPr="00ED3B85" w:rsidRDefault="009B3FA2" w:rsidP="00B61C5E">
            <w:pPr>
              <w:jc w:val="center"/>
              <w:rPr>
                <w:shd w:val="clear" w:color="auto" w:fill="FFFFFF"/>
              </w:rPr>
            </w:pPr>
            <w:r w:rsidRPr="00ED3B85">
              <w:rPr>
                <w:shd w:val="clear" w:color="auto" w:fill="FFFFFF"/>
              </w:rPr>
              <w:t>5</w:t>
            </w:r>
          </w:p>
        </w:tc>
        <w:tc>
          <w:tcPr>
            <w:tcW w:w="1398" w:type="pct"/>
            <w:vAlign w:val="center"/>
          </w:tcPr>
          <w:p w:rsidR="009B3FA2" w:rsidRPr="00ED3B85" w:rsidRDefault="009B3FA2" w:rsidP="00B61C5E">
            <w:pPr>
              <w:jc w:val="center"/>
              <w:rPr>
                <w:shd w:val="clear" w:color="auto" w:fill="FFFFFF"/>
              </w:rPr>
            </w:pPr>
            <w:r w:rsidRPr="00ED3B85">
              <w:rPr>
                <w:shd w:val="clear" w:color="auto" w:fill="FFFFFF"/>
              </w:rPr>
              <w:t>0.1</w:t>
            </w:r>
          </w:p>
        </w:tc>
      </w:tr>
      <w:tr w:rsidR="009B3FA2" w:rsidRPr="008E65C5" w:rsidTr="001D43B7">
        <w:tc>
          <w:tcPr>
            <w:tcW w:w="661" w:type="pct"/>
            <w:vAlign w:val="center"/>
          </w:tcPr>
          <w:p w:rsidR="009B3FA2" w:rsidRPr="00ED3B85" w:rsidRDefault="009B3FA2" w:rsidP="00B61C5E">
            <w:pPr>
              <w:jc w:val="center"/>
              <w:rPr>
                <w:shd w:val="clear" w:color="auto" w:fill="FFFFFF"/>
              </w:rPr>
            </w:pPr>
            <w:r w:rsidRPr="00ED3B85">
              <w:rPr>
                <w:shd w:val="clear" w:color="auto" w:fill="FFFFFF"/>
              </w:rPr>
              <w:t>3</w:t>
            </w:r>
          </w:p>
        </w:tc>
        <w:tc>
          <w:tcPr>
            <w:tcW w:w="805" w:type="pct"/>
            <w:vAlign w:val="center"/>
          </w:tcPr>
          <w:p w:rsidR="009B3FA2" w:rsidRPr="00ED3B85" w:rsidRDefault="009B3FA2" w:rsidP="00B61C5E">
            <w:pPr>
              <w:jc w:val="center"/>
              <w:rPr>
                <w:shd w:val="clear" w:color="auto" w:fill="FFFFFF"/>
              </w:rPr>
            </w:pPr>
            <w:r w:rsidRPr="00ED3B85">
              <w:rPr>
                <w:shd w:val="clear" w:color="auto" w:fill="FFFFFF"/>
              </w:rPr>
              <w:t>800</w:t>
            </w:r>
          </w:p>
        </w:tc>
        <w:tc>
          <w:tcPr>
            <w:tcW w:w="740" w:type="pct"/>
            <w:vAlign w:val="center"/>
          </w:tcPr>
          <w:p w:rsidR="009B3FA2" w:rsidRPr="00ED3B85" w:rsidRDefault="009B3FA2" w:rsidP="00B61C5E">
            <w:pPr>
              <w:jc w:val="center"/>
              <w:rPr>
                <w:shd w:val="clear" w:color="auto" w:fill="FFFFFF"/>
              </w:rPr>
            </w:pPr>
            <w:r w:rsidRPr="00ED3B85">
              <w:rPr>
                <w:shd w:val="clear" w:color="auto" w:fill="FFFFFF"/>
              </w:rPr>
              <w:t>30</w:t>
            </w:r>
          </w:p>
        </w:tc>
        <w:tc>
          <w:tcPr>
            <w:tcW w:w="1396" w:type="pct"/>
            <w:vAlign w:val="center"/>
          </w:tcPr>
          <w:p w:rsidR="009B3FA2" w:rsidRPr="00ED3B85" w:rsidRDefault="009B3FA2" w:rsidP="00B61C5E">
            <w:pPr>
              <w:jc w:val="center"/>
              <w:rPr>
                <w:shd w:val="clear" w:color="auto" w:fill="FFFFFF"/>
              </w:rPr>
            </w:pPr>
            <w:r w:rsidRPr="00ED3B85">
              <w:rPr>
                <w:shd w:val="clear" w:color="auto" w:fill="FFFFFF"/>
              </w:rPr>
              <w:t>30</w:t>
            </w:r>
          </w:p>
        </w:tc>
        <w:tc>
          <w:tcPr>
            <w:tcW w:w="1398" w:type="pct"/>
            <w:vAlign w:val="center"/>
          </w:tcPr>
          <w:p w:rsidR="009B3FA2" w:rsidRPr="00ED3B85" w:rsidRDefault="009B3FA2" w:rsidP="00B61C5E">
            <w:pPr>
              <w:jc w:val="center"/>
              <w:rPr>
                <w:shd w:val="clear" w:color="auto" w:fill="FFFFFF"/>
              </w:rPr>
            </w:pPr>
            <w:r w:rsidRPr="00ED3B85">
              <w:rPr>
                <w:shd w:val="clear" w:color="auto" w:fill="FFFFFF"/>
              </w:rPr>
              <w:t>0.2</w:t>
            </w:r>
          </w:p>
        </w:tc>
      </w:tr>
      <w:tr w:rsidR="009B3FA2" w:rsidRPr="008E65C5" w:rsidTr="001D43B7">
        <w:tc>
          <w:tcPr>
            <w:tcW w:w="661" w:type="pct"/>
            <w:vAlign w:val="center"/>
          </w:tcPr>
          <w:p w:rsidR="009B3FA2" w:rsidRPr="00ED3B85" w:rsidRDefault="009B3FA2" w:rsidP="00B61C5E">
            <w:pPr>
              <w:jc w:val="center"/>
              <w:rPr>
                <w:shd w:val="clear" w:color="auto" w:fill="FFFFFF"/>
              </w:rPr>
            </w:pPr>
            <w:r w:rsidRPr="00ED3B85">
              <w:rPr>
                <w:shd w:val="clear" w:color="auto" w:fill="FFFFFF"/>
              </w:rPr>
              <w:t>4</w:t>
            </w:r>
          </w:p>
        </w:tc>
        <w:tc>
          <w:tcPr>
            <w:tcW w:w="805" w:type="pct"/>
            <w:vAlign w:val="center"/>
          </w:tcPr>
          <w:p w:rsidR="009B3FA2" w:rsidRPr="00ED3B85" w:rsidRDefault="009B3FA2" w:rsidP="00B61C5E">
            <w:pPr>
              <w:jc w:val="center"/>
              <w:rPr>
                <w:shd w:val="clear" w:color="auto" w:fill="FFFFFF"/>
              </w:rPr>
            </w:pPr>
            <w:r w:rsidRPr="00ED3B85">
              <w:rPr>
                <w:shd w:val="clear" w:color="auto" w:fill="FFFFFF"/>
              </w:rPr>
              <w:t>1500</w:t>
            </w:r>
          </w:p>
        </w:tc>
        <w:tc>
          <w:tcPr>
            <w:tcW w:w="740" w:type="pct"/>
            <w:vAlign w:val="center"/>
          </w:tcPr>
          <w:p w:rsidR="009B3FA2" w:rsidRPr="00ED3B85" w:rsidRDefault="009B3FA2" w:rsidP="00B61C5E">
            <w:pPr>
              <w:jc w:val="center"/>
              <w:rPr>
                <w:shd w:val="clear" w:color="auto" w:fill="FFFFFF"/>
              </w:rPr>
            </w:pPr>
            <w:r w:rsidRPr="00ED3B85">
              <w:rPr>
                <w:shd w:val="clear" w:color="auto" w:fill="FFFFFF"/>
              </w:rPr>
              <w:t>3</w:t>
            </w:r>
          </w:p>
        </w:tc>
        <w:tc>
          <w:tcPr>
            <w:tcW w:w="1396" w:type="pct"/>
            <w:vAlign w:val="center"/>
          </w:tcPr>
          <w:p w:rsidR="009B3FA2" w:rsidRPr="00ED3B85" w:rsidRDefault="009B3FA2" w:rsidP="00B61C5E">
            <w:pPr>
              <w:jc w:val="center"/>
              <w:rPr>
                <w:shd w:val="clear" w:color="auto" w:fill="FFFFFF"/>
              </w:rPr>
            </w:pPr>
            <w:r w:rsidRPr="00ED3B85">
              <w:rPr>
                <w:shd w:val="clear" w:color="auto" w:fill="FFFFFF"/>
              </w:rPr>
              <w:t>0</w:t>
            </w:r>
          </w:p>
        </w:tc>
        <w:tc>
          <w:tcPr>
            <w:tcW w:w="1398" w:type="pct"/>
            <w:vAlign w:val="center"/>
          </w:tcPr>
          <w:p w:rsidR="009B3FA2" w:rsidRPr="00ED3B85" w:rsidRDefault="009B3FA2" w:rsidP="00B61C5E">
            <w:pPr>
              <w:jc w:val="center"/>
              <w:rPr>
                <w:shd w:val="clear" w:color="auto" w:fill="FFFFFF"/>
              </w:rPr>
            </w:pPr>
            <w:r w:rsidRPr="00ED3B85">
              <w:rPr>
                <w:shd w:val="clear" w:color="auto" w:fill="FFFFFF"/>
              </w:rPr>
              <w:t>Off</w:t>
            </w:r>
          </w:p>
        </w:tc>
      </w:tr>
      <w:tr w:rsidR="009B3FA2" w:rsidRPr="008E65C5" w:rsidTr="001D43B7">
        <w:tc>
          <w:tcPr>
            <w:tcW w:w="661" w:type="pct"/>
            <w:vAlign w:val="center"/>
          </w:tcPr>
          <w:p w:rsidR="009B3FA2" w:rsidRPr="00ED3B85" w:rsidRDefault="009B3FA2" w:rsidP="00B61C5E">
            <w:pPr>
              <w:jc w:val="center"/>
              <w:rPr>
                <w:shd w:val="clear" w:color="auto" w:fill="FFFFFF"/>
              </w:rPr>
            </w:pPr>
            <w:r w:rsidRPr="00ED3B85">
              <w:rPr>
                <w:shd w:val="clear" w:color="auto" w:fill="FFFFFF"/>
              </w:rPr>
              <w:t>5</w:t>
            </w:r>
          </w:p>
        </w:tc>
        <w:tc>
          <w:tcPr>
            <w:tcW w:w="805" w:type="pct"/>
            <w:vAlign w:val="center"/>
          </w:tcPr>
          <w:p w:rsidR="009B3FA2" w:rsidRPr="00ED3B85" w:rsidRDefault="009B3FA2" w:rsidP="00B61C5E">
            <w:pPr>
              <w:jc w:val="center"/>
              <w:rPr>
                <w:shd w:val="clear" w:color="auto" w:fill="FFFFFF"/>
              </w:rPr>
            </w:pPr>
            <w:r w:rsidRPr="00ED3B85">
              <w:rPr>
                <w:shd w:val="clear" w:color="auto" w:fill="FFFFFF"/>
              </w:rPr>
              <w:t>2700</w:t>
            </w:r>
          </w:p>
        </w:tc>
        <w:tc>
          <w:tcPr>
            <w:tcW w:w="740" w:type="pct"/>
            <w:vAlign w:val="center"/>
          </w:tcPr>
          <w:p w:rsidR="009B3FA2" w:rsidRPr="00ED3B85" w:rsidRDefault="009B3FA2" w:rsidP="00B61C5E">
            <w:pPr>
              <w:jc w:val="center"/>
              <w:rPr>
                <w:shd w:val="clear" w:color="auto" w:fill="FFFFFF"/>
              </w:rPr>
            </w:pPr>
            <w:r w:rsidRPr="00ED3B85">
              <w:rPr>
                <w:shd w:val="clear" w:color="auto" w:fill="FFFFFF"/>
              </w:rPr>
              <w:t>3</w:t>
            </w:r>
          </w:p>
        </w:tc>
        <w:tc>
          <w:tcPr>
            <w:tcW w:w="1396" w:type="pct"/>
            <w:vAlign w:val="center"/>
          </w:tcPr>
          <w:p w:rsidR="009B3FA2" w:rsidRPr="00ED3B85" w:rsidRDefault="009B3FA2" w:rsidP="00B61C5E">
            <w:pPr>
              <w:jc w:val="center"/>
              <w:rPr>
                <w:shd w:val="clear" w:color="auto" w:fill="FFFFFF"/>
              </w:rPr>
            </w:pPr>
            <w:r w:rsidRPr="00ED3B85">
              <w:rPr>
                <w:shd w:val="clear" w:color="auto" w:fill="FFFFFF"/>
              </w:rPr>
              <w:t>0</w:t>
            </w:r>
          </w:p>
        </w:tc>
        <w:tc>
          <w:tcPr>
            <w:tcW w:w="1398" w:type="pct"/>
            <w:vAlign w:val="center"/>
          </w:tcPr>
          <w:p w:rsidR="009B3FA2" w:rsidRPr="00ED3B85" w:rsidRDefault="009B3FA2" w:rsidP="00B61C5E">
            <w:pPr>
              <w:jc w:val="center"/>
              <w:rPr>
                <w:shd w:val="clear" w:color="auto" w:fill="FFFFFF"/>
              </w:rPr>
            </w:pPr>
            <w:r w:rsidRPr="00ED3B85">
              <w:rPr>
                <w:shd w:val="clear" w:color="auto" w:fill="FFFFFF"/>
              </w:rPr>
              <w:t>0.3</w:t>
            </w:r>
          </w:p>
        </w:tc>
      </w:tr>
    </w:tbl>
    <w:p w:rsidR="008823AD" w:rsidRDefault="008823AD" w:rsidP="009B3FA2">
      <w:pPr>
        <w:pStyle w:val="Tabletitle"/>
      </w:pPr>
    </w:p>
    <w:p w:rsidR="008823AD" w:rsidRDefault="008823AD" w:rsidP="009B3FA2">
      <w:pPr>
        <w:pStyle w:val="Tabletitle"/>
      </w:pPr>
    </w:p>
    <w:p w:rsidR="008823AD" w:rsidRDefault="008823AD" w:rsidP="009B3FA2">
      <w:pPr>
        <w:pStyle w:val="Tabletitle"/>
      </w:pPr>
    </w:p>
    <w:p w:rsidR="009B3FA2" w:rsidRPr="009B3FA2" w:rsidRDefault="009B3FA2" w:rsidP="009B3FA2">
      <w:pPr>
        <w:pStyle w:val="Tabletitle"/>
      </w:pPr>
      <w:r w:rsidRPr="009B3FA2">
        <w:lastRenderedPageBreak/>
        <w:t>Table S-</w:t>
      </w:r>
      <w:r w:rsidR="00E05958">
        <w:fldChar w:fldCharType="begin"/>
      </w:r>
      <w:r w:rsidR="00E05958">
        <w:instrText xml:space="preserve"> SEQ Table \* ARABIC </w:instrText>
      </w:r>
      <w:r w:rsidR="00E05958">
        <w:fldChar w:fldCharType="separate"/>
      </w:r>
      <w:r w:rsidRPr="009B3FA2">
        <w:t>4</w:t>
      </w:r>
      <w:r w:rsidR="00E05958">
        <w:fldChar w:fldCharType="end"/>
      </w:r>
      <w:r w:rsidRPr="003C4202">
        <w:t xml:space="preserve"> </w:t>
      </w:r>
      <w:r w:rsidRPr="004A028E">
        <w:t>Operating conditions for Ag determination by ICP-MS.</w:t>
      </w:r>
    </w:p>
    <w:tbl>
      <w:tblPr>
        <w:tblW w:w="4872" w:type="dxa"/>
        <w:tblCellMar>
          <w:left w:w="70" w:type="dxa"/>
          <w:right w:w="70" w:type="dxa"/>
        </w:tblCellMar>
        <w:tblLook w:val="00A0" w:firstRow="1" w:lastRow="0" w:firstColumn="1" w:lastColumn="0" w:noHBand="0" w:noVBand="0"/>
      </w:tblPr>
      <w:tblGrid>
        <w:gridCol w:w="3331"/>
        <w:gridCol w:w="1541"/>
      </w:tblGrid>
      <w:tr w:rsidR="009B3FA2" w:rsidRPr="00DF7A8B" w:rsidTr="001D43B7">
        <w:trPr>
          <w:trHeight w:val="345"/>
        </w:trPr>
        <w:tc>
          <w:tcPr>
            <w:tcW w:w="3331" w:type="dxa"/>
            <w:tcBorders>
              <w:top w:val="single" w:sz="4" w:space="0" w:color="auto"/>
              <w:left w:val="single" w:sz="4" w:space="0" w:color="auto"/>
              <w:bottom w:val="single" w:sz="4" w:space="0" w:color="auto"/>
              <w:right w:val="single" w:sz="4" w:space="0" w:color="auto"/>
            </w:tcBorders>
            <w:noWrap/>
            <w:vAlign w:val="center"/>
          </w:tcPr>
          <w:p w:rsidR="009B3FA2" w:rsidRPr="003C4202" w:rsidRDefault="009B3FA2" w:rsidP="00B61C5E">
            <w:pPr>
              <w:spacing w:before="240"/>
              <w:rPr>
                <w:b/>
              </w:rPr>
            </w:pPr>
            <w:r w:rsidRPr="003C4202">
              <w:rPr>
                <w:b/>
              </w:rPr>
              <w:t>Argon auxiliary gas flow rate</w:t>
            </w:r>
          </w:p>
        </w:tc>
        <w:tc>
          <w:tcPr>
            <w:tcW w:w="1541" w:type="dxa"/>
            <w:tcBorders>
              <w:top w:val="single" w:sz="4" w:space="0" w:color="auto"/>
              <w:left w:val="nil"/>
              <w:bottom w:val="single" w:sz="4" w:space="0" w:color="auto"/>
              <w:right w:val="single" w:sz="4" w:space="0" w:color="auto"/>
            </w:tcBorders>
            <w:noWrap/>
            <w:vAlign w:val="center"/>
          </w:tcPr>
          <w:p w:rsidR="009B3FA2" w:rsidRPr="003C4202" w:rsidRDefault="009B3FA2" w:rsidP="00B61C5E">
            <w:pPr>
              <w:jc w:val="center"/>
              <w:rPr>
                <w:shd w:val="clear" w:color="auto" w:fill="FFFFFF"/>
              </w:rPr>
            </w:pPr>
            <w:r w:rsidRPr="003C4202">
              <w:rPr>
                <w:shd w:val="clear" w:color="auto" w:fill="FFFFFF"/>
              </w:rPr>
              <w:t>1.2  l·min−1</w:t>
            </w:r>
          </w:p>
        </w:tc>
      </w:tr>
      <w:tr w:rsidR="009B3FA2" w:rsidRPr="00DF7A8B" w:rsidTr="001D43B7">
        <w:trPr>
          <w:trHeight w:val="345"/>
        </w:trPr>
        <w:tc>
          <w:tcPr>
            <w:tcW w:w="3331" w:type="dxa"/>
            <w:tcBorders>
              <w:top w:val="nil"/>
              <w:left w:val="single" w:sz="4" w:space="0" w:color="auto"/>
              <w:bottom w:val="single" w:sz="4" w:space="0" w:color="auto"/>
              <w:right w:val="single" w:sz="4" w:space="0" w:color="auto"/>
            </w:tcBorders>
            <w:noWrap/>
            <w:vAlign w:val="center"/>
          </w:tcPr>
          <w:p w:rsidR="009B3FA2" w:rsidRPr="003C4202" w:rsidRDefault="009B3FA2" w:rsidP="00B61C5E">
            <w:pPr>
              <w:spacing w:before="240"/>
              <w:rPr>
                <w:b/>
              </w:rPr>
            </w:pPr>
            <w:r w:rsidRPr="003C4202">
              <w:rPr>
                <w:b/>
              </w:rPr>
              <w:t>Argon plasma gas flow rate</w:t>
            </w:r>
          </w:p>
        </w:tc>
        <w:tc>
          <w:tcPr>
            <w:tcW w:w="1541" w:type="dxa"/>
            <w:tcBorders>
              <w:top w:val="nil"/>
              <w:left w:val="nil"/>
              <w:bottom w:val="single" w:sz="4" w:space="0" w:color="auto"/>
              <w:right w:val="single" w:sz="4" w:space="0" w:color="auto"/>
            </w:tcBorders>
            <w:noWrap/>
            <w:vAlign w:val="center"/>
          </w:tcPr>
          <w:p w:rsidR="009B3FA2" w:rsidRPr="003C4202" w:rsidRDefault="009B3FA2" w:rsidP="00B61C5E">
            <w:pPr>
              <w:jc w:val="center"/>
              <w:rPr>
                <w:shd w:val="clear" w:color="auto" w:fill="FFFFFF"/>
              </w:rPr>
            </w:pPr>
            <w:r w:rsidRPr="003C4202">
              <w:rPr>
                <w:shd w:val="clear" w:color="auto" w:fill="FFFFFF"/>
              </w:rPr>
              <w:t>12  l·min−1</w:t>
            </w:r>
          </w:p>
        </w:tc>
      </w:tr>
      <w:tr w:rsidR="009B3FA2" w:rsidRPr="00DF7A8B" w:rsidTr="001D43B7">
        <w:trPr>
          <w:trHeight w:val="330"/>
        </w:trPr>
        <w:tc>
          <w:tcPr>
            <w:tcW w:w="3331" w:type="dxa"/>
            <w:tcBorders>
              <w:top w:val="single" w:sz="4" w:space="0" w:color="auto"/>
              <w:left w:val="single" w:sz="4" w:space="0" w:color="auto"/>
              <w:bottom w:val="single" w:sz="4" w:space="0" w:color="auto"/>
              <w:right w:val="single" w:sz="4" w:space="0" w:color="auto"/>
            </w:tcBorders>
            <w:noWrap/>
            <w:vAlign w:val="center"/>
          </w:tcPr>
          <w:p w:rsidR="009B3FA2" w:rsidRPr="003C4202" w:rsidRDefault="009B3FA2" w:rsidP="00B61C5E">
            <w:pPr>
              <w:spacing w:before="240"/>
              <w:rPr>
                <w:b/>
              </w:rPr>
            </w:pPr>
            <w:r w:rsidRPr="003C4202">
              <w:rPr>
                <w:b/>
              </w:rPr>
              <w:t>Argon nebulizer flow rate</w:t>
            </w:r>
          </w:p>
        </w:tc>
        <w:tc>
          <w:tcPr>
            <w:tcW w:w="1541" w:type="dxa"/>
            <w:tcBorders>
              <w:top w:val="single" w:sz="4" w:space="0" w:color="auto"/>
              <w:left w:val="nil"/>
              <w:bottom w:val="single" w:sz="4" w:space="0" w:color="auto"/>
              <w:right w:val="single" w:sz="4" w:space="0" w:color="auto"/>
            </w:tcBorders>
            <w:noWrap/>
            <w:vAlign w:val="center"/>
          </w:tcPr>
          <w:p w:rsidR="009B3FA2" w:rsidRPr="003C4202" w:rsidRDefault="009B3FA2" w:rsidP="00B61C5E">
            <w:pPr>
              <w:jc w:val="center"/>
              <w:rPr>
                <w:shd w:val="clear" w:color="auto" w:fill="FFFFFF"/>
              </w:rPr>
            </w:pPr>
            <w:r w:rsidRPr="003C4202">
              <w:rPr>
                <w:shd w:val="clear" w:color="auto" w:fill="FFFFFF"/>
              </w:rPr>
              <w:t>1 l·min−1</w:t>
            </w:r>
          </w:p>
        </w:tc>
      </w:tr>
      <w:tr w:rsidR="009B3FA2" w:rsidRPr="00DF7A8B" w:rsidTr="001D43B7">
        <w:trPr>
          <w:trHeight w:val="330"/>
        </w:trPr>
        <w:tc>
          <w:tcPr>
            <w:tcW w:w="3331" w:type="dxa"/>
            <w:tcBorders>
              <w:top w:val="nil"/>
              <w:left w:val="single" w:sz="4" w:space="0" w:color="auto"/>
              <w:bottom w:val="single" w:sz="4" w:space="0" w:color="auto"/>
              <w:right w:val="single" w:sz="4" w:space="0" w:color="auto"/>
            </w:tcBorders>
            <w:noWrap/>
            <w:vAlign w:val="center"/>
          </w:tcPr>
          <w:p w:rsidR="009B3FA2" w:rsidRPr="003C4202" w:rsidRDefault="009B3FA2" w:rsidP="00B61C5E">
            <w:pPr>
              <w:spacing w:before="240"/>
              <w:rPr>
                <w:b/>
              </w:rPr>
            </w:pPr>
            <w:r w:rsidRPr="003C4202">
              <w:rPr>
                <w:b/>
              </w:rPr>
              <w:t>RF Power</w:t>
            </w:r>
          </w:p>
        </w:tc>
        <w:tc>
          <w:tcPr>
            <w:tcW w:w="1541" w:type="dxa"/>
            <w:tcBorders>
              <w:top w:val="nil"/>
              <w:left w:val="nil"/>
              <w:bottom w:val="single" w:sz="4" w:space="0" w:color="auto"/>
              <w:right w:val="single" w:sz="4" w:space="0" w:color="auto"/>
            </w:tcBorders>
            <w:noWrap/>
            <w:vAlign w:val="center"/>
          </w:tcPr>
          <w:p w:rsidR="009B3FA2" w:rsidRPr="003C4202" w:rsidRDefault="009B3FA2" w:rsidP="00B61C5E">
            <w:pPr>
              <w:jc w:val="center"/>
              <w:rPr>
                <w:shd w:val="clear" w:color="auto" w:fill="FFFFFF"/>
              </w:rPr>
            </w:pPr>
            <w:r w:rsidRPr="003C4202">
              <w:rPr>
                <w:shd w:val="clear" w:color="auto" w:fill="FFFFFF"/>
              </w:rPr>
              <w:t>1500 W</w:t>
            </w:r>
          </w:p>
        </w:tc>
      </w:tr>
      <w:tr w:rsidR="009B3FA2" w:rsidRPr="00DF7A8B" w:rsidTr="001D43B7">
        <w:trPr>
          <w:trHeight w:val="330"/>
        </w:trPr>
        <w:tc>
          <w:tcPr>
            <w:tcW w:w="3331" w:type="dxa"/>
            <w:tcBorders>
              <w:top w:val="nil"/>
              <w:left w:val="single" w:sz="4" w:space="0" w:color="auto"/>
              <w:bottom w:val="single" w:sz="4" w:space="0" w:color="auto"/>
              <w:right w:val="single" w:sz="4" w:space="0" w:color="auto"/>
            </w:tcBorders>
            <w:noWrap/>
            <w:vAlign w:val="center"/>
          </w:tcPr>
          <w:p w:rsidR="009B3FA2" w:rsidRPr="003C4202" w:rsidRDefault="009B3FA2" w:rsidP="00B61C5E">
            <w:pPr>
              <w:spacing w:before="240"/>
              <w:rPr>
                <w:b/>
              </w:rPr>
            </w:pPr>
            <w:r w:rsidRPr="003C4202">
              <w:rPr>
                <w:b/>
              </w:rPr>
              <w:t>Spray chamber</w:t>
            </w:r>
          </w:p>
        </w:tc>
        <w:tc>
          <w:tcPr>
            <w:tcW w:w="1541" w:type="dxa"/>
            <w:tcBorders>
              <w:top w:val="nil"/>
              <w:left w:val="nil"/>
              <w:bottom w:val="single" w:sz="4" w:space="0" w:color="auto"/>
              <w:right w:val="single" w:sz="4" w:space="0" w:color="auto"/>
            </w:tcBorders>
            <w:noWrap/>
            <w:vAlign w:val="center"/>
          </w:tcPr>
          <w:p w:rsidR="009B3FA2" w:rsidRPr="003C4202" w:rsidRDefault="009B3FA2" w:rsidP="00B61C5E">
            <w:pPr>
              <w:jc w:val="center"/>
              <w:rPr>
                <w:shd w:val="clear" w:color="auto" w:fill="FFFFFF"/>
              </w:rPr>
            </w:pPr>
            <w:r w:rsidRPr="003C4202">
              <w:rPr>
                <w:shd w:val="clear" w:color="auto" w:fill="FFFFFF"/>
              </w:rPr>
              <w:t>Quartz cyclonic</w:t>
            </w:r>
          </w:p>
        </w:tc>
      </w:tr>
      <w:tr w:rsidR="009B3FA2" w:rsidRPr="00DF7A8B" w:rsidTr="001D43B7">
        <w:trPr>
          <w:trHeight w:val="330"/>
        </w:trPr>
        <w:tc>
          <w:tcPr>
            <w:tcW w:w="3331" w:type="dxa"/>
            <w:tcBorders>
              <w:top w:val="nil"/>
              <w:left w:val="single" w:sz="4" w:space="0" w:color="auto"/>
              <w:bottom w:val="single" w:sz="4" w:space="0" w:color="auto"/>
              <w:right w:val="single" w:sz="4" w:space="0" w:color="auto"/>
            </w:tcBorders>
            <w:noWrap/>
            <w:vAlign w:val="center"/>
          </w:tcPr>
          <w:p w:rsidR="009B3FA2" w:rsidRPr="003C4202" w:rsidRDefault="009B3FA2" w:rsidP="00B61C5E">
            <w:pPr>
              <w:spacing w:before="240"/>
              <w:rPr>
                <w:b/>
              </w:rPr>
            </w:pPr>
            <w:r w:rsidRPr="003C4202">
              <w:rPr>
                <w:b/>
              </w:rPr>
              <w:t>Nebulizer</w:t>
            </w:r>
          </w:p>
        </w:tc>
        <w:tc>
          <w:tcPr>
            <w:tcW w:w="1541" w:type="dxa"/>
            <w:tcBorders>
              <w:top w:val="nil"/>
              <w:left w:val="nil"/>
              <w:bottom w:val="single" w:sz="4" w:space="0" w:color="auto"/>
              <w:right w:val="single" w:sz="4" w:space="0" w:color="auto"/>
            </w:tcBorders>
            <w:noWrap/>
            <w:vAlign w:val="center"/>
          </w:tcPr>
          <w:p w:rsidR="009B3FA2" w:rsidRPr="003C4202" w:rsidRDefault="009B3FA2" w:rsidP="00B61C5E">
            <w:pPr>
              <w:jc w:val="center"/>
              <w:rPr>
                <w:shd w:val="clear" w:color="auto" w:fill="FFFFFF"/>
              </w:rPr>
            </w:pPr>
            <w:r w:rsidRPr="003C4202">
              <w:rPr>
                <w:shd w:val="clear" w:color="auto" w:fill="FFFFFF"/>
              </w:rPr>
              <w:t>Concentric</w:t>
            </w:r>
          </w:p>
        </w:tc>
      </w:tr>
      <w:tr w:rsidR="009B3FA2" w:rsidRPr="00DF7A8B" w:rsidTr="001D43B7">
        <w:trPr>
          <w:trHeight w:val="330"/>
        </w:trPr>
        <w:tc>
          <w:tcPr>
            <w:tcW w:w="3331" w:type="dxa"/>
            <w:tcBorders>
              <w:top w:val="nil"/>
              <w:left w:val="single" w:sz="4" w:space="0" w:color="auto"/>
              <w:bottom w:val="single" w:sz="4" w:space="0" w:color="auto"/>
              <w:right w:val="single" w:sz="4" w:space="0" w:color="auto"/>
            </w:tcBorders>
            <w:noWrap/>
            <w:vAlign w:val="center"/>
          </w:tcPr>
          <w:p w:rsidR="009B3FA2" w:rsidRPr="009B237E" w:rsidRDefault="009B3FA2" w:rsidP="00B61C5E">
            <w:pPr>
              <w:spacing w:before="240"/>
              <w:rPr>
                <w:b/>
              </w:rPr>
            </w:pPr>
            <w:r w:rsidRPr="009B237E">
              <w:rPr>
                <w:b/>
              </w:rPr>
              <w:t>Sampler and Skimmer</w:t>
            </w:r>
          </w:p>
        </w:tc>
        <w:tc>
          <w:tcPr>
            <w:tcW w:w="1541" w:type="dxa"/>
            <w:tcBorders>
              <w:top w:val="nil"/>
              <w:left w:val="nil"/>
              <w:bottom w:val="single" w:sz="4" w:space="0" w:color="auto"/>
              <w:right w:val="single" w:sz="4" w:space="0" w:color="auto"/>
            </w:tcBorders>
            <w:noWrap/>
            <w:vAlign w:val="center"/>
          </w:tcPr>
          <w:p w:rsidR="009B3FA2" w:rsidRPr="003C4202" w:rsidRDefault="009B3FA2" w:rsidP="00B61C5E">
            <w:pPr>
              <w:jc w:val="center"/>
              <w:rPr>
                <w:shd w:val="clear" w:color="auto" w:fill="FFFFFF"/>
              </w:rPr>
            </w:pPr>
            <w:r w:rsidRPr="003C4202">
              <w:rPr>
                <w:shd w:val="clear" w:color="auto" w:fill="FFFFFF"/>
              </w:rPr>
              <w:t>Ni</w:t>
            </w:r>
          </w:p>
        </w:tc>
      </w:tr>
      <w:tr w:rsidR="009B3FA2" w:rsidRPr="00DF7A8B" w:rsidTr="001D43B7">
        <w:trPr>
          <w:trHeight w:val="330"/>
        </w:trPr>
        <w:tc>
          <w:tcPr>
            <w:tcW w:w="3331" w:type="dxa"/>
            <w:tcBorders>
              <w:top w:val="nil"/>
              <w:left w:val="single" w:sz="4" w:space="0" w:color="auto"/>
              <w:bottom w:val="single" w:sz="4" w:space="0" w:color="auto"/>
              <w:right w:val="single" w:sz="4" w:space="0" w:color="auto"/>
            </w:tcBorders>
            <w:noWrap/>
            <w:vAlign w:val="center"/>
          </w:tcPr>
          <w:p w:rsidR="009B3FA2" w:rsidRPr="009B237E" w:rsidRDefault="009B3FA2" w:rsidP="00B61C5E">
            <w:pPr>
              <w:spacing w:before="240"/>
              <w:rPr>
                <w:b/>
              </w:rPr>
            </w:pPr>
            <w:r w:rsidRPr="009B237E">
              <w:rPr>
                <w:b/>
              </w:rPr>
              <w:t>Dwell time</w:t>
            </w:r>
          </w:p>
        </w:tc>
        <w:tc>
          <w:tcPr>
            <w:tcW w:w="1541" w:type="dxa"/>
            <w:tcBorders>
              <w:top w:val="nil"/>
              <w:left w:val="nil"/>
              <w:bottom w:val="single" w:sz="4" w:space="0" w:color="auto"/>
              <w:right w:val="single" w:sz="4" w:space="0" w:color="auto"/>
            </w:tcBorders>
            <w:noWrap/>
            <w:vAlign w:val="center"/>
          </w:tcPr>
          <w:p w:rsidR="009B3FA2" w:rsidRPr="003C4202" w:rsidRDefault="009B3FA2" w:rsidP="00B61C5E">
            <w:pPr>
              <w:jc w:val="center"/>
              <w:rPr>
                <w:shd w:val="clear" w:color="auto" w:fill="FFFFFF"/>
              </w:rPr>
            </w:pPr>
            <w:r w:rsidRPr="003C4202">
              <w:rPr>
                <w:shd w:val="clear" w:color="auto" w:fill="FFFFFF"/>
              </w:rPr>
              <w:t>50 ms</w:t>
            </w:r>
          </w:p>
        </w:tc>
      </w:tr>
      <w:tr w:rsidR="009B3FA2" w:rsidRPr="00DF7A8B" w:rsidTr="001D43B7">
        <w:trPr>
          <w:trHeight w:val="330"/>
        </w:trPr>
        <w:tc>
          <w:tcPr>
            <w:tcW w:w="3331" w:type="dxa"/>
            <w:tcBorders>
              <w:top w:val="nil"/>
              <w:left w:val="single" w:sz="4" w:space="0" w:color="auto"/>
              <w:bottom w:val="single" w:sz="4" w:space="0" w:color="auto"/>
              <w:right w:val="single" w:sz="4" w:space="0" w:color="auto"/>
            </w:tcBorders>
            <w:noWrap/>
            <w:vAlign w:val="center"/>
          </w:tcPr>
          <w:p w:rsidR="009B3FA2" w:rsidRPr="009B237E" w:rsidRDefault="009B3FA2" w:rsidP="00B61C5E">
            <w:pPr>
              <w:spacing w:before="240"/>
              <w:rPr>
                <w:b/>
              </w:rPr>
            </w:pPr>
            <w:r w:rsidRPr="009B237E">
              <w:rPr>
                <w:b/>
              </w:rPr>
              <w:t>Sweeps/reading</w:t>
            </w:r>
          </w:p>
        </w:tc>
        <w:tc>
          <w:tcPr>
            <w:tcW w:w="1541" w:type="dxa"/>
            <w:tcBorders>
              <w:top w:val="nil"/>
              <w:left w:val="nil"/>
              <w:bottom w:val="single" w:sz="4" w:space="0" w:color="auto"/>
              <w:right w:val="single" w:sz="4" w:space="0" w:color="auto"/>
            </w:tcBorders>
            <w:noWrap/>
            <w:vAlign w:val="center"/>
          </w:tcPr>
          <w:p w:rsidR="009B3FA2" w:rsidRPr="003C4202" w:rsidRDefault="009B3FA2" w:rsidP="00B61C5E">
            <w:pPr>
              <w:jc w:val="center"/>
              <w:rPr>
                <w:shd w:val="clear" w:color="auto" w:fill="FFFFFF"/>
              </w:rPr>
            </w:pPr>
            <w:r w:rsidRPr="003C4202">
              <w:rPr>
                <w:shd w:val="clear" w:color="auto" w:fill="FFFFFF"/>
              </w:rPr>
              <w:t>30</w:t>
            </w:r>
          </w:p>
        </w:tc>
      </w:tr>
      <w:tr w:rsidR="009B3FA2" w:rsidRPr="00DF7A8B" w:rsidTr="001D43B7">
        <w:trPr>
          <w:trHeight w:val="330"/>
        </w:trPr>
        <w:tc>
          <w:tcPr>
            <w:tcW w:w="3331" w:type="dxa"/>
            <w:tcBorders>
              <w:top w:val="nil"/>
              <w:left w:val="single" w:sz="4" w:space="0" w:color="auto"/>
              <w:bottom w:val="single" w:sz="4" w:space="0" w:color="auto"/>
              <w:right w:val="single" w:sz="4" w:space="0" w:color="auto"/>
            </w:tcBorders>
            <w:noWrap/>
            <w:vAlign w:val="center"/>
          </w:tcPr>
          <w:p w:rsidR="009B3FA2" w:rsidRPr="009B237E" w:rsidRDefault="009B3FA2" w:rsidP="00B61C5E">
            <w:pPr>
              <w:spacing w:before="240"/>
              <w:rPr>
                <w:b/>
              </w:rPr>
            </w:pPr>
            <w:r w:rsidRPr="009B237E">
              <w:rPr>
                <w:b/>
              </w:rPr>
              <w:t>Readings/replicate</w:t>
            </w:r>
          </w:p>
        </w:tc>
        <w:tc>
          <w:tcPr>
            <w:tcW w:w="1541" w:type="dxa"/>
            <w:tcBorders>
              <w:top w:val="nil"/>
              <w:left w:val="nil"/>
              <w:bottom w:val="single" w:sz="4" w:space="0" w:color="auto"/>
              <w:right w:val="single" w:sz="4" w:space="0" w:color="auto"/>
            </w:tcBorders>
            <w:noWrap/>
            <w:vAlign w:val="center"/>
          </w:tcPr>
          <w:p w:rsidR="009B3FA2" w:rsidRPr="003C4202" w:rsidRDefault="009B3FA2" w:rsidP="00B61C5E">
            <w:pPr>
              <w:jc w:val="center"/>
              <w:rPr>
                <w:shd w:val="clear" w:color="auto" w:fill="FFFFFF"/>
              </w:rPr>
            </w:pPr>
            <w:r w:rsidRPr="003C4202">
              <w:rPr>
                <w:shd w:val="clear" w:color="auto" w:fill="FFFFFF"/>
              </w:rPr>
              <w:t>1</w:t>
            </w:r>
          </w:p>
        </w:tc>
      </w:tr>
      <w:tr w:rsidR="009B3FA2" w:rsidRPr="00DF7A8B" w:rsidTr="001D43B7">
        <w:trPr>
          <w:trHeight w:val="330"/>
        </w:trPr>
        <w:tc>
          <w:tcPr>
            <w:tcW w:w="3331" w:type="dxa"/>
            <w:tcBorders>
              <w:top w:val="nil"/>
              <w:left w:val="single" w:sz="4" w:space="0" w:color="auto"/>
              <w:bottom w:val="single" w:sz="4" w:space="0" w:color="auto"/>
              <w:right w:val="single" w:sz="4" w:space="0" w:color="auto"/>
            </w:tcBorders>
            <w:noWrap/>
            <w:vAlign w:val="center"/>
          </w:tcPr>
          <w:p w:rsidR="009B3FA2" w:rsidRPr="009B237E" w:rsidRDefault="009B3FA2" w:rsidP="00B61C5E">
            <w:pPr>
              <w:spacing w:before="240"/>
              <w:rPr>
                <w:b/>
              </w:rPr>
            </w:pPr>
            <w:r w:rsidRPr="009B237E">
              <w:rPr>
                <w:b/>
              </w:rPr>
              <w:t>Replicates</w:t>
            </w:r>
          </w:p>
        </w:tc>
        <w:tc>
          <w:tcPr>
            <w:tcW w:w="1541" w:type="dxa"/>
            <w:tcBorders>
              <w:top w:val="nil"/>
              <w:left w:val="nil"/>
              <w:bottom w:val="single" w:sz="4" w:space="0" w:color="auto"/>
              <w:right w:val="single" w:sz="4" w:space="0" w:color="auto"/>
            </w:tcBorders>
            <w:noWrap/>
            <w:vAlign w:val="center"/>
          </w:tcPr>
          <w:p w:rsidR="009B3FA2" w:rsidRPr="009B237E" w:rsidRDefault="009B3FA2" w:rsidP="00B61C5E">
            <w:pPr>
              <w:jc w:val="center"/>
              <w:rPr>
                <w:shd w:val="clear" w:color="auto" w:fill="FFFFFF"/>
              </w:rPr>
            </w:pPr>
            <w:r w:rsidRPr="009B237E">
              <w:rPr>
                <w:shd w:val="clear" w:color="auto" w:fill="FFFFFF"/>
              </w:rPr>
              <w:t>3</w:t>
            </w:r>
          </w:p>
        </w:tc>
      </w:tr>
      <w:tr w:rsidR="009B3FA2" w:rsidRPr="00DF7A8B" w:rsidTr="001D43B7">
        <w:trPr>
          <w:trHeight w:val="345"/>
        </w:trPr>
        <w:tc>
          <w:tcPr>
            <w:tcW w:w="3331" w:type="dxa"/>
            <w:tcBorders>
              <w:top w:val="nil"/>
              <w:left w:val="single" w:sz="4" w:space="0" w:color="auto"/>
              <w:bottom w:val="single" w:sz="4" w:space="0" w:color="auto"/>
              <w:right w:val="single" w:sz="4" w:space="0" w:color="auto"/>
            </w:tcBorders>
            <w:noWrap/>
            <w:vAlign w:val="center"/>
          </w:tcPr>
          <w:p w:rsidR="009B3FA2" w:rsidRPr="009B237E" w:rsidRDefault="009B3FA2" w:rsidP="00B61C5E">
            <w:pPr>
              <w:spacing w:before="240"/>
              <w:rPr>
                <w:b/>
              </w:rPr>
            </w:pPr>
            <w:r w:rsidRPr="009B237E">
              <w:rPr>
                <w:b/>
              </w:rPr>
              <w:t>Isotope (m/z)</w:t>
            </w:r>
          </w:p>
        </w:tc>
        <w:tc>
          <w:tcPr>
            <w:tcW w:w="1541" w:type="dxa"/>
            <w:tcBorders>
              <w:top w:val="nil"/>
              <w:left w:val="nil"/>
              <w:bottom w:val="single" w:sz="4" w:space="0" w:color="auto"/>
              <w:right w:val="single" w:sz="4" w:space="0" w:color="auto"/>
            </w:tcBorders>
            <w:noWrap/>
            <w:vAlign w:val="center"/>
          </w:tcPr>
          <w:p w:rsidR="009B3FA2" w:rsidRPr="009B237E" w:rsidRDefault="009B3FA2" w:rsidP="00B61C5E">
            <w:pPr>
              <w:jc w:val="center"/>
              <w:rPr>
                <w:shd w:val="clear" w:color="auto" w:fill="FFFFFF"/>
              </w:rPr>
            </w:pPr>
            <w:r w:rsidRPr="009B237E">
              <w:rPr>
                <w:shd w:val="clear" w:color="auto" w:fill="FFFFFF"/>
              </w:rPr>
              <w:t>107Ag</w:t>
            </w:r>
          </w:p>
        </w:tc>
      </w:tr>
    </w:tbl>
    <w:p w:rsidR="009B3FA2" w:rsidRPr="00ED3B85" w:rsidRDefault="009B3FA2" w:rsidP="009B3FA2"/>
    <w:p w:rsidR="008823AD" w:rsidRDefault="008823AD" w:rsidP="009B3FA2">
      <w:pPr>
        <w:pStyle w:val="Tabletitle"/>
      </w:pPr>
      <w:bookmarkStart w:id="0" w:name="_Ref368492878"/>
    </w:p>
    <w:p w:rsidR="008823AD" w:rsidRDefault="008823AD" w:rsidP="009B3FA2">
      <w:pPr>
        <w:pStyle w:val="Tabletitle"/>
      </w:pPr>
    </w:p>
    <w:p w:rsidR="008823AD" w:rsidRDefault="008823AD" w:rsidP="009B3FA2">
      <w:pPr>
        <w:pStyle w:val="Tabletitle"/>
      </w:pPr>
    </w:p>
    <w:p w:rsidR="008823AD" w:rsidRDefault="008823AD" w:rsidP="009B3FA2">
      <w:pPr>
        <w:pStyle w:val="Tabletitle"/>
      </w:pPr>
    </w:p>
    <w:p w:rsidR="009B3FA2" w:rsidRDefault="009B3FA2" w:rsidP="009B3FA2">
      <w:pPr>
        <w:pStyle w:val="Tabletitle"/>
      </w:pPr>
      <w:bookmarkStart w:id="1" w:name="_GoBack"/>
      <w:bookmarkEnd w:id="1"/>
      <w:r w:rsidRPr="009B3FA2">
        <w:lastRenderedPageBreak/>
        <w:t>Table S-</w:t>
      </w:r>
      <w:r w:rsidR="00E05958">
        <w:fldChar w:fldCharType="begin"/>
      </w:r>
      <w:r w:rsidR="00E05958">
        <w:instrText xml:space="preserve"> SEQ Table \* ARABIC </w:instrText>
      </w:r>
      <w:r w:rsidR="00E05958">
        <w:fldChar w:fldCharType="separate"/>
      </w:r>
      <w:r w:rsidRPr="009B3FA2">
        <w:t>5</w:t>
      </w:r>
      <w:r w:rsidR="00E05958">
        <w:fldChar w:fldCharType="end"/>
      </w:r>
      <w:bookmarkEnd w:id="0"/>
      <w:r w:rsidRPr="009B3FA2">
        <w:t xml:space="preserve">.  </w:t>
      </w:r>
      <w:r>
        <w:t xml:space="preserve">Method Recovery, Precision, Repeatability, within Laboratory reproducibility, for AAS </w:t>
      </w:r>
    </w:p>
    <w:tbl>
      <w:tblPr>
        <w:tblW w:w="10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9"/>
        <w:gridCol w:w="1666"/>
        <w:gridCol w:w="1413"/>
        <w:gridCol w:w="1260"/>
        <w:gridCol w:w="1261"/>
        <w:gridCol w:w="1261"/>
        <w:gridCol w:w="1922"/>
      </w:tblGrid>
      <w:tr w:rsidR="009B3FA2" w:rsidRPr="00BA65E0" w:rsidTr="001D43B7">
        <w:trPr>
          <w:jc w:val="center"/>
        </w:trPr>
        <w:tc>
          <w:tcPr>
            <w:tcW w:w="1349" w:type="dxa"/>
            <w:vMerge w:val="restart"/>
            <w:vAlign w:val="center"/>
          </w:tcPr>
          <w:p w:rsidR="009B3FA2" w:rsidRPr="00BA65E0" w:rsidRDefault="009B3FA2" w:rsidP="00B61C5E">
            <w:pPr>
              <w:jc w:val="center"/>
              <w:rPr>
                <w:b/>
              </w:rPr>
            </w:pPr>
            <w:r w:rsidRPr="00BA65E0">
              <w:rPr>
                <w:b/>
              </w:rPr>
              <w:t>Matri</w:t>
            </w:r>
            <w:r>
              <w:rPr>
                <w:b/>
              </w:rPr>
              <w:t>x</w:t>
            </w:r>
          </w:p>
        </w:tc>
        <w:tc>
          <w:tcPr>
            <w:tcW w:w="1666" w:type="dxa"/>
            <w:vMerge w:val="restart"/>
            <w:vAlign w:val="center"/>
          </w:tcPr>
          <w:p w:rsidR="009B3FA2" w:rsidRPr="00BA65E0" w:rsidRDefault="009B3FA2" w:rsidP="00B61C5E">
            <w:pPr>
              <w:jc w:val="center"/>
              <w:rPr>
                <w:b/>
              </w:rPr>
            </w:pPr>
            <w:r>
              <w:rPr>
                <w:b/>
              </w:rPr>
              <w:t>Nominal concentration</w:t>
            </w:r>
          </w:p>
          <w:p w:rsidR="009B3FA2" w:rsidRPr="00BA65E0" w:rsidRDefault="009B3FA2" w:rsidP="00B61C5E">
            <w:pPr>
              <w:jc w:val="center"/>
              <w:rPr>
                <w:b/>
              </w:rPr>
            </w:pPr>
            <w:r w:rsidRPr="00BA65E0">
              <w:rPr>
                <w:b/>
                <w:iCs/>
              </w:rPr>
              <w:t>µg Kg</w:t>
            </w:r>
            <w:r w:rsidRPr="00BA65E0">
              <w:rPr>
                <w:b/>
                <w:iCs/>
                <w:vertAlign w:val="superscript"/>
              </w:rPr>
              <w:t>-1</w:t>
            </w:r>
          </w:p>
        </w:tc>
        <w:tc>
          <w:tcPr>
            <w:tcW w:w="1413" w:type="dxa"/>
            <w:vMerge w:val="restart"/>
            <w:vAlign w:val="center"/>
          </w:tcPr>
          <w:p w:rsidR="009B3FA2" w:rsidRPr="00BA65E0" w:rsidRDefault="009B3FA2" w:rsidP="00B61C5E">
            <w:pPr>
              <w:jc w:val="center"/>
              <w:rPr>
                <w:b/>
              </w:rPr>
            </w:pPr>
            <w:r>
              <w:rPr>
                <w:b/>
              </w:rPr>
              <w:t>Recovery</w:t>
            </w:r>
            <w:r w:rsidRPr="00BA65E0">
              <w:rPr>
                <w:b/>
              </w:rPr>
              <w:t>%</w:t>
            </w:r>
          </w:p>
        </w:tc>
        <w:tc>
          <w:tcPr>
            <w:tcW w:w="3782" w:type="dxa"/>
            <w:gridSpan w:val="3"/>
            <w:vAlign w:val="center"/>
          </w:tcPr>
          <w:p w:rsidR="009B3FA2" w:rsidRPr="00BA65E0" w:rsidRDefault="009B3FA2" w:rsidP="00B61C5E">
            <w:pPr>
              <w:jc w:val="center"/>
              <w:rPr>
                <w:b/>
              </w:rPr>
            </w:pPr>
            <w:r>
              <w:rPr>
                <w:b/>
              </w:rPr>
              <w:t xml:space="preserve">Repeatability </w:t>
            </w:r>
            <w:r w:rsidRPr="00BA65E0">
              <w:rPr>
                <w:b/>
              </w:rPr>
              <w:t>CV %</w:t>
            </w:r>
          </w:p>
        </w:tc>
        <w:tc>
          <w:tcPr>
            <w:tcW w:w="1922" w:type="dxa"/>
            <w:vMerge w:val="restart"/>
            <w:vAlign w:val="center"/>
          </w:tcPr>
          <w:p w:rsidR="009B3FA2" w:rsidRPr="00BA65E0" w:rsidRDefault="009B3FA2" w:rsidP="00B61C5E">
            <w:pPr>
              <w:jc w:val="center"/>
              <w:rPr>
                <w:b/>
              </w:rPr>
            </w:pPr>
            <w:r>
              <w:rPr>
                <w:b/>
              </w:rPr>
              <w:t xml:space="preserve">Within Laboratory Reproducibility </w:t>
            </w:r>
            <w:r w:rsidRPr="00BA65E0">
              <w:rPr>
                <w:b/>
              </w:rPr>
              <w:t xml:space="preserve"> (CV %)</w:t>
            </w:r>
          </w:p>
        </w:tc>
      </w:tr>
      <w:tr w:rsidR="009B3FA2" w:rsidRPr="00BA65E0" w:rsidTr="001D43B7">
        <w:trPr>
          <w:jc w:val="center"/>
        </w:trPr>
        <w:tc>
          <w:tcPr>
            <w:tcW w:w="1349" w:type="dxa"/>
            <w:vMerge/>
            <w:vAlign w:val="center"/>
          </w:tcPr>
          <w:p w:rsidR="009B3FA2" w:rsidRPr="00BA65E0" w:rsidRDefault="009B3FA2" w:rsidP="00B61C5E">
            <w:pPr>
              <w:jc w:val="center"/>
              <w:rPr>
                <w:b/>
              </w:rPr>
            </w:pPr>
          </w:p>
        </w:tc>
        <w:tc>
          <w:tcPr>
            <w:tcW w:w="1666" w:type="dxa"/>
            <w:vMerge/>
          </w:tcPr>
          <w:p w:rsidR="009B3FA2" w:rsidRPr="00BA65E0" w:rsidRDefault="009B3FA2" w:rsidP="00B61C5E">
            <w:pPr>
              <w:jc w:val="center"/>
              <w:rPr>
                <w:b/>
              </w:rPr>
            </w:pPr>
          </w:p>
        </w:tc>
        <w:tc>
          <w:tcPr>
            <w:tcW w:w="1413" w:type="dxa"/>
            <w:vMerge/>
          </w:tcPr>
          <w:p w:rsidR="009B3FA2" w:rsidRPr="00BA65E0" w:rsidRDefault="009B3FA2" w:rsidP="00B61C5E">
            <w:pPr>
              <w:jc w:val="center"/>
              <w:rPr>
                <w:b/>
              </w:rPr>
            </w:pPr>
          </w:p>
        </w:tc>
        <w:tc>
          <w:tcPr>
            <w:tcW w:w="1260" w:type="dxa"/>
            <w:vAlign w:val="center"/>
          </w:tcPr>
          <w:p w:rsidR="009B3FA2" w:rsidRPr="00BA65E0" w:rsidRDefault="009B3FA2" w:rsidP="00B61C5E">
            <w:pPr>
              <w:jc w:val="center"/>
              <w:rPr>
                <w:b/>
              </w:rPr>
            </w:pPr>
            <w:r w:rsidRPr="00BA65E0">
              <w:rPr>
                <w:b/>
              </w:rPr>
              <w:t>1</w:t>
            </w:r>
            <w:r w:rsidRPr="00BB51E0">
              <w:rPr>
                <w:b/>
                <w:vertAlign w:val="superscript"/>
              </w:rPr>
              <w:t>st</w:t>
            </w:r>
            <w:r w:rsidRPr="00BA65E0">
              <w:rPr>
                <w:b/>
              </w:rPr>
              <w:t xml:space="preserve"> </w:t>
            </w:r>
            <w:r>
              <w:rPr>
                <w:b/>
              </w:rPr>
              <w:t>day</w:t>
            </w:r>
          </w:p>
        </w:tc>
        <w:tc>
          <w:tcPr>
            <w:tcW w:w="1261" w:type="dxa"/>
            <w:vAlign w:val="center"/>
          </w:tcPr>
          <w:p w:rsidR="009B3FA2" w:rsidRPr="00BA65E0" w:rsidRDefault="009B3FA2" w:rsidP="00B61C5E">
            <w:pPr>
              <w:jc w:val="center"/>
              <w:rPr>
                <w:b/>
              </w:rPr>
            </w:pPr>
            <w:r w:rsidRPr="00BA65E0">
              <w:rPr>
                <w:b/>
              </w:rPr>
              <w:t>2</w:t>
            </w:r>
            <w:r w:rsidRPr="00BB51E0">
              <w:rPr>
                <w:b/>
                <w:vertAlign w:val="superscript"/>
              </w:rPr>
              <w:t>nd</w:t>
            </w:r>
            <w:r w:rsidRPr="00BA65E0">
              <w:rPr>
                <w:b/>
              </w:rPr>
              <w:t xml:space="preserve"> </w:t>
            </w:r>
            <w:r>
              <w:rPr>
                <w:b/>
              </w:rPr>
              <w:t>day</w:t>
            </w:r>
          </w:p>
        </w:tc>
        <w:tc>
          <w:tcPr>
            <w:tcW w:w="1261" w:type="dxa"/>
            <w:vAlign w:val="center"/>
          </w:tcPr>
          <w:p w:rsidR="009B3FA2" w:rsidRPr="00BA65E0" w:rsidRDefault="009B3FA2" w:rsidP="00B61C5E">
            <w:pPr>
              <w:jc w:val="center"/>
              <w:rPr>
                <w:b/>
              </w:rPr>
            </w:pPr>
            <w:r w:rsidRPr="00BA65E0">
              <w:rPr>
                <w:b/>
              </w:rPr>
              <w:t>3</w:t>
            </w:r>
            <w:r w:rsidRPr="00BB51E0">
              <w:rPr>
                <w:b/>
                <w:vertAlign w:val="superscript"/>
              </w:rPr>
              <w:t>rd</w:t>
            </w:r>
            <w:r w:rsidRPr="00BA65E0">
              <w:rPr>
                <w:b/>
              </w:rPr>
              <w:t xml:space="preserve"> </w:t>
            </w:r>
            <w:r>
              <w:rPr>
                <w:b/>
              </w:rPr>
              <w:t>day</w:t>
            </w:r>
          </w:p>
        </w:tc>
        <w:tc>
          <w:tcPr>
            <w:tcW w:w="1922" w:type="dxa"/>
            <w:vMerge/>
          </w:tcPr>
          <w:p w:rsidR="009B3FA2" w:rsidRPr="00BA65E0" w:rsidRDefault="009B3FA2" w:rsidP="00B61C5E">
            <w:pPr>
              <w:jc w:val="center"/>
            </w:pPr>
          </w:p>
        </w:tc>
      </w:tr>
      <w:tr w:rsidR="009B3FA2" w:rsidRPr="00BA65E0" w:rsidTr="001D43B7">
        <w:trPr>
          <w:jc w:val="center"/>
        </w:trPr>
        <w:tc>
          <w:tcPr>
            <w:tcW w:w="1349" w:type="dxa"/>
            <w:vMerge w:val="restart"/>
            <w:vAlign w:val="center"/>
          </w:tcPr>
          <w:p w:rsidR="009B3FA2" w:rsidRPr="00BA65E0" w:rsidRDefault="009B3FA2" w:rsidP="00B61C5E">
            <w:pPr>
              <w:jc w:val="center"/>
              <w:rPr>
                <w:b/>
              </w:rPr>
            </w:pPr>
            <w:r w:rsidRPr="00BA65E0">
              <w:rPr>
                <w:b/>
              </w:rPr>
              <w:t>M</w:t>
            </w:r>
            <w:r>
              <w:rPr>
                <w:b/>
              </w:rPr>
              <w:t>eat</w:t>
            </w:r>
          </w:p>
        </w:tc>
        <w:tc>
          <w:tcPr>
            <w:tcW w:w="1666" w:type="dxa"/>
          </w:tcPr>
          <w:p w:rsidR="009B3FA2" w:rsidRPr="00BA65E0" w:rsidRDefault="009B3FA2" w:rsidP="00B61C5E">
            <w:pPr>
              <w:jc w:val="center"/>
            </w:pPr>
            <w:r w:rsidRPr="00BA65E0">
              <w:t>20</w:t>
            </w:r>
          </w:p>
        </w:tc>
        <w:tc>
          <w:tcPr>
            <w:tcW w:w="1413" w:type="dxa"/>
          </w:tcPr>
          <w:p w:rsidR="009B3FA2" w:rsidRPr="00BA65E0" w:rsidRDefault="009B3FA2" w:rsidP="00B61C5E">
            <w:pPr>
              <w:jc w:val="center"/>
            </w:pPr>
            <w:r w:rsidRPr="00BA65E0">
              <w:t>89,1</w:t>
            </w:r>
          </w:p>
        </w:tc>
        <w:tc>
          <w:tcPr>
            <w:tcW w:w="1260" w:type="dxa"/>
            <w:vAlign w:val="center"/>
          </w:tcPr>
          <w:p w:rsidR="009B3FA2" w:rsidRPr="00BA65E0" w:rsidRDefault="009B3FA2" w:rsidP="00B61C5E">
            <w:pPr>
              <w:jc w:val="center"/>
            </w:pPr>
            <w:r w:rsidRPr="00BA65E0">
              <w:t>9,46</w:t>
            </w:r>
          </w:p>
        </w:tc>
        <w:tc>
          <w:tcPr>
            <w:tcW w:w="1261" w:type="dxa"/>
            <w:vAlign w:val="center"/>
          </w:tcPr>
          <w:p w:rsidR="009B3FA2" w:rsidRPr="00BA65E0" w:rsidRDefault="009B3FA2" w:rsidP="00B61C5E">
            <w:pPr>
              <w:jc w:val="center"/>
            </w:pPr>
            <w:r w:rsidRPr="00BA65E0">
              <w:t>7,60</w:t>
            </w:r>
          </w:p>
        </w:tc>
        <w:tc>
          <w:tcPr>
            <w:tcW w:w="1261" w:type="dxa"/>
            <w:vAlign w:val="center"/>
          </w:tcPr>
          <w:p w:rsidR="009B3FA2" w:rsidRPr="00BA65E0" w:rsidRDefault="009B3FA2" w:rsidP="00B61C5E">
            <w:pPr>
              <w:jc w:val="center"/>
            </w:pPr>
            <w:r w:rsidRPr="00BA65E0">
              <w:t>3,05</w:t>
            </w:r>
          </w:p>
        </w:tc>
        <w:tc>
          <w:tcPr>
            <w:tcW w:w="1922" w:type="dxa"/>
            <w:vAlign w:val="center"/>
          </w:tcPr>
          <w:p w:rsidR="009B3FA2" w:rsidRPr="00BA65E0" w:rsidRDefault="009B3FA2" w:rsidP="00B61C5E">
            <w:pPr>
              <w:jc w:val="center"/>
            </w:pPr>
            <w:r w:rsidRPr="00BA65E0">
              <w:t>6,95</w:t>
            </w:r>
          </w:p>
        </w:tc>
      </w:tr>
      <w:tr w:rsidR="009B3FA2" w:rsidRPr="00BA65E0" w:rsidTr="001D43B7">
        <w:trPr>
          <w:jc w:val="center"/>
        </w:trPr>
        <w:tc>
          <w:tcPr>
            <w:tcW w:w="1349" w:type="dxa"/>
            <w:vMerge/>
          </w:tcPr>
          <w:p w:rsidR="009B3FA2" w:rsidRPr="00BA65E0" w:rsidRDefault="009B3FA2" w:rsidP="00B61C5E">
            <w:pPr>
              <w:jc w:val="center"/>
              <w:rPr>
                <w:b/>
              </w:rPr>
            </w:pPr>
          </w:p>
        </w:tc>
        <w:tc>
          <w:tcPr>
            <w:tcW w:w="1666" w:type="dxa"/>
          </w:tcPr>
          <w:p w:rsidR="009B3FA2" w:rsidRPr="00BA65E0" w:rsidRDefault="009B3FA2" w:rsidP="00B61C5E">
            <w:pPr>
              <w:jc w:val="center"/>
            </w:pPr>
            <w:r w:rsidRPr="00BA65E0">
              <w:t>50</w:t>
            </w:r>
          </w:p>
        </w:tc>
        <w:tc>
          <w:tcPr>
            <w:tcW w:w="1413" w:type="dxa"/>
          </w:tcPr>
          <w:p w:rsidR="009B3FA2" w:rsidRPr="00BA65E0" w:rsidRDefault="009B3FA2" w:rsidP="00B61C5E">
            <w:pPr>
              <w:jc w:val="center"/>
            </w:pPr>
            <w:r w:rsidRPr="00BA65E0">
              <w:t>95,2</w:t>
            </w:r>
          </w:p>
        </w:tc>
        <w:tc>
          <w:tcPr>
            <w:tcW w:w="1260" w:type="dxa"/>
            <w:vAlign w:val="center"/>
          </w:tcPr>
          <w:p w:rsidR="009B3FA2" w:rsidRPr="00BA65E0" w:rsidRDefault="009B3FA2" w:rsidP="00B61C5E">
            <w:pPr>
              <w:jc w:val="center"/>
            </w:pPr>
            <w:r w:rsidRPr="00BA65E0">
              <w:t>3,05</w:t>
            </w:r>
          </w:p>
        </w:tc>
        <w:tc>
          <w:tcPr>
            <w:tcW w:w="1261" w:type="dxa"/>
            <w:vAlign w:val="center"/>
          </w:tcPr>
          <w:p w:rsidR="009B3FA2" w:rsidRPr="00BA65E0" w:rsidRDefault="009B3FA2" w:rsidP="00B61C5E">
            <w:pPr>
              <w:jc w:val="center"/>
            </w:pPr>
            <w:r w:rsidRPr="00BA65E0">
              <w:t>1,84</w:t>
            </w:r>
          </w:p>
        </w:tc>
        <w:tc>
          <w:tcPr>
            <w:tcW w:w="1261" w:type="dxa"/>
            <w:vAlign w:val="center"/>
          </w:tcPr>
          <w:p w:rsidR="009B3FA2" w:rsidRPr="00BA65E0" w:rsidRDefault="009B3FA2" w:rsidP="00B61C5E">
            <w:pPr>
              <w:jc w:val="center"/>
            </w:pPr>
            <w:r w:rsidRPr="00BA65E0">
              <w:t>0,67</w:t>
            </w:r>
          </w:p>
        </w:tc>
        <w:tc>
          <w:tcPr>
            <w:tcW w:w="1922" w:type="dxa"/>
            <w:vAlign w:val="center"/>
          </w:tcPr>
          <w:p w:rsidR="009B3FA2" w:rsidRPr="00BA65E0" w:rsidRDefault="009B3FA2" w:rsidP="00B61C5E">
            <w:pPr>
              <w:jc w:val="center"/>
            </w:pPr>
            <w:r w:rsidRPr="00BA65E0">
              <w:t>4,70</w:t>
            </w:r>
          </w:p>
        </w:tc>
      </w:tr>
      <w:tr w:rsidR="009B3FA2" w:rsidRPr="00BA65E0" w:rsidTr="001D43B7">
        <w:trPr>
          <w:jc w:val="center"/>
        </w:trPr>
        <w:tc>
          <w:tcPr>
            <w:tcW w:w="1349" w:type="dxa"/>
            <w:vMerge/>
          </w:tcPr>
          <w:p w:rsidR="009B3FA2" w:rsidRPr="00BA65E0" w:rsidRDefault="009B3FA2" w:rsidP="00B61C5E">
            <w:pPr>
              <w:jc w:val="center"/>
              <w:rPr>
                <w:b/>
              </w:rPr>
            </w:pPr>
          </w:p>
        </w:tc>
        <w:tc>
          <w:tcPr>
            <w:tcW w:w="1666" w:type="dxa"/>
          </w:tcPr>
          <w:p w:rsidR="009B3FA2" w:rsidRPr="00BA65E0" w:rsidRDefault="009B3FA2" w:rsidP="00B61C5E">
            <w:pPr>
              <w:jc w:val="center"/>
            </w:pPr>
            <w:r w:rsidRPr="00BA65E0">
              <w:t>75</w:t>
            </w:r>
          </w:p>
        </w:tc>
        <w:tc>
          <w:tcPr>
            <w:tcW w:w="1413" w:type="dxa"/>
          </w:tcPr>
          <w:p w:rsidR="009B3FA2" w:rsidRPr="00BA65E0" w:rsidRDefault="009B3FA2" w:rsidP="00B61C5E">
            <w:pPr>
              <w:jc w:val="center"/>
            </w:pPr>
            <w:r w:rsidRPr="00BA65E0">
              <w:t>97,4</w:t>
            </w:r>
          </w:p>
        </w:tc>
        <w:tc>
          <w:tcPr>
            <w:tcW w:w="1260" w:type="dxa"/>
            <w:vAlign w:val="center"/>
          </w:tcPr>
          <w:p w:rsidR="009B3FA2" w:rsidRPr="00BA65E0" w:rsidRDefault="009B3FA2" w:rsidP="00B61C5E">
            <w:pPr>
              <w:jc w:val="center"/>
            </w:pPr>
            <w:r w:rsidRPr="00BA65E0">
              <w:t>3,86</w:t>
            </w:r>
          </w:p>
        </w:tc>
        <w:tc>
          <w:tcPr>
            <w:tcW w:w="1261" w:type="dxa"/>
            <w:vAlign w:val="center"/>
          </w:tcPr>
          <w:p w:rsidR="009B3FA2" w:rsidRPr="00BA65E0" w:rsidRDefault="009B3FA2" w:rsidP="00B61C5E">
            <w:pPr>
              <w:jc w:val="center"/>
            </w:pPr>
            <w:r w:rsidRPr="00BA65E0">
              <w:t>1,76</w:t>
            </w:r>
          </w:p>
        </w:tc>
        <w:tc>
          <w:tcPr>
            <w:tcW w:w="1261" w:type="dxa"/>
            <w:vAlign w:val="center"/>
          </w:tcPr>
          <w:p w:rsidR="009B3FA2" w:rsidRPr="00BA65E0" w:rsidRDefault="009B3FA2" w:rsidP="00B61C5E">
            <w:pPr>
              <w:jc w:val="center"/>
            </w:pPr>
            <w:r w:rsidRPr="00BA65E0">
              <w:t>1,74</w:t>
            </w:r>
          </w:p>
        </w:tc>
        <w:tc>
          <w:tcPr>
            <w:tcW w:w="1922" w:type="dxa"/>
            <w:vAlign w:val="center"/>
          </w:tcPr>
          <w:p w:rsidR="009B3FA2" w:rsidRPr="00BA65E0" w:rsidRDefault="009B3FA2" w:rsidP="00B61C5E">
            <w:pPr>
              <w:jc w:val="center"/>
            </w:pPr>
            <w:r w:rsidRPr="00BA65E0">
              <w:t>6,34</w:t>
            </w:r>
          </w:p>
        </w:tc>
      </w:tr>
      <w:tr w:rsidR="009B3FA2" w:rsidRPr="00BA65E0" w:rsidTr="001D43B7">
        <w:trPr>
          <w:jc w:val="center"/>
        </w:trPr>
        <w:tc>
          <w:tcPr>
            <w:tcW w:w="1349" w:type="dxa"/>
            <w:vMerge/>
          </w:tcPr>
          <w:p w:rsidR="009B3FA2" w:rsidRPr="00BA65E0" w:rsidRDefault="009B3FA2" w:rsidP="00B61C5E">
            <w:pPr>
              <w:jc w:val="center"/>
              <w:rPr>
                <w:b/>
              </w:rPr>
            </w:pPr>
          </w:p>
        </w:tc>
        <w:tc>
          <w:tcPr>
            <w:tcW w:w="1666" w:type="dxa"/>
          </w:tcPr>
          <w:p w:rsidR="009B3FA2" w:rsidRPr="00BA65E0" w:rsidRDefault="009B3FA2" w:rsidP="00B61C5E">
            <w:pPr>
              <w:jc w:val="center"/>
            </w:pPr>
            <w:r w:rsidRPr="00BA65E0">
              <w:t>100</w:t>
            </w:r>
          </w:p>
        </w:tc>
        <w:tc>
          <w:tcPr>
            <w:tcW w:w="1413" w:type="dxa"/>
          </w:tcPr>
          <w:p w:rsidR="009B3FA2" w:rsidRPr="00BA65E0" w:rsidRDefault="009B3FA2" w:rsidP="00B61C5E">
            <w:pPr>
              <w:jc w:val="center"/>
            </w:pPr>
            <w:r w:rsidRPr="00BA65E0">
              <w:t>97,5</w:t>
            </w:r>
          </w:p>
        </w:tc>
        <w:tc>
          <w:tcPr>
            <w:tcW w:w="1260" w:type="dxa"/>
            <w:vAlign w:val="center"/>
          </w:tcPr>
          <w:p w:rsidR="009B3FA2" w:rsidRPr="00BA65E0" w:rsidRDefault="009B3FA2" w:rsidP="00B61C5E">
            <w:pPr>
              <w:jc w:val="center"/>
            </w:pPr>
            <w:r w:rsidRPr="00BA65E0">
              <w:t>2,00</w:t>
            </w:r>
          </w:p>
        </w:tc>
        <w:tc>
          <w:tcPr>
            <w:tcW w:w="1261" w:type="dxa"/>
            <w:vAlign w:val="center"/>
          </w:tcPr>
          <w:p w:rsidR="009B3FA2" w:rsidRPr="00BA65E0" w:rsidRDefault="009B3FA2" w:rsidP="00B61C5E">
            <w:pPr>
              <w:jc w:val="center"/>
            </w:pPr>
            <w:r w:rsidRPr="00BA65E0">
              <w:t>1,92</w:t>
            </w:r>
          </w:p>
        </w:tc>
        <w:tc>
          <w:tcPr>
            <w:tcW w:w="1261" w:type="dxa"/>
            <w:vAlign w:val="center"/>
          </w:tcPr>
          <w:p w:rsidR="009B3FA2" w:rsidRPr="00BA65E0" w:rsidRDefault="009B3FA2" w:rsidP="00B61C5E">
            <w:pPr>
              <w:jc w:val="center"/>
            </w:pPr>
            <w:r w:rsidRPr="00BA65E0">
              <w:t>2,08</w:t>
            </w:r>
          </w:p>
        </w:tc>
        <w:tc>
          <w:tcPr>
            <w:tcW w:w="1922" w:type="dxa"/>
            <w:vAlign w:val="center"/>
          </w:tcPr>
          <w:p w:rsidR="009B3FA2" w:rsidRPr="00BA65E0" w:rsidRDefault="009B3FA2" w:rsidP="00B61C5E">
            <w:pPr>
              <w:jc w:val="center"/>
            </w:pPr>
            <w:r w:rsidRPr="00BA65E0">
              <w:t>7,77</w:t>
            </w:r>
          </w:p>
        </w:tc>
      </w:tr>
    </w:tbl>
    <w:p w:rsidR="009B3FA2" w:rsidRDefault="009B3FA2" w:rsidP="009B3FA2">
      <w:pPr>
        <w:shd w:val="clear" w:color="auto" w:fill="FFFFFF"/>
        <w:spacing w:line="240" w:lineRule="atLeast"/>
        <w:textAlignment w:val="baseline"/>
      </w:pPr>
    </w:p>
    <w:p w:rsidR="009B3FA2" w:rsidRDefault="009B3FA2" w:rsidP="009B3FA2">
      <w:pPr>
        <w:pStyle w:val="Tabletitle"/>
      </w:pPr>
      <w:r w:rsidRPr="009B3FA2">
        <w:t xml:space="preserve">Supplementary Table </w:t>
      </w:r>
      <w:r w:rsidR="00E05958">
        <w:fldChar w:fldCharType="begin"/>
      </w:r>
      <w:r w:rsidR="00E05958">
        <w:instrText xml:space="preserve"> SEQ Table \* ARABIC </w:instrText>
      </w:r>
      <w:r w:rsidR="00E05958">
        <w:fldChar w:fldCharType="separate"/>
      </w:r>
      <w:r w:rsidRPr="009B3FA2">
        <w:t>6</w:t>
      </w:r>
      <w:r w:rsidR="00E05958">
        <w:fldChar w:fldCharType="end"/>
      </w:r>
      <w:r w:rsidRPr="009B3FA2">
        <w:t xml:space="preserve">.  </w:t>
      </w:r>
      <w:r>
        <w:t>Method Recovery, Precision, Repeatability,  within Laboratory reproducibility for ICPMS</w:t>
      </w:r>
    </w:p>
    <w:tbl>
      <w:tblPr>
        <w:tblW w:w="10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9"/>
        <w:gridCol w:w="1666"/>
        <w:gridCol w:w="1413"/>
        <w:gridCol w:w="1260"/>
        <w:gridCol w:w="1261"/>
        <w:gridCol w:w="1261"/>
        <w:gridCol w:w="1922"/>
      </w:tblGrid>
      <w:tr w:rsidR="009B3FA2" w:rsidRPr="00BA65E0" w:rsidTr="001D43B7">
        <w:trPr>
          <w:jc w:val="center"/>
        </w:trPr>
        <w:tc>
          <w:tcPr>
            <w:tcW w:w="1349" w:type="dxa"/>
            <w:vMerge w:val="restart"/>
            <w:vAlign w:val="center"/>
          </w:tcPr>
          <w:p w:rsidR="009B3FA2" w:rsidRPr="00BA65E0" w:rsidRDefault="009B3FA2" w:rsidP="00B61C5E">
            <w:pPr>
              <w:jc w:val="center"/>
              <w:rPr>
                <w:b/>
              </w:rPr>
            </w:pPr>
            <w:r w:rsidRPr="00BA65E0">
              <w:rPr>
                <w:b/>
              </w:rPr>
              <w:t>Matri</w:t>
            </w:r>
            <w:r>
              <w:rPr>
                <w:b/>
              </w:rPr>
              <w:t>x</w:t>
            </w:r>
          </w:p>
        </w:tc>
        <w:tc>
          <w:tcPr>
            <w:tcW w:w="1666" w:type="dxa"/>
            <w:vMerge w:val="restart"/>
            <w:vAlign w:val="center"/>
          </w:tcPr>
          <w:p w:rsidR="009B3FA2" w:rsidRPr="00BA65E0" w:rsidRDefault="009B3FA2" w:rsidP="00B61C5E">
            <w:pPr>
              <w:jc w:val="center"/>
              <w:rPr>
                <w:b/>
              </w:rPr>
            </w:pPr>
            <w:r>
              <w:rPr>
                <w:b/>
              </w:rPr>
              <w:t>Nominal concentration</w:t>
            </w:r>
          </w:p>
          <w:p w:rsidR="009B3FA2" w:rsidRPr="00BA65E0" w:rsidRDefault="009B3FA2" w:rsidP="00B61C5E">
            <w:pPr>
              <w:jc w:val="center"/>
              <w:rPr>
                <w:b/>
              </w:rPr>
            </w:pPr>
            <w:r w:rsidRPr="00BA65E0">
              <w:rPr>
                <w:b/>
                <w:iCs/>
              </w:rPr>
              <w:t>µg Kg</w:t>
            </w:r>
            <w:r w:rsidRPr="00BA65E0">
              <w:rPr>
                <w:b/>
                <w:iCs/>
                <w:vertAlign w:val="superscript"/>
              </w:rPr>
              <w:t>-1</w:t>
            </w:r>
          </w:p>
        </w:tc>
        <w:tc>
          <w:tcPr>
            <w:tcW w:w="1413" w:type="dxa"/>
            <w:vMerge w:val="restart"/>
            <w:vAlign w:val="center"/>
          </w:tcPr>
          <w:p w:rsidR="009B3FA2" w:rsidRPr="00BA65E0" w:rsidRDefault="009B3FA2" w:rsidP="00B61C5E">
            <w:pPr>
              <w:jc w:val="center"/>
              <w:rPr>
                <w:b/>
              </w:rPr>
            </w:pPr>
            <w:r>
              <w:rPr>
                <w:b/>
              </w:rPr>
              <w:t>Recovery</w:t>
            </w:r>
            <w:r w:rsidRPr="00BA65E0">
              <w:rPr>
                <w:b/>
              </w:rPr>
              <w:t>%</w:t>
            </w:r>
          </w:p>
        </w:tc>
        <w:tc>
          <w:tcPr>
            <w:tcW w:w="3782" w:type="dxa"/>
            <w:gridSpan w:val="3"/>
            <w:vAlign w:val="center"/>
          </w:tcPr>
          <w:p w:rsidR="009B3FA2" w:rsidRPr="00BA65E0" w:rsidRDefault="009B3FA2" w:rsidP="00B61C5E">
            <w:pPr>
              <w:jc w:val="center"/>
              <w:rPr>
                <w:b/>
              </w:rPr>
            </w:pPr>
            <w:r>
              <w:rPr>
                <w:b/>
              </w:rPr>
              <w:t xml:space="preserve">Repeatability </w:t>
            </w:r>
            <w:r w:rsidRPr="00BA65E0">
              <w:rPr>
                <w:b/>
              </w:rPr>
              <w:t>CV %</w:t>
            </w:r>
          </w:p>
        </w:tc>
        <w:tc>
          <w:tcPr>
            <w:tcW w:w="1922" w:type="dxa"/>
            <w:vMerge w:val="restart"/>
            <w:vAlign w:val="center"/>
          </w:tcPr>
          <w:p w:rsidR="009B3FA2" w:rsidRPr="00BA65E0" w:rsidRDefault="009B3FA2" w:rsidP="00B61C5E">
            <w:pPr>
              <w:jc w:val="center"/>
              <w:rPr>
                <w:b/>
              </w:rPr>
            </w:pPr>
            <w:r>
              <w:rPr>
                <w:b/>
              </w:rPr>
              <w:t xml:space="preserve">Within Laboratory Reproducibility </w:t>
            </w:r>
            <w:r w:rsidRPr="00BA65E0">
              <w:rPr>
                <w:b/>
              </w:rPr>
              <w:t xml:space="preserve"> (CV %)</w:t>
            </w:r>
          </w:p>
        </w:tc>
      </w:tr>
      <w:tr w:rsidR="009B3FA2" w:rsidRPr="00BA65E0" w:rsidTr="001D43B7">
        <w:trPr>
          <w:jc w:val="center"/>
        </w:trPr>
        <w:tc>
          <w:tcPr>
            <w:tcW w:w="1349" w:type="dxa"/>
            <w:vMerge/>
            <w:vAlign w:val="center"/>
          </w:tcPr>
          <w:p w:rsidR="009B3FA2" w:rsidRPr="00BA65E0" w:rsidRDefault="009B3FA2" w:rsidP="00B61C5E">
            <w:pPr>
              <w:jc w:val="center"/>
              <w:rPr>
                <w:b/>
              </w:rPr>
            </w:pPr>
          </w:p>
        </w:tc>
        <w:tc>
          <w:tcPr>
            <w:tcW w:w="1666" w:type="dxa"/>
            <w:vMerge/>
          </w:tcPr>
          <w:p w:rsidR="009B3FA2" w:rsidRPr="00BA65E0" w:rsidRDefault="009B3FA2" w:rsidP="00B61C5E">
            <w:pPr>
              <w:jc w:val="center"/>
              <w:rPr>
                <w:b/>
              </w:rPr>
            </w:pPr>
          </w:p>
        </w:tc>
        <w:tc>
          <w:tcPr>
            <w:tcW w:w="1413" w:type="dxa"/>
            <w:vMerge/>
          </w:tcPr>
          <w:p w:rsidR="009B3FA2" w:rsidRPr="00BA65E0" w:rsidRDefault="009B3FA2" w:rsidP="00B61C5E">
            <w:pPr>
              <w:jc w:val="center"/>
              <w:rPr>
                <w:b/>
              </w:rPr>
            </w:pPr>
          </w:p>
        </w:tc>
        <w:tc>
          <w:tcPr>
            <w:tcW w:w="1260" w:type="dxa"/>
            <w:vAlign w:val="center"/>
          </w:tcPr>
          <w:p w:rsidR="009B3FA2" w:rsidRPr="00BA65E0" w:rsidRDefault="009B3FA2" w:rsidP="00B61C5E">
            <w:pPr>
              <w:jc w:val="center"/>
              <w:rPr>
                <w:b/>
              </w:rPr>
            </w:pPr>
            <w:r w:rsidRPr="00BA65E0">
              <w:rPr>
                <w:b/>
              </w:rPr>
              <w:t>1</w:t>
            </w:r>
            <w:r w:rsidRPr="00BB51E0">
              <w:rPr>
                <w:b/>
                <w:vertAlign w:val="superscript"/>
              </w:rPr>
              <w:t>st</w:t>
            </w:r>
            <w:r w:rsidRPr="00BA65E0">
              <w:rPr>
                <w:b/>
              </w:rPr>
              <w:t xml:space="preserve"> </w:t>
            </w:r>
            <w:r>
              <w:rPr>
                <w:b/>
              </w:rPr>
              <w:t>day</w:t>
            </w:r>
          </w:p>
        </w:tc>
        <w:tc>
          <w:tcPr>
            <w:tcW w:w="1261" w:type="dxa"/>
            <w:vAlign w:val="center"/>
          </w:tcPr>
          <w:p w:rsidR="009B3FA2" w:rsidRPr="00BA65E0" w:rsidRDefault="009B3FA2" w:rsidP="00B61C5E">
            <w:pPr>
              <w:jc w:val="center"/>
              <w:rPr>
                <w:b/>
              </w:rPr>
            </w:pPr>
            <w:r w:rsidRPr="00BA65E0">
              <w:rPr>
                <w:b/>
              </w:rPr>
              <w:t>2</w:t>
            </w:r>
            <w:r w:rsidRPr="00BB51E0">
              <w:rPr>
                <w:b/>
                <w:vertAlign w:val="superscript"/>
              </w:rPr>
              <w:t>nd</w:t>
            </w:r>
            <w:r w:rsidRPr="00BA65E0">
              <w:rPr>
                <w:b/>
              </w:rPr>
              <w:t xml:space="preserve"> </w:t>
            </w:r>
            <w:r>
              <w:rPr>
                <w:b/>
              </w:rPr>
              <w:t>day</w:t>
            </w:r>
          </w:p>
        </w:tc>
        <w:tc>
          <w:tcPr>
            <w:tcW w:w="1261" w:type="dxa"/>
            <w:vAlign w:val="center"/>
          </w:tcPr>
          <w:p w:rsidR="009B3FA2" w:rsidRPr="00BA65E0" w:rsidRDefault="009B3FA2" w:rsidP="00B61C5E">
            <w:pPr>
              <w:jc w:val="center"/>
              <w:rPr>
                <w:b/>
              </w:rPr>
            </w:pPr>
            <w:r w:rsidRPr="00BA65E0">
              <w:rPr>
                <w:b/>
              </w:rPr>
              <w:t>3</w:t>
            </w:r>
            <w:r w:rsidRPr="00BB51E0">
              <w:rPr>
                <w:b/>
                <w:vertAlign w:val="superscript"/>
              </w:rPr>
              <w:t>rd</w:t>
            </w:r>
            <w:r w:rsidRPr="00BA65E0">
              <w:rPr>
                <w:b/>
              </w:rPr>
              <w:t xml:space="preserve"> </w:t>
            </w:r>
            <w:r>
              <w:rPr>
                <w:b/>
              </w:rPr>
              <w:t>day</w:t>
            </w:r>
          </w:p>
        </w:tc>
        <w:tc>
          <w:tcPr>
            <w:tcW w:w="1922" w:type="dxa"/>
            <w:vMerge/>
          </w:tcPr>
          <w:p w:rsidR="009B3FA2" w:rsidRPr="00BA65E0" w:rsidRDefault="009B3FA2" w:rsidP="00B61C5E">
            <w:pPr>
              <w:jc w:val="center"/>
            </w:pPr>
          </w:p>
        </w:tc>
      </w:tr>
      <w:tr w:rsidR="009B3FA2" w:rsidRPr="00BA65E0" w:rsidTr="001D43B7">
        <w:trPr>
          <w:jc w:val="center"/>
        </w:trPr>
        <w:tc>
          <w:tcPr>
            <w:tcW w:w="1349" w:type="dxa"/>
            <w:vMerge w:val="restart"/>
            <w:vAlign w:val="center"/>
          </w:tcPr>
          <w:p w:rsidR="009B3FA2" w:rsidRPr="00BA65E0" w:rsidRDefault="009B3FA2" w:rsidP="00B61C5E">
            <w:pPr>
              <w:jc w:val="center"/>
              <w:rPr>
                <w:b/>
              </w:rPr>
            </w:pPr>
            <w:r w:rsidRPr="00BA65E0">
              <w:rPr>
                <w:b/>
              </w:rPr>
              <w:t>M</w:t>
            </w:r>
            <w:r>
              <w:rPr>
                <w:b/>
              </w:rPr>
              <w:t>eat</w:t>
            </w:r>
          </w:p>
        </w:tc>
        <w:tc>
          <w:tcPr>
            <w:tcW w:w="1666" w:type="dxa"/>
          </w:tcPr>
          <w:p w:rsidR="009B3FA2" w:rsidRPr="00BA65E0" w:rsidRDefault="009B3FA2" w:rsidP="00B61C5E">
            <w:pPr>
              <w:jc w:val="center"/>
            </w:pPr>
            <w:r w:rsidRPr="00BA65E0">
              <w:t>20</w:t>
            </w:r>
          </w:p>
        </w:tc>
        <w:tc>
          <w:tcPr>
            <w:tcW w:w="1413" w:type="dxa"/>
          </w:tcPr>
          <w:p w:rsidR="009B3FA2" w:rsidRDefault="009B3FA2" w:rsidP="00B61C5E">
            <w:pPr>
              <w:jc w:val="center"/>
            </w:pPr>
            <w:r>
              <w:t>107,8</w:t>
            </w:r>
          </w:p>
        </w:tc>
        <w:tc>
          <w:tcPr>
            <w:tcW w:w="1260" w:type="dxa"/>
            <w:vAlign w:val="center"/>
          </w:tcPr>
          <w:p w:rsidR="009B3FA2" w:rsidRPr="007E221A" w:rsidRDefault="009B3FA2" w:rsidP="00B61C5E">
            <w:pPr>
              <w:jc w:val="center"/>
            </w:pPr>
            <w:r w:rsidRPr="007E221A">
              <w:t>6,90</w:t>
            </w:r>
          </w:p>
        </w:tc>
        <w:tc>
          <w:tcPr>
            <w:tcW w:w="1261" w:type="dxa"/>
            <w:vAlign w:val="center"/>
          </w:tcPr>
          <w:p w:rsidR="009B3FA2" w:rsidRPr="007E221A" w:rsidRDefault="009B3FA2" w:rsidP="00B61C5E">
            <w:pPr>
              <w:jc w:val="center"/>
            </w:pPr>
            <w:r w:rsidRPr="007E221A">
              <w:t>4,92</w:t>
            </w:r>
          </w:p>
        </w:tc>
        <w:tc>
          <w:tcPr>
            <w:tcW w:w="1261" w:type="dxa"/>
            <w:vAlign w:val="center"/>
          </w:tcPr>
          <w:p w:rsidR="009B3FA2" w:rsidRPr="007E221A" w:rsidRDefault="009B3FA2" w:rsidP="00B61C5E">
            <w:pPr>
              <w:jc w:val="center"/>
            </w:pPr>
            <w:r w:rsidRPr="007E221A">
              <w:t>1,20</w:t>
            </w:r>
          </w:p>
        </w:tc>
        <w:tc>
          <w:tcPr>
            <w:tcW w:w="1922" w:type="dxa"/>
          </w:tcPr>
          <w:p w:rsidR="009B3FA2" w:rsidRDefault="009B3FA2" w:rsidP="00B61C5E">
            <w:pPr>
              <w:jc w:val="center"/>
            </w:pPr>
            <w:r>
              <w:t>11,5</w:t>
            </w:r>
          </w:p>
        </w:tc>
      </w:tr>
      <w:tr w:rsidR="009B3FA2" w:rsidRPr="00BA65E0" w:rsidTr="001D43B7">
        <w:trPr>
          <w:jc w:val="center"/>
        </w:trPr>
        <w:tc>
          <w:tcPr>
            <w:tcW w:w="1349" w:type="dxa"/>
            <w:vMerge/>
          </w:tcPr>
          <w:p w:rsidR="009B3FA2" w:rsidRPr="00BA65E0" w:rsidRDefault="009B3FA2" w:rsidP="00B61C5E">
            <w:pPr>
              <w:jc w:val="center"/>
              <w:rPr>
                <w:b/>
              </w:rPr>
            </w:pPr>
          </w:p>
        </w:tc>
        <w:tc>
          <w:tcPr>
            <w:tcW w:w="1666" w:type="dxa"/>
          </w:tcPr>
          <w:p w:rsidR="009B3FA2" w:rsidRPr="00BA65E0" w:rsidRDefault="009B3FA2" w:rsidP="00B61C5E">
            <w:pPr>
              <w:jc w:val="center"/>
            </w:pPr>
            <w:r w:rsidRPr="00BA65E0">
              <w:t>50</w:t>
            </w:r>
          </w:p>
        </w:tc>
        <w:tc>
          <w:tcPr>
            <w:tcW w:w="1413" w:type="dxa"/>
          </w:tcPr>
          <w:p w:rsidR="009B3FA2" w:rsidRDefault="009B3FA2" w:rsidP="00B61C5E">
            <w:pPr>
              <w:jc w:val="center"/>
            </w:pPr>
            <w:r>
              <w:t>91,8</w:t>
            </w:r>
          </w:p>
        </w:tc>
        <w:tc>
          <w:tcPr>
            <w:tcW w:w="1260" w:type="dxa"/>
            <w:vAlign w:val="center"/>
          </w:tcPr>
          <w:p w:rsidR="009B3FA2" w:rsidRPr="007E221A" w:rsidRDefault="009B3FA2" w:rsidP="00B61C5E">
            <w:pPr>
              <w:jc w:val="center"/>
            </w:pPr>
            <w:r w:rsidRPr="007E221A">
              <w:t>3,13</w:t>
            </w:r>
          </w:p>
        </w:tc>
        <w:tc>
          <w:tcPr>
            <w:tcW w:w="1261" w:type="dxa"/>
            <w:vAlign w:val="center"/>
          </w:tcPr>
          <w:p w:rsidR="009B3FA2" w:rsidRPr="007E221A" w:rsidRDefault="009B3FA2" w:rsidP="00B61C5E">
            <w:pPr>
              <w:jc w:val="center"/>
            </w:pPr>
            <w:r w:rsidRPr="007E221A">
              <w:t>0,90</w:t>
            </w:r>
          </w:p>
        </w:tc>
        <w:tc>
          <w:tcPr>
            <w:tcW w:w="1261" w:type="dxa"/>
            <w:vAlign w:val="center"/>
          </w:tcPr>
          <w:p w:rsidR="009B3FA2" w:rsidRPr="007E221A" w:rsidRDefault="009B3FA2" w:rsidP="00B61C5E">
            <w:pPr>
              <w:jc w:val="center"/>
            </w:pPr>
            <w:r w:rsidRPr="007E221A">
              <w:t>1,04</w:t>
            </w:r>
          </w:p>
        </w:tc>
        <w:tc>
          <w:tcPr>
            <w:tcW w:w="1922" w:type="dxa"/>
          </w:tcPr>
          <w:p w:rsidR="009B3FA2" w:rsidRDefault="009B3FA2" w:rsidP="00B61C5E">
            <w:pPr>
              <w:jc w:val="center"/>
            </w:pPr>
            <w:r>
              <w:t>2,6</w:t>
            </w:r>
          </w:p>
        </w:tc>
      </w:tr>
      <w:tr w:rsidR="009B3FA2" w:rsidRPr="00BA65E0" w:rsidTr="001D43B7">
        <w:trPr>
          <w:jc w:val="center"/>
        </w:trPr>
        <w:tc>
          <w:tcPr>
            <w:tcW w:w="1349" w:type="dxa"/>
            <w:vMerge/>
          </w:tcPr>
          <w:p w:rsidR="009B3FA2" w:rsidRPr="00BA65E0" w:rsidRDefault="009B3FA2" w:rsidP="00B61C5E">
            <w:pPr>
              <w:jc w:val="center"/>
              <w:rPr>
                <w:b/>
              </w:rPr>
            </w:pPr>
          </w:p>
        </w:tc>
        <w:tc>
          <w:tcPr>
            <w:tcW w:w="1666" w:type="dxa"/>
          </w:tcPr>
          <w:p w:rsidR="009B3FA2" w:rsidRPr="00BA65E0" w:rsidRDefault="009B3FA2" w:rsidP="00B61C5E">
            <w:pPr>
              <w:jc w:val="center"/>
            </w:pPr>
            <w:r w:rsidRPr="00BA65E0">
              <w:t>75</w:t>
            </w:r>
          </w:p>
        </w:tc>
        <w:tc>
          <w:tcPr>
            <w:tcW w:w="1413" w:type="dxa"/>
          </w:tcPr>
          <w:p w:rsidR="009B3FA2" w:rsidRDefault="009B3FA2" w:rsidP="00B61C5E">
            <w:pPr>
              <w:jc w:val="center"/>
            </w:pPr>
            <w:r>
              <w:t>90,1</w:t>
            </w:r>
          </w:p>
        </w:tc>
        <w:tc>
          <w:tcPr>
            <w:tcW w:w="1260" w:type="dxa"/>
            <w:vAlign w:val="center"/>
          </w:tcPr>
          <w:p w:rsidR="009B3FA2" w:rsidRPr="007E221A" w:rsidRDefault="009B3FA2" w:rsidP="00B61C5E">
            <w:pPr>
              <w:jc w:val="center"/>
            </w:pPr>
            <w:r w:rsidRPr="007E221A">
              <w:t>2,70</w:t>
            </w:r>
          </w:p>
        </w:tc>
        <w:tc>
          <w:tcPr>
            <w:tcW w:w="1261" w:type="dxa"/>
            <w:vAlign w:val="center"/>
          </w:tcPr>
          <w:p w:rsidR="009B3FA2" w:rsidRPr="007E221A" w:rsidRDefault="009B3FA2" w:rsidP="00B61C5E">
            <w:pPr>
              <w:jc w:val="center"/>
            </w:pPr>
            <w:r w:rsidRPr="007E221A">
              <w:t>1,35</w:t>
            </w:r>
          </w:p>
        </w:tc>
        <w:tc>
          <w:tcPr>
            <w:tcW w:w="1261" w:type="dxa"/>
            <w:vAlign w:val="center"/>
          </w:tcPr>
          <w:p w:rsidR="009B3FA2" w:rsidRPr="007E221A" w:rsidRDefault="009B3FA2" w:rsidP="00B61C5E">
            <w:pPr>
              <w:jc w:val="center"/>
            </w:pPr>
            <w:r w:rsidRPr="007E221A">
              <w:t>1,78</w:t>
            </w:r>
          </w:p>
        </w:tc>
        <w:tc>
          <w:tcPr>
            <w:tcW w:w="1922" w:type="dxa"/>
          </w:tcPr>
          <w:p w:rsidR="009B3FA2" w:rsidRDefault="009B3FA2" w:rsidP="00B61C5E">
            <w:pPr>
              <w:jc w:val="center"/>
            </w:pPr>
            <w:r>
              <w:t>2,3</w:t>
            </w:r>
          </w:p>
        </w:tc>
      </w:tr>
      <w:tr w:rsidR="009B3FA2" w:rsidRPr="00BA65E0" w:rsidTr="001D43B7">
        <w:trPr>
          <w:jc w:val="center"/>
        </w:trPr>
        <w:tc>
          <w:tcPr>
            <w:tcW w:w="1349" w:type="dxa"/>
            <w:vMerge/>
          </w:tcPr>
          <w:p w:rsidR="009B3FA2" w:rsidRPr="00BA65E0" w:rsidRDefault="009B3FA2" w:rsidP="00B61C5E">
            <w:pPr>
              <w:jc w:val="center"/>
              <w:rPr>
                <w:b/>
              </w:rPr>
            </w:pPr>
          </w:p>
        </w:tc>
        <w:tc>
          <w:tcPr>
            <w:tcW w:w="1666" w:type="dxa"/>
          </w:tcPr>
          <w:p w:rsidR="009B3FA2" w:rsidRPr="00BA65E0" w:rsidRDefault="009B3FA2" w:rsidP="00B61C5E">
            <w:pPr>
              <w:jc w:val="center"/>
            </w:pPr>
            <w:r w:rsidRPr="00BA65E0">
              <w:t>100</w:t>
            </w:r>
          </w:p>
        </w:tc>
        <w:tc>
          <w:tcPr>
            <w:tcW w:w="1413" w:type="dxa"/>
          </w:tcPr>
          <w:p w:rsidR="009B3FA2" w:rsidRDefault="009B3FA2" w:rsidP="00B61C5E">
            <w:pPr>
              <w:jc w:val="center"/>
            </w:pPr>
            <w:r>
              <w:t>88,5</w:t>
            </w:r>
          </w:p>
        </w:tc>
        <w:tc>
          <w:tcPr>
            <w:tcW w:w="1260" w:type="dxa"/>
            <w:vAlign w:val="center"/>
          </w:tcPr>
          <w:p w:rsidR="009B3FA2" w:rsidRPr="007E221A" w:rsidRDefault="009B3FA2" w:rsidP="00B61C5E">
            <w:pPr>
              <w:jc w:val="center"/>
            </w:pPr>
            <w:r w:rsidRPr="007E221A">
              <w:t>1,07</w:t>
            </w:r>
          </w:p>
        </w:tc>
        <w:tc>
          <w:tcPr>
            <w:tcW w:w="1261" w:type="dxa"/>
            <w:vAlign w:val="center"/>
          </w:tcPr>
          <w:p w:rsidR="009B3FA2" w:rsidRPr="007E221A" w:rsidRDefault="009B3FA2" w:rsidP="00B61C5E">
            <w:pPr>
              <w:jc w:val="center"/>
            </w:pPr>
            <w:r w:rsidRPr="007E221A">
              <w:t>1,50</w:t>
            </w:r>
          </w:p>
        </w:tc>
        <w:tc>
          <w:tcPr>
            <w:tcW w:w="1261" w:type="dxa"/>
            <w:vAlign w:val="center"/>
          </w:tcPr>
          <w:p w:rsidR="009B3FA2" w:rsidRPr="007E221A" w:rsidRDefault="009B3FA2" w:rsidP="00B61C5E">
            <w:pPr>
              <w:jc w:val="center"/>
            </w:pPr>
            <w:r w:rsidRPr="007E221A">
              <w:t>0,57</w:t>
            </w:r>
          </w:p>
        </w:tc>
        <w:tc>
          <w:tcPr>
            <w:tcW w:w="1922" w:type="dxa"/>
          </w:tcPr>
          <w:p w:rsidR="009B3FA2" w:rsidRDefault="009B3FA2" w:rsidP="00B61C5E">
            <w:pPr>
              <w:jc w:val="center"/>
            </w:pPr>
            <w:r>
              <w:t>1,7</w:t>
            </w:r>
          </w:p>
        </w:tc>
      </w:tr>
    </w:tbl>
    <w:p w:rsidR="009B3FA2" w:rsidRDefault="009B3FA2" w:rsidP="009B3FA2">
      <w:pPr>
        <w:shd w:val="clear" w:color="auto" w:fill="FFFFFF"/>
        <w:spacing w:line="240" w:lineRule="atLeast"/>
        <w:textAlignment w:val="baseline"/>
      </w:pPr>
    </w:p>
    <w:p w:rsidR="003313AF" w:rsidRDefault="003313AF" w:rsidP="003313AF">
      <w:pPr>
        <w:pStyle w:val="References"/>
      </w:pPr>
      <w:r>
        <w:br w:type="page"/>
      </w:r>
      <w:r>
        <w:lastRenderedPageBreak/>
        <w:t>References</w:t>
      </w:r>
    </w:p>
    <w:p w:rsidR="003313AF" w:rsidRPr="003313AF" w:rsidRDefault="007D18F1">
      <w:pPr>
        <w:pStyle w:val="NormalWeb"/>
        <w:divId w:val="157155646"/>
        <w:rPr>
          <w:lang w:val="it-IT"/>
        </w:rPr>
      </w:pPr>
      <w:r>
        <w:fldChar w:fldCharType="begin"/>
      </w:r>
      <w:r w:rsidR="003313AF">
        <w:instrText>ADDIN RW.BIB</w:instrText>
      </w:r>
      <w:r>
        <w:fldChar w:fldCharType="separate"/>
      </w:r>
      <w:r w:rsidR="003313AF">
        <w:t xml:space="preserve">Verdon E, Couedor P, Sanders P. 2007. Multi-residue monitoring for the simultaneous determination of five nitrofurans (furazolidone, furaltadone, nitrofurazone, nitrofurantoine, nifursol) in poultry muscle tissue through the detection of their five major metabolites (AOZ, AMOZ, SEM, AHD, DNSAH) by liquid chromatography coupled to electrospray tandem mass spectrometry—In-house validation in line with Commission Decision 657/2002/EC. </w:t>
      </w:r>
      <w:r w:rsidR="003313AF" w:rsidRPr="003313AF">
        <w:rPr>
          <w:lang w:val="it-IT"/>
        </w:rPr>
        <w:t xml:space="preserve">Anal Chim Acta. 586(1–2):336-347 </w:t>
      </w:r>
    </w:p>
    <w:p w:rsidR="003313AF" w:rsidRDefault="003313AF">
      <w:pPr>
        <w:pStyle w:val="NormalWeb"/>
        <w:divId w:val="157155646"/>
      </w:pPr>
      <w:r w:rsidRPr="003313AF">
        <w:rPr>
          <w:lang w:val="it-IT"/>
        </w:rPr>
        <w:t xml:space="preserve">Lega F, Contiero L, Biancotto G, Angeletti R. 2013. </w:t>
      </w:r>
      <w:r>
        <w:t xml:space="preserve">Determination of thyreostats in muscle and thyroid tissues by QuEChERS extraction and ultra-performance liquid chromatography tandem mass spectrometry. Food Addit Contam Part A Chem Anal Control Expo Risk Assess. 30(6):949-957 </w:t>
      </w:r>
    </w:p>
    <w:p w:rsidR="003313AF" w:rsidRDefault="007D18F1" w:rsidP="003313AF">
      <w:pPr>
        <w:pStyle w:val="References"/>
      </w:pPr>
      <w:r>
        <w:fldChar w:fldCharType="end"/>
      </w:r>
    </w:p>
    <w:sectPr w:rsidR="003313AF" w:rsidSect="00074B81">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FA3" w:rsidRDefault="00323FA3" w:rsidP="00AF2C92">
      <w:r>
        <w:separator/>
      </w:r>
    </w:p>
  </w:endnote>
  <w:endnote w:type="continuationSeparator" w:id="0">
    <w:p w:rsidR="00323FA3" w:rsidRDefault="00323FA3"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FA3" w:rsidRDefault="00323FA3" w:rsidP="00AF2C92">
      <w:r>
        <w:separator/>
      </w:r>
    </w:p>
  </w:footnote>
  <w:footnote w:type="continuationSeparator" w:id="0">
    <w:p w:rsidR="00323FA3" w:rsidRDefault="00323FA3" w:rsidP="00AF2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F2"/>
    <w:rsid w:val="00001899"/>
    <w:rsid w:val="000049AD"/>
    <w:rsid w:val="0000681B"/>
    <w:rsid w:val="000133C0"/>
    <w:rsid w:val="00014C4E"/>
    <w:rsid w:val="00017107"/>
    <w:rsid w:val="000202E2"/>
    <w:rsid w:val="00022441"/>
    <w:rsid w:val="0002261E"/>
    <w:rsid w:val="00024839"/>
    <w:rsid w:val="00026871"/>
    <w:rsid w:val="000305F7"/>
    <w:rsid w:val="00037A98"/>
    <w:rsid w:val="000427FB"/>
    <w:rsid w:val="0004455E"/>
    <w:rsid w:val="00047CB5"/>
    <w:rsid w:val="00051FAA"/>
    <w:rsid w:val="000572A9"/>
    <w:rsid w:val="00061325"/>
    <w:rsid w:val="000733AC"/>
    <w:rsid w:val="00074B81"/>
    <w:rsid w:val="00074D22"/>
    <w:rsid w:val="00075081"/>
    <w:rsid w:val="0007528A"/>
    <w:rsid w:val="00075FF2"/>
    <w:rsid w:val="000769E9"/>
    <w:rsid w:val="000811AB"/>
    <w:rsid w:val="00083C5F"/>
    <w:rsid w:val="0009172C"/>
    <w:rsid w:val="000930EC"/>
    <w:rsid w:val="00095E61"/>
    <w:rsid w:val="000966C1"/>
    <w:rsid w:val="000970AC"/>
    <w:rsid w:val="000A1167"/>
    <w:rsid w:val="000A4428"/>
    <w:rsid w:val="000A6D40"/>
    <w:rsid w:val="000A7BC3"/>
    <w:rsid w:val="000B1661"/>
    <w:rsid w:val="000B2E88"/>
    <w:rsid w:val="000B4603"/>
    <w:rsid w:val="000B626C"/>
    <w:rsid w:val="000C09BE"/>
    <w:rsid w:val="000C1380"/>
    <w:rsid w:val="000C554F"/>
    <w:rsid w:val="000D0DC5"/>
    <w:rsid w:val="000D15FF"/>
    <w:rsid w:val="000D28DF"/>
    <w:rsid w:val="000D488B"/>
    <w:rsid w:val="000D68DF"/>
    <w:rsid w:val="000E138D"/>
    <w:rsid w:val="000E187A"/>
    <w:rsid w:val="000E2D61"/>
    <w:rsid w:val="000E450E"/>
    <w:rsid w:val="000E6259"/>
    <w:rsid w:val="000F4677"/>
    <w:rsid w:val="000F5BE0"/>
    <w:rsid w:val="000F7B03"/>
    <w:rsid w:val="00100587"/>
    <w:rsid w:val="0010284E"/>
    <w:rsid w:val="00103122"/>
    <w:rsid w:val="0010336A"/>
    <w:rsid w:val="001050F1"/>
    <w:rsid w:val="00105AEA"/>
    <w:rsid w:val="00106DAF"/>
    <w:rsid w:val="00114ABE"/>
    <w:rsid w:val="00116023"/>
    <w:rsid w:val="00134A51"/>
    <w:rsid w:val="00140727"/>
    <w:rsid w:val="00160628"/>
    <w:rsid w:val="00161344"/>
    <w:rsid w:val="00162195"/>
    <w:rsid w:val="0016322A"/>
    <w:rsid w:val="00165A21"/>
    <w:rsid w:val="001705CE"/>
    <w:rsid w:val="0017714B"/>
    <w:rsid w:val="001804DF"/>
    <w:rsid w:val="00181BDC"/>
    <w:rsid w:val="00181DB0"/>
    <w:rsid w:val="001829E3"/>
    <w:rsid w:val="001924C0"/>
    <w:rsid w:val="0019731E"/>
    <w:rsid w:val="001A09FE"/>
    <w:rsid w:val="001A67C9"/>
    <w:rsid w:val="001A69DE"/>
    <w:rsid w:val="001A713C"/>
    <w:rsid w:val="001B1C7C"/>
    <w:rsid w:val="001B30FB"/>
    <w:rsid w:val="001B398F"/>
    <w:rsid w:val="001B46C6"/>
    <w:rsid w:val="001B4B48"/>
    <w:rsid w:val="001B4D1F"/>
    <w:rsid w:val="001B7681"/>
    <w:rsid w:val="001B7CAE"/>
    <w:rsid w:val="001C0772"/>
    <w:rsid w:val="001C0D4F"/>
    <w:rsid w:val="001C1BA3"/>
    <w:rsid w:val="001C1DEC"/>
    <w:rsid w:val="001C5736"/>
    <w:rsid w:val="001D43B7"/>
    <w:rsid w:val="001D647F"/>
    <w:rsid w:val="001D6857"/>
    <w:rsid w:val="001E0572"/>
    <w:rsid w:val="001E0A67"/>
    <w:rsid w:val="001E1028"/>
    <w:rsid w:val="001E14E2"/>
    <w:rsid w:val="001E6302"/>
    <w:rsid w:val="001E7DCB"/>
    <w:rsid w:val="001F3411"/>
    <w:rsid w:val="001F4287"/>
    <w:rsid w:val="001F4DBA"/>
    <w:rsid w:val="0020415E"/>
    <w:rsid w:val="00204FF4"/>
    <w:rsid w:val="0021056E"/>
    <w:rsid w:val="0021075D"/>
    <w:rsid w:val="0021165A"/>
    <w:rsid w:val="00211BC9"/>
    <w:rsid w:val="0021620C"/>
    <w:rsid w:val="00216E78"/>
    <w:rsid w:val="00217275"/>
    <w:rsid w:val="00236F4B"/>
    <w:rsid w:val="00242B0D"/>
    <w:rsid w:val="002467C6"/>
    <w:rsid w:val="0024692A"/>
    <w:rsid w:val="00252BBA"/>
    <w:rsid w:val="00253123"/>
    <w:rsid w:val="00264001"/>
    <w:rsid w:val="00266354"/>
    <w:rsid w:val="00267A18"/>
    <w:rsid w:val="00273462"/>
    <w:rsid w:val="0027395B"/>
    <w:rsid w:val="00275854"/>
    <w:rsid w:val="00283B41"/>
    <w:rsid w:val="00285F28"/>
    <w:rsid w:val="00286398"/>
    <w:rsid w:val="002A3C42"/>
    <w:rsid w:val="002A5D75"/>
    <w:rsid w:val="002A75FF"/>
    <w:rsid w:val="002B1B1A"/>
    <w:rsid w:val="002B7228"/>
    <w:rsid w:val="002B7FFD"/>
    <w:rsid w:val="002C53EE"/>
    <w:rsid w:val="002D24F7"/>
    <w:rsid w:val="002D2799"/>
    <w:rsid w:val="002D2CD7"/>
    <w:rsid w:val="002D4DDC"/>
    <w:rsid w:val="002D4F75"/>
    <w:rsid w:val="002D6493"/>
    <w:rsid w:val="002D7AB6"/>
    <w:rsid w:val="002E06D0"/>
    <w:rsid w:val="002E3C27"/>
    <w:rsid w:val="002E403A"/>
    <w:rsid w:val="002E7F3A"/>
    <w:rsid w:val="002F4EDB"/>
    <w:rsid w:val="002F6054"/>
    <w:rsid w:val="00315713"/>
    <w:rsid w:val="0031686C"/>
    <w:rsid w:val="00316FE0"/>
    <w:rsid w:val="0031759E"/>
    <w:rsid w:val="003204D2"/>
    <w:rsid w:val="00323FA3"/>
    <w:rsid w:val="0032605E"/>
    <w:rsid w:val="003275D1"/>
    <w:rsid w:val="00327C62"/>
    <w:rsid w:val="00330B2A"/>
    <w:rsid w:val="003313AF"/>
    <w:rsid w:val="00331E17"/>
    <w:rsid w:val="00333063"/>
    <w:rsid w:val="003408E3"/>
    <w:rsid w:val="00343480"/>
    <w:rsid w:val="00345E89"/>
    <w:rsid w:val="003522A1"/>
    <w:rsid w:val="0035254B"/>
    <w:rsid w:val="00353555"/>
    <w:rsid w:val="003565D4"/>
    <w:rsid w:val="003607FB"/>
    <w:rsid w:val="00360FD5"/>
    <w:rsid w:val="0036340D"/>
    <w:rsid w:val="003634A5"/>
    <w:rsid w:val="00366868"/>
    <w:rsid w:val="00367506"/>
    <w:rsid w:val="00370085"/>
    <w:rsid w:val="003744A7"/>
    <w:rsid w:val="00376235"/>
    <w:rsid w:val="00381FB6"/>
    <w:rsid w:val="003836D3"/>
    <w:rsid w:val="00383A52"/>
    <w:rsid w:val="00391652"/>
    <w:rsid w:val="0039507F"/>
    <w:rsid w:val="003A1260"/>
    <w:rsid w:val="003A295F"/>
    <w:rsid w:val="003A41DD"/>
    <w:rsid w:val="003A7033"/>
    <w:rsid w:val="003B47FE"/>
    <w:rsid w:val="003B5673"/>
    <w:rsid w:val="003B62C9"/>
    <w:rsid w:val="003C7176"/>
    <w:rsid w:val="003D0929"/>
    <w:rsid w:val="003D4729"/>
    <w:rsid w:val="003D7DD6"/>
    <w:rsid w:val="003E5AAF"/>
    <w:rsid w:val="003E600D"/>
    <w:rsid w:val="003E64DF"/>
    <w:rsid w:val="003E6A5D"/>
    <w:rsid w:val="003F193A"/>
    <w:rsid w:val="003F4207"/>
    <w:rsid w:val="003F5C46"/>
    <w:rsid w:val="003F7CBB"/>
    <w:rsid w:val="003F7D34"/>
    <w:rsid w:val="00412C8E"/>
    <w:rsid w:val="0041518D"/>
    <w:rsid w:val="0042221D"/>
    <w:rsid w:val="00424DD3"/>
    <w:rsid w:val="004269C5"/>
    <w:rsid w:val="00435939"/>
    <w:rsid w:val="00437CC7"/>
    <w:rsid w:val="00442B9C"/>
    <w:rsid w:val="00445EFA"/>
    <w:rsid w:val="0044738A"/>
    <w:rsid w:val="004473D3"/>
    <w:rsid w:val="00452231"/>
    <w:rsid w:val="00460C13"/>
    <w:rsid w:val="00463228"/>
    <w:rsid w:val="00463782"/>
    <w:rsid w:val="004667E0"/>
    <w:rsid w:val="0046760E"/>
    <w:rsid w:val="00470E10"/>
    <w:rsid w:val="00475941"/>
    <w:rsid w:val="00477A97"/>
    <w:rsid w:val="00481343"/>
    <w:rsid w:val="0048549E"/>
    <w:rsid w:val="00493347"/>
    <w:rsid w:val="00496092"/>
    <w:rsid w:val="004A08DB"/>
    <w:rsid w:val="004A25D0"/>
    <w:rsid w:val="004A37E8"/>
    <w:rsid w:val="004A7549"/>
    <w:rsid w:val="004B09D4"/>
    <w:rsid w:val="004B309D"/>
    <w:rsid w:val="004B330A"/>
    <w:rsid w:val="004B7C8E"/>
    <w:rsid w:val="004C3D3C"/>
    <w:rsid w:val="004D0EDC"/>
    <w:rsid w:val="004D1220"/>
    <w:rsid w:val="004D14B3"/>
    <w:rsid w:val="004D1529"/>
    <w:rsid w:val="004D2253"/>
    <w:rsid w:val="004D5514"/>
    <w:rsid w:val="004D56C3"/>
    <w:rsid w:val="004E0338"/>
    <w:rsid w:val="004E4FF3"/>
    <w:rsid w:val="004E56A8"/>
    <w:rsid w:val="004F3B55"/>
    <w:rsid w:val="004F4E46"/>
    <w:rsid w:val="004F6B7D"/>
    <w:rsid w:val="005015F6"/>
    <w:rsid w:val="005030C4"/>
    <w:rsid w:val="005031C5"/>
    <w:rsid w:val="00504FDC"/>
    <w:rsid w:val="005120CC"/>
    <w:rsid w:val="00512B7B"/>
    <w:rsid w:val="00514EA1"/>
    <w:rsid w:val="0051798B"/>
    <w:rsid w:val="00521F5A"/>
    <w:rsid w:val="00525E06"/>
    <w:rsid w:val="00526454"/>
    <w:rsid w:val="00531823"/>
    <w:rsid w:val="00534ECC"/>
    <w:rsid w:val="0053720D"/>
    <w:rsid w:val="00540EF5"/>
    <w:rsid w:val="005416CB"/>
    <w:rsid w:val="00541BF3"/>
    <w:rsid w:val="00541CD3"/>
    <w:rsid w:val="005476FA"/>
    <w:rsid w:val="0055595E"/>
    <w:rsid w:val="00557988"/>
    <w:rsid w:val="00562C49"/>
    <w:rsid w:val="00562DEF"/>
    <w:rsid w:val="0056321A"/>
    <w:rsid w:val="00563A35"/>
    <w:rsid w:val="00566596"/>
    <w:rsid w:val="005741E9"/>
    <w:rsid w:val="005748CF"/>
    <w:rsid w:val="00584270"/>
    <w:rsid w:val="00584738"/>
    <w:rsid w:val="005920B0"/>
    <w:rsid w:val="0059380D"/>
    <w:rsid w:val="00595A8F"/>
    <w:rsid w:val="005977C2"/>
    <w:rsid w:val="00597BF2"/>
    <w:rsid w:val="005B134E"/>
    <w:rsid w:val="005B2039"/>
    <w:rsid w:val="005B344F"/>
    <w:rsid w:val="005B3FBA"/>
    <w:rsid w:val="005B4A1D"/>
    <w:rsid w:val="005B674D"/>
    <w:rsid w:val="005C0CBE"/>
    <w:rsid w:val="005C1FCF"/>
    <w:rsid w:val="005D1885"/>
    <w:rsid w:val="005D4A38"/>
    <w:rsid w:val="005E2EEA"/>
    <w:rsid w:val="005E3708"/>
    <w:rsid w:val="005E3CCD"/>
    <w:rsid w:val="005E3D6B"/>
    <w:rsid w:val="005E5B55"/>
    <w:rsid w:val="005E5E4A"/>
    <w:rsid w:val="005E693D"/>
    <w:rsid w:val="005E75BF"/>
    <w:rsid w:val="005F57BA"/>
    <w:rsid w:val="005F61E6"/>
    <w:rsid w:val="005F6C45"/>
    <w:rsid w:val="00605A69"/>
    <w:rsid w:val="00606C54"/>
    <w:rsid w:val="00612D88"/>
    <w:rsid w:val="00614375"/>
    <w:rsid w:val="00615B0A"/>
    <w:rsid w:val="006168CF"/>
    <w:rsid w:val="0062011B"/>
    <w:rsid w:val="00626DE0"/>
    <w:rsid w:val="00630901"/>
    <w:rsid w:val="00631F8E"/>
    <w:rsid w:val="00636EE9"/>
    <w:rsid w:val="00640950"/>
    <w:rsid w:val="00641AE7"/>
    <w:rsid w:val="00642629"/>
    <w:rsid w:val="0065293D"/>
    <w:rsid w:val="00653EFC"/>
    <w:rsid w:val="00654021"/>
    <w:rsid w:val="00661045"/>
    <w:rsid w:val="00666DA8"/>
    <w:rsid w:val="00671057"/>
    <w:rsid w:val="00675AAF"/>
    <w:rsid w:val="0068031A"/>
    <w:rsid w:val="00681B2F"/>
    <w:rsid w:val="0068335F"/>
    <w:rsid w:val="00687217"/>
    <w:rsid w:val="00693302"/>
    <w:rsid w:val="0069640B"/>
    <w:rsid w:val="006A1B83"/>
    <w:rsid w:val="006A21CD"/>
    <w:rsid w:val="006A5918"/>
    <w:rsid w:val="006B21B2"/>
    <w:rsid w:val="006B4A4A"/>
    <w:rsid w:val="006C19B2"/>
    <w:rsid w:val="006C5BB8"/>
    <w:rsid w:val="006C6936"/>
    <w:rsid w:val="006C7B01"/>
    <w:rsid w:val="006D0FE8"/>
    <w:rsid w:val="006D4B2B"/>
    <w:rsid w:val="006D4F3C"/>
    <w:rsid w:val="006D5C66"/>
    <w:rsid w:val="006E1B3C"/>
    <w:rsid w:val="006E23FB"/>
    <w:rsid w:val="006E325A"/>
    <w:rsid w:val="006E33EC"/>
    <w:rsid w:val="006E3802"/>
    <w:rsid w:val="006E6C02"/>
    <w:rsid w:val="006F231A"/>
    <w:rsid w:val="006F6B55"/>
    <w:rsid w:val="006F788D"/>
    <w:rsid w:val="006F78E1"/>
    <w:rsid w:val="00701072"/>
    <w:rsid w:val="00702054"/>
    <w:rsid w:val="007035A4"/>
    <w:rsid w:val="00711799"/>
    <w:rsid w:val="00712B78"/>
    <w:rsid w:val="0071393B"/>
    <w:rsid w:val="00713EE2"/>
    <w:rsid w:val="007177FC"/>
    <w:rsid w:val="00720C5E"/>
    <w:rsid w:val="00721701"/>
    <w:rsid w:val="00723936"/>
    <w:rsid w:val="00731835"/>
    <w:rsid w:val="007341F8"/>
    <w:rsid w:val="00734372"/>
    <w:rsid w:val="00734EB8"/>
    <w:rsid w:val="00735F8B"/>
    <w:rsid w:val="00742D1F"/>
    <w:rsid w:val="00743EBA"/>
    <w:rsid w:val="00744C8E"/>
    <w:rsid w:val="0074707E"/>
    <w:rsid w:val="007516DC"/>
    <w:rsid w:val="00754B80"/>
    <w:rsid w:val="00761918"/>
    <w:rsid w:val="00762F03"/>
    <w:rsid w:val="0076413B"/>
    <w:rsid w:val="007648AE"/>
    <w:rsid w:val="00764BF8"/>
    <w:rsid w:val="0076514D"/>
    <w:rsid w:val="00773D59"/>
    <w:rsid w:val="00781003"/>
    <w:rsid w:val="007911FD"/>
    <w:rsid w:val="00793930"/>
    <w:rsid w:val="00793DD1"/>
    <w:rsid w:val="00794FEC"/>
    <w:rsid w:val="007A003E"/>
    <w:rsid w:val="007A1965"/>
    <w:rsid w:val="007A2ED1"/>
    <w:rsid w:val="007A4BE6"/>
    <w:rsid w:val="007B0DC6"/>
    <w:rsid w:val="007B1094"/>
    <w:rsid w:val="007B1762"/>
    <w:rsid w:val="007B3320"/>
    <w:rsid w:val="007C02A8"/>
    <w:rsid w:val="007C301F"/>
    <w:rsid w:val="007C4540"/>
    <w:rsid w:val="007C65AF"/>
    <w:rsid w:val="007D135D"/>
    <w:rsid w:val="007D18F1"/>
    <w:rsid w:val="007D730F"/>
    <w:rsid w:val="007D7CD8"/>
    <w:rsid w:val="007E3AA7"/>
    <w:rsid w:val="007F737D"/>
    <w:rsid w:val="0080308E"/>
    <w:rsid w:val="00805303"/>
    <w:rsid w:val="00806705"/>
    <w:rsid w:val="00806738"/>
    <w:rsid w:val="008216D5"/>
    <w:rsid w:val="008249CE"/>
    <w:rsid w:val="00831A50"/>
    <w:rsid w:val="00831B3C"/>
    <w:rsid w:val="00831C89"/>
    <w:rsid w:val="00832114"/>
    <w:rsid w:val="00834C46"/>
    <w:rsid w:val="0084093E"/>
    <w:rsid w:val="00841CE1"/>
    <w:rsid w:val="008473D8"/>
    <w:rsid w:val="008528DC"/>
    <w:rsid w:val="00852B8C"/>
    <w:rsid w:val="00854981"/>
    <w:rsid w:val="00864B2E"/>
    <w:rsid w:val="00865963"/>
    <w:rsid w:val="00871C1D"/>
    <w:rsid w:val="0087450E"/>
    <w:rsid w:val="00875A82"/>
    <w:rsid w:val="00876CA3"/>
    <w:rsid w:val="008772FE"/>
    <w:rsid w:val="008775F1"/>
    <w:rsid w:val="008821AE"/>
    <w:rsid w:val="008823AD"/>
    <w:rsid w:val="00883D3A"/>
    <w:rsid w:val="008854F7"/>
    <w:rsid w:val="00885A9D"/>
    <w:rsid w:val="00886FA3"/>
    <w:rsid w:val="008929D2"/>
    <w:rsid w:val="00893636"/>
    <w:rsid w:val="00893B94"/>
    <w:rsid w:val="00896E9D"/>
    <w:rsid w:val="00896F11"/>
    <w:rsid w:val="008A1049"/>
    <w:rsid w:val="008A1C98"/>
    <w:rsid w:val="008A322D"/>
    <w:rsid w:val="008A4D72"/>
    <w:rsid w:val="008A6285"/>
    <w:rsid w:val="008A63B2"/>
    <w:rsid w:val="008B345D"/>
    <w:rsid w:val="008C1FC2"/>
    <w:rsid w:val="008C2980"/>
    <w:rsid w:val="008C4DD6"/>
    <w:rsid w:val="008C5AFB"/>
    <w:rsid w:val="008D07FB"/>
    <w:rsid w:val="008D0C02"/>
    <w:rsid w:val="008D357D"/>
    <w:rsid w:val="008D435A"/>
    <w:rsid w:val="008E387B"/>
    <w:rsid w:val="008E6087"/>
    <w:rsid w:val="008E758D"/>
    <w:rsid w:val="008F10A7"/>
    <w:rsid w:val="008F755D"/>
    <w:rsid w:val="008F7A39"/>
    <w:rsid w:val="009021E8"/>
    <w:rsid w:val="00904677"/>
    <w:rsid w:val="00905EE2"/>
    <w:rsid w:val="00911440"/>
    <w:rsid w:val="00911712"/>
    <w:rsid w:val="00911B27"/>
    <w:rsid w:val="009170BE"/>
    <w:rsid w:val="00920B55"/>
    <w:rsid w:val="0092525E"/>
    <w:rsid w:val="009262C9"/>
    <w:rsid w:val="00930EB9"/>
    <w:rsid w:val="00933C95"/>
    <w:rsid w:val="00933DC7"/>
    <w:rsid w:val="009418F4"/>
    <w:rsid w:val="00942BBC"/>
    <w:rsid w:val="00944180"/>
    <w:rsid w:val="00944AA0"/>
    <w:rsid w:val="00947DA2"/>
    <w:rsid w:val="00951177"/>
    <w:rsid w:val="00957F50"/>
    <w:rsid w:val="009673E8"/>
    <w:rsid w:val="00974DB8"/>
    <w:rsid w:val="00980661"/>
    <w:rsid w:val="0098093B"/>
    <w:rsid w:val="009876D4"/>
    <w:rsid w:val="009914A5"/>
    <w:rsid w:val="0099548E"/>
    <w:rsid w:val="00996456"/>
    <w:rsid w:val="00996A12"/>
    <w:rsid w:val="00997B0F"/>
    <w:rsid w:val="009A1CAD"/>
    <w:rsid w:val="009A3440"/>
    <w:rsid w:val="009A5832"/>
    <w:rsid w:val="009A6838"/>
    <w:rsid w:val="009B24B5"/>
    <w:rsid w:val="009B3FA2"/>
    <w:rsid w:val="009B4EBC"/>
    <w:rsid w:val="009B5ABB"/>
    <w:rsid w:val="009B73CE"/>
    <w:rsid w:val="009C2461"/>
    <w:rsid w:val="009C6FE2"/>
    <w:rsid w:val="009C7674"/>
    <w:rsid w:val="009D004A"/>
    <w:rsid w:val="009D5880"/>
    <w:rsid w:val="009E1FD4"/>
    <w:rsid w:val="009E3B07"/>
    <w:rsid w:val="009E51D1"/>
    <w:rsid w:val="009E5531"/>
    <w:rsid w:val="009F171E"/>
    <w:rsid w:val="009F3D2F"/>
    <w:rsid w:val="009F7052"/>
    <w:rsid w:val="00A02668"/>
    <w:rsid w:val="00A02801"/>
    <w:rsid w:val="00A06A39"/>
    <w:rsid w:val="00A07F58"/>
    <w:rsid w:val="00A131CB"/>
    <w:rsid w:val="00A14847"/>
    <w:rsid w:val="00A16D6D"/>
    <w:rsid w:val="00A21383"/>
    <w:rsid w:val="00A2199F"/>
    <w:rsid w:val="00A21B31"/>
    <w:rsid w:val="00A2360E"/>
    <w:rsid w:val="00A26E0C"/>
    <w:rsid w:val="00A32FCB"/>
    <w:rsid w:val="00A34C25"/>
    <w:rsid w:val="00A3507D"/>
    <w:rsid w:val="00A3717A"/>
    <w:rsid w:val="00A4088C"/>
    <w:rsid w:val="00A4456B"/>
    <w:rsid w:val="00A448D4"/>
    <w:rsid w:val="00A452E0"/>
    <w:rsid w:val="00A51EA5"/>
    <w:rsid w:val="00A53742"/>
    <w:rsid w:val="00A557A1"/>
    <w:rsid w:val="00A63059"/>
    <w:rsid w:val="00A63AE3"/>
    <w:rsid w:val="00A651A4"/>
    <w:rsid w:val="00A71361"/>
    <w:rsid w:val="00A746E2"/>
    <w:rsid w:val="00A81FF2"/>
    <w:rsid w:val="00A83904"/>
    <w:rsid w:val="00A90A79"/>
    <w:rsid w:val="00A96B30"/>
    <w:rsid w:val="00AA59B5"/>
    <w:rsid w:val="00AA7777"/>
    <w:rsid w:val="00AA7B84"/>
    <w:rsid w:val="00AC0B4C"/>
    <w:rsid w:val="00AC1164"/>
    <w:rsid w:val="00AC2296"/>
    <w:rsid w:val="00AC2754"/>
    <w:rsid w:val="00AC48B0"/>
    <w:rsid w:val="00AC4ACD"/>
    <w:rsid w:val="00AC5DFB"/>
    <w:rsid w:val="00AD13DC"/>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24B9"/>
    <w:rsid w:val="00B077FA"/>
    <w:rsid w:val="00B127D7"/>
    <w:rsid w:val="00B13B0C"/>
    <w:rsid w:val="00B1453A"/>
    <w:rsid w:val="00B20F82"/>
    <w:rsid w:val="00B25BD5"/>
    <w:rsid w:val="00B34079"/>
    <w:rsid w:val="00B3793A"/>
    <w:rsid w:val="00B401BA"/>
    <w:rsid w:val="00B407E4"/>
    <w:rsid w:val="00B425B6"/>
    <w:rsid w:val="00B42A72"/>
    <w:rsid w:val="00B441AE"/>
    <w:rsid w:val="00B45A65"/>
    <w:rsid w:val="00B45F33"/>
    <w:rsid w:val="00B46D50"/>
    <w:rsid w:val="00B53170"/>
    <w:rsid w:val="00B548B9"/>
    <w:rsid w:val="00B56DBE"/>
    <w:rsid w:val="00B62999"/>
    <w:rsid w:val="00B63BE3"/>
    <w:rsid w:val="00B64885"/>
    <w:rsid w:val="00B66810"/>
    <w:rsid w:val="00B72BE3"/>
    <w:rsid w:val="00B73B80"/>
    <w:rsid w:val="00B770C7"/>
    <w:rsid w:val="00B80F26"/>
    <w:rsid w:val="00B822BD"/>
    <w:rsid w:val="00B842F4"/>
    <w:rsid w:val="00B91A7B"/>
    <w:rsid w:val="00B929DD"/>
    <w:rsid w:val="00B93AF6"/>
    <w:rsid w:val="00B95405"/>
    <w:rsid w:val="00B963F1"/>
    <w:rsid w:val="00BA020A"/>
    <w:rsid w:val="00BB02A4"/>
    <w:rsid w:val="00BB1270"/>
    <w:rsid w:val="00BB1E44"/>
    <w:rsid w:val="00BB5267"/>
    <w:rsid w:val="00BB52B8"/>
    <w:rsid w:val="00BB59D8"/>
    <w:rsid w:val="00BB7E69"/>
    <w:rsid w:val="00BC0E51"/>
    <w:rsid w:val="00BC3C1F"/>
    <w:rsid w:val="00BC7CE7"/>
    <w:rsid w:val="00BD295E"/>
    <w:rsid w:val="00BD4664"/>
    <w:rsid w:val="00BE1193"/>
    <w:rsid w:val="00BF4849"/>
    <w:rsid w:val="00BF4EA7"/>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393C"/>
    <w:rsid w:val="00C33993"/>
    <w:rsid w:val="00C4069E"/>
    <w:rsid w:val="00C41ADC"/>
    <w:rsid w:val="00C44149"/>
    <w:rsid w:val="00C44410"/>
    <w:rsid w:val="00C44A15"/>
    <w:rsid w:val="00C4630A"/>
    <w:rsid w:val="00C523F0"/>
    <w:rsid w:val="00C526D2"/>
    <w:rsid w:val="00C5350E"/>
    <w:rsid w:val="00C53A91"/>
    <w:rsid w:val="00C5794E"/>
    <w:rsid w:val="00C60968"/>
    <w:rsid w:val="00C63D39"/>
    <w:rsid w:val="00C63EDD"/>
    <w:rsid w:val="00C65B36"/>
    <w:rsid w:val="00C7292E"/>
    <w:rsid w:val="00C74E88"/>
    <w:rsid w:val="00C80924"/>
    <w:rsid w:val="00C8286B"/>
    <w:rsid w:val="00C947F8"/>
    <w:rsid w:val="00C9515F"/>
    <w:rsid w:val="00C963C5"/>
    <w:rsid w:val="00CA030C"/>
    <w:rsid w:val="00CA1F41"/>
    <w:rsid w:val="00CA32EE"/>
    <w:rsid w:val="00CA5771"/>
    <w:rsid w:val="00CA6A1A"/>
    <w:rsid w:val="00CC1E75"/>
    <w:rsid w:val="00CC2E0E"/>
    <w:rsid w:val="00CC361C"/>
    <w:rsid w:val="00CC474B"/>
    <w:rsid w:val="00CC658C"/>
    <w:rsid w:val="00CC67BF"/>
    <w:rsid w:val="00CD0843"/>
    <w:rsid w:val="00CD5A78"/>
    <w:rsid w:val="00CD7345"/>
    <w:rsid w:val="00CE372E"/>
    <w:rsid w:val="00CF0A1B"/>
    <w:rsid w:val="00CF19F6"/>
    <w:rsid w:val="00CF2F4F"/>
    <w:rsid w:val="00CF536D"/>
    <w:rsid w:val="00D02E9D"/>
    <w:rsid w:val="00D10CB8"/>
    <w:rsid w:val="00D12806"/>
    <w:rsid w:val="00D12D44"/>
    <w:rsid w:val="00D15018"/>
    <w:rsid w:val="00D158AC"/>
    <w:rsid w:val="00D1694C"/>
    <w:rsid w:val="00D20F5E"/>
    <w:rsid w:val="00D23B76"/>
    <w:rsid w:val="00D24B4A"/>
    <w:rsid w:val="00D379A3"/>
    <w:rsid w:val="00D45FF3"/>
    <w:rsid w:val="00D512CF"/>
    <w:rsid w:val="00D528B9"/>
    <w:rsid w:val="00D53186"/>
    <w:rsid w:val="00D5487D"/>
    <w:rsid w:val="00D60140"/>
    <w:rsid w:val="00D6024A"/>
    <w:rsid w:val="00D608B5"/>
    <w:rsid w:val="00D64739"/>
    <w:rsid w:val="00D71F99"/>
    <w:rsid w:val="00D73CA4"/>
    <w:rsid w:val="00D73D71"/>
    <w:rsid w:val="00D74396"/>
    <w:rsid w:val="00D80284"/>
    <w:rsid w:val="00D81F71"/>
    <w:rsid w:val="00D8642D"/>
    <w:rsid w:val="00D90A5E"/>
    <w:rsid w:val="00D91A68"/>
    <w:rsid w:val="00D95A68"/>
    <w:rsid w:val="00DA17C7"/>
    <w:rsid w:val="00DA6A9A"/>
    <w:rsid w:val="00DB1EFD"/>
    <w:rsid w:val="00DB3EAF"/>
    <w:rsid w:val="00DB46C6"/>
    <w:rsid w:val="00DC3203"/>
    <w:rsid w:val="00DC3C99"/>
    <w:rsid w:val="00DC52F5"/>
    <w:rsid w:val="00DC5FD0"/>
    <w:rsid w:val="00DD0354"/>
    <w:rsid w:val="00DD27D7"/>
    <w:rsid w:val="00DD458C"/>
    <w:rsid w:val="00DD72E9"/>
    <w:rsid w:val="00DD7605"/>
    <w:rsid w:val="00DE2020"/>
    <w:rsid w:val="00DE3476"/>
    <w:rsid w:val="00DE7BEA"/>
    <w:rsid w:val="00DF4496"/>
    <w:rsid w:val="00DF5B84"/>
    <w:rsid w:val="00DF6D5B"/>
    <w:rsid w:val="00DF771B"/>
    <w:rsid w:val="00DF7EE2"/>
    <w:rsid w:val="00E01BAA"/>
    <w:rsid w:val="00E0282A"/>
    <w:rsid w:val="00E02F9B"/>
    <w:rsid w:val="00E05958"/>
    <w:rsid w:val="00E07E14"/>
    <w:rsid w:val="00E14F94"/>
    <w:rsid w:val="00E17336"/>
    <w:rsid w:val="00E17515"/>
    <w:rsid w:val="00E17D15"/>
    <w:rsid w:val="00E22B95"/>
    <w:rsid w:val="00E30331"/>
    <w:rsid w:val="00E30BB8"/>
    <w:rsid w:val="00E31F9C"/>
    <w:rsid w:val="00E40488"/>
    <w:rsid w:val="00E50367"/>
    <w:rsid w:val="00E51ABA"/>
    <w:rsid w:val="00E524CB"/>
    <w:rsid w:val="00E65456"/>
    <w:rsid w:val="00E65A91"/>
    <w:rsid w:val="00E66188"/>
    <w:rsid w:val="00E664FB"/>
    <w:rsid w:val="00E672F0"/>
    <w:rsid w:val="00E70373"/>
    <w:rsid w:val="00E72E40"/>
    <w:rsid w:val="00E73665"/>
    <w:rsid w:val="00E73999"/>
    <w:rsid w:val="00E73BDC"/>
    <w:rsid w:val="00E73E9E"/>
    <w:rsid w:val="00E81660"/>
    <w:rsid w:val="00E854FE"/>
    <w:rsid w:val="00E906CC"/>
    <w:rsid w:val="00E939A0"/>
    <w:rsid w:val="00E97E4E"/>
    <w:rsid w:val="00EA1CC2"/>
    <w:rsid w:val="00EA2D76"/>
    <w:rsid w:val="00EA4644"/>
    <w:rsid w:val="00EA758A"/>
    <w:rsid w:val="00EB096F"/>
    <w:rsid w:val="00EB199F"/>
    <w:rsid w:val="00EB27C4"/>
    <w:rsid w:val="00EB5387"/>
    <w:rsid w:val="00EB5C10"/>
    <w:rsid w:val="00EB7322"/>
    <w:rsid w:val="00EC0FE9"/>
    <w:rsid w:val="00EC198B"/>
    <w:rsid w:val="00EC426D"/>
    <w:rsid w:val="00EC571B"/>
    <w:rsid w:val="00EC57D7"/>
    <w:rsid w:val="00EC6385"/>
    <w:rsid w:val="00ED1986"/>
    <w:rsid w:val="00ED1DE9"/>
    <w:rsid w:val="00ED23D4"/>
    <w:rsid w:val="00ED5E0B"/>
    <w:rsid w:val="00EE37B6"/>
    <w:rsid w:val="00EF0F45"/>
    <w:rsid w:val="00EF7463"/>
    <w:rsid w:val="00EF7971"/>
    <w:rsid w:val="00F002EF"/>
    <w:rsid w:val="00F01EE9"/>
    <w:rsid w:val="00F04900"/>
    <w:rsid w:val="00F065A4"/>
    <w:rsid w:val="00F126B9"/>
    <w:rsid w:val="00F12715"/>
    <w:rsid w:val="00F144D5"/>
    <w:rsid w:val="00F146F0"/>
    <w:rsid w:val="00F15039"/>
    <w:rsid w:val="00F20FF3"/>
    <w:rsid w:val="00F2190B"/>
    <w:rsid w:val="00F228B5"/>
    <w:rsid w:val="00F2389C"/>
    <w:rsid w:val="00F25C67"/>
    <w:rsid w:val="00F30DFF"/>
    <w:rsid w:val="00F32B80"/>
    <w:rsid w:val="00F340EB"/>
    <w:rsid w:val="00F35285"/>
    <w:rsid w:val="00F43B9D"/>
    <w:rsid w:val="00F44D5E"/>
    <w:rsid w:val="00F53A35"/>
    <w:rsid w:val="00F55A3D"/>
    <w:rsid w:val="00F5744B"/>
    <w:rsid w:val="00F61209"/>
    <w:rsid w:val="00F6259E"/>
    <w:rsid w:val="00F65DD4"/>
    <w:rsid w:val="00F672B2"/>
    <w:rsid w:val="00F83973"/>
    <w:rsid w:val="00F87FA3"/>
    <w:rsid w:val="00F918B5"/>
    <w:rsid w:val="00F93BA9"/>
    <w:rsid w:val="00F93D8C"/>
    <w:rsid w:val="00FA3102"/>
    <w:rsid w:val="00FA48D4"/>
    <w:rsid w:val="00FA54FA"/>
    <w:rsid w:val="00FA6D39"/>
    <w:rsid w:val="00FB227E"/>
    <w:rsid w:val="00FB3D61"/>
    <w:rsid w:val="00FB44CE"/>
    <w:rsid w:val="00FB5009"/>
    <w:rsid w:val="00FB76AB"/>
    <w:rsid w:val="00FD03FE"/>
    <w:rsid w:val="00FD126E"/>
    <w:rsid w:val="00FD3C36"/>
    <w:rsid w:val="00FD4D81"/>
    <w:rsid w:val="00FD7498"/>
    <w:rsid w:val="00FD7FB3"/>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670894-DF4D-4319-AE54-1AAB90049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6F"/>
    <w:pPr>
      <w:spacing w:line="480" w:lineRule="auto"/>
    </w:pPr>
    <w:rPr>
      <w:sz w:val="24"/>
      <w:szCs w:val="24"/>
      <w:lang w:val="en-GB" w:eastAsia="en-GB"/>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styleId="NormalWeb">
    <w:name w:val="Normal (Web)"/>
    <w:basedOn w:val="Normal"/>
    <w:uiPriority w:val="99"/>
    <w:unhideWhenUsed/>
    <w:rsid w:val="0031759E"/>
    <w:pPr>
      <w:spacing w:before="100" w:beforeAutospacing="1" w:after="100" w:afterAutospacing="1" w:line="240" w:lineRule="auto"/>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55646">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CE523-8C4F-47F7-B474-0D6BB59C6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1131</Words>
  <Characters>6450</Characters>
  <Application>Microsoft Office Word</Application>
  <DocSecurity>0</DocSecurity>
  <Lines>53</Lines>
  <Paragraphs>15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vt:lpstr>
      <vt:lpstr>-</vt:lpstr>
    </vt:vector>
  </TitlesOfParts>
  <Company/>
  <LinksUpToDate>false</LinksUpToDate>
  <CharactersWithSpaces>7566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gallocchiof</dc:creator>
  <cp:lastModifiedBy>Catherine McLaren</cp:lastModifiedBy>
  <cp:revision>3</cp:revision>
  <cp:lastPrinted>2011-07-22T14:54:00Z</cp:lastPrinted>
  <dcterms:created xsi:type="dcterms:W3CDTF">2016-05-11T09:10:00Z</dcterms:created>
  <dcterms:modified xsi:type="dcterms:W3CDTF">2016-05-11T09:15:00Z</dcterms:modified>
</cp:coreProperties>
</file>