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A" w:rsidRPr="00C924A7" w:rsidRDefault="00DD3ABA" w:rsidP="00DD3ABA">
      <w:pPr>
        <w:adjustRightInd w:val="0"/>
        <w:snapToGrid w:val="0"/>
        <w:spacing w:line="480" w:lineRule="auto"/>
        <w:jc w:val="center"/>
        <w:rPr>
          <w:b/>
        </w:rPr>
      </w:pPr>
      <w:r w:rsidRPr="00C924A7">
        <w:rPr>
          <w:rFonts w:hint="eastAsia"/>
          <w:b/>
        </w:rPr>
        <w:t>Supplemental Data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>APPENDIX: Underlying diseases and complications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>Underlying diseases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>Central nervous system: cerebral stroke, schizophrenia, bipolar disorder, dementia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</w:rPr>
      </w:pPr>
      <w:r w:rsidRPr="00C924A7">
        <w:rPr>
          <w:kern w:val="0"/>
          <w:lang w:val="en-GB"/>
        </w:rPr>
        <w:t>Cardiovascular system: congestive heart failure, cardiac valve disease, coronary artery disease, hypertension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>Respiratory diseases: bronchial asthma, chronic obstructive pulmonary disease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>Digestive system: cirrhosis, chronic hepatitis, peptic ulcer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>Urinary system: chronic renal failure or dysfunction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 xml:space="preserve">Metabolic diseases: diabetes, cancer, acquired immune deficiency syndrome (AIDS) 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b/>
          <w:shd w:val="clear" w:color="auto" w:fill="FFFFFF"/>
          <w:lang w:val="en-GB"/>
        </w:rPr>
      </w:pPr>
      <w:r w:rsidRPr="00C924A7">
        <w:rPr>
          <w:b/>
          <w:kern w:val="0"/>
          <w:lang w:val="en-GB"/>
        </w:rPr>
        <w:t>Complications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shd w:val="clear" w:color="auto" w:fill="FFFFFF"/>
          <w:lang w:val="en-GB"/>
        </w:rPr>
      </w:pPr>
      <w:r w:rsidRPr="00C924A7">
        <w:rPr>
          <w:shd w:val="clear" w:color="auto" w:fill="FFFFFF"/>
          <w:lang w:val="en-GB"/>
        </w:rPr>
        <w:t>Central nervous system: hypoxic encephalopathy, cerebral stroke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shd w:val="clear" w:color="auto" w:fill="FFFFFF"/>
          <w:lang w:val="en-GB"/>
        </w:rPr>
      </w:pPr>
      <w:r w:rsidRPr="00C924A7">
        <w:rPr>
          <w:shd w:val="clear" w:color="auto" w:fill="FFFFFF"/>
          <w:lang w:val="en-GB"/>
        </w:rPr>
        <w:t xml:space="preserve">Cardiovascular system: acute myocardial infarction, deep vein thrombosis, abdomen compartment syndrome 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>Respiratory system: respiratory failure, pulmonary oedema, respiratory distress syndrome, pneumonia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shd w:val="clear" w:color="auto" w:fill="FFFFFF"/>
          <w:lang w:val="en-GB"/>
        </w:rPr>
      </w:pPr>
      <w:r w:rsidRPr="00C924A7">
        <w:rPr>
          <w:kern w:val="0"/>
          <w:lang w:val="en-GB"/>
        </w:rPr>
        <w:t>Digestive system: UGI bleeding, acute pancreatitis, liver failure,</w:t>
      </w:r>
      <w:r w:rsidRPr="00C924A7">
        <w:rPr>
          <w:shd w:val="clear" w:color="auto" w:fill="FFFFFF"/>
          <w:lang w:val="en-GB"/>
        </w:rPr>
        <w:t xml:space="preserve"> anastomotic leakage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>Urinary system: acute renal failure, urinary tract infection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 xml:space="preserve">Musculoskeletal system: compartment syndrome, osteomyelitis, complications associated with amputation limb reconstructions, complications associated with surgical amputation </w:t>
      </w:r>
    </w:p>
    <w:p w:rsidR="00DD3ABA" w:rsidRPr="00C924A7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kern w:val="0"/>
          <w:lang w:val="en-GB"/>
        </w:rPr>
      </w:pPr>
      <w:r w:rsidRPr="00C924A7">
        <w:rPr>
          <w:kern w:val="0"/>
          <w:lang w:val="en-GB"/>
        </w:rPr>
        <w:t>Haematological system: disseminated intravascular coagulation, coagulopathy, thrombocytopenia</w:t>
      </w:r>
    </w:p>
    <w:p w:rsidR="00DD3ABA" w:rsidRPr="003235C8" w:rsidRDefault="00DD3ABA" w:rsidP="00DD3ABA">
      <w:pPr>
        <w:autoSpaceDE w:val="0"/>
        <w:autoSpaceDN w:val="0"/>
        <w:adjustRightInd w:val="0"/>
        <w:snapToGrid w:val="0"/>
        <w:spacing w:line="480" w:lineRule="auto"/>
        <w:rPr>
          <w:color w:val="FF0000"/>
          <w:lang w:val="en-GB"/>
        </w:rPr>
      </w:pPr>
      <w:r w:rsidRPr="00C924A7">
        <w:rPr>
          <w:kern w:val="0"/>
          <w:lang w:val="en-GB"/>
        </w:rPr>
        <w:t>Infections: sepsis, wound infections, post operation infections, bleeding, surgical wound dehiscence</w:t>
      </w:r>
    </w:p>
    <w:p w:rsidR="001B2298" w:rsidRDefault="001B2298">
      <w:bookmarkStart w:id="0" w:name="_GoBack"/>
      <w:bookmarkEnd w:id="0"/>
    </w:p>
    <w:sectPr w:rsidR="001B229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218085"/>
      <w:docPartObj>
        <w:docPartGallery w:val="Page Numbers (Bottom of Page)"/>
        <w:docPartUnique/>
      </w:docPartObj>
    </w:sdtPr>
    <w:sdtEndPr/>
    <w:sdtContent>
      <w:p w:rsidR="00FD7F2E" w:rsidRDefault="00DD3A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3ABA">
          <w:rPr>
            <w:noProof/>
            <w:lang w:val="zh-TW"/>
          </w:rPr>
          <w:t>2</w:t>
        </w:r>
        <w:r>
          <w:fldChar w:fldCharType="end"/>
        </w:r>
      </w:p>
    </w:sdtContent>
  </w:sdt>
  <w:p w:rsidR="00FD7F2E" w:rsidRDefault="00DD3AB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A"/>
    <w:rsid w:val="001B2298"/>
    <w:rsid w:val="00D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F42C2-19F5-40E1-B60A-BFE7C6B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BA"/>
    <w:pPr>
      <w:widowControl w:val="0"/>
      <w:spacing w:after="0" w:line="240" w:lineRule="auto"/>
    </w:pPr>
    <w:rPr>
      <w:rFonts w:ascii="Times New Roman" w:eastAsia="DFKai-SB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ABA"/>
    <w:rPr>
      <w:rFonts w:ascii="Times New Roman" w:eastAsia="DFKai-SB" w:hAnsi="Times New Roman" w:cs="Times New Roma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and Francis Group, LLC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Lauren</dc:creator>
  <cp:keywords/>
  <dc:description/>
  <cp:lastModifiedBy>Jackson, Lauren</cp:lastModifiedBy>
  <cp:revision>1</cp:revision>
  <dcterms:created xsi:type="dcterms:W3CDTF">2016-08-27T17:14:00Z</dcterms:created>
  <dcterms:modified xsi:type="dcterms:W3CDTF">2016-08-27T17:15:00Z</dcterms:modified>
</cp:coreProperties>
</file>