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8" w:rsidRPr="00FE3EA7" w:rsidRDefault="00D804B8" w:rsidP="00D804B8">
      <w:pPr>
        <w:spacing w:line="480" w:lineRule="auto"/>
        <w:jc w:val="both"/>
        <w:outlineLvl w:val="0"/>
      </w:pPr>
      <w:r w:rsidRPr="00FE3EA7">
        <w:rPr>
          <w:rFonts w:ascii="Times New Roman" w:hAnsi="Times New Roman"/>
          <w:b/>
          <w:color w:val="000000"/>
        </w:rPr>
        <w:t xml:space="preserve">Table S1. </w:t>
      </w:r>
      <w:r w:rsidRPr="00FE3EA7">
        <w:rPr>
          <w:rFonts w:ascii="Times New Roman" w:hAnsi="Times New Roman"/>
          <w:color w:val="000000"/>
        </w:rPr>
        <w:t>Pharmacokinetic param</w:t>
      </w:r>
      <w:r>
        <w:rPr>
          <w:rFonts w:ascii="Times New Roman" w:hAnsi="Times New Roman"/>
          <w:color w:val="000000"/>
        </w:rPr>
        <w:t xml:space="preserve">eters of IRs/α-ARs ligands and </w:t>
      </w:r>
      <w:r w:rsidRPr="00FE3EA7">
        <w:rPr>
          <w:rFonts w:ascii="Times New Roman" w:hAnsi="Times New Roman"/>
          <w:color w:val="000000"/>
        </w:rPr>
        <w:t>CNS drugs related to BBB penetration</w:t>
      </w:r>
    </w:p>
    <w:p w:rsidR="00D804B8" w:rsidRDefault="00D804B8">
      <w:bookmarkStart w:id="0" w:name="_GoBack"/>
      <w:bookmarkEnd w:id="0"/>
    </w:p>
    <w:p w:rsidR="00D804B8" w:rsidRDefault="00D804B8"/>
    <w:tbl>
      <w:tblPr>
        <w:tblW w:w="91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003"/>
        <w:gridCol w:w="1072"/>
        <w:gridCol w:w="1972"/>
        <w:gridCol w:w="566"/>
        <w:gridCol w:w="1832"/>
        <w:gridCol w:w="1725"/>
      </w:tblGrid>
      <w:tr w:rsidR="00A426D0">
        <w:trPr>
          <w:trHeight w:val="827"/>
        </w:trPr>
        <w:tc>
          <w:tcPr>
            <w:tcW w:w="19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Compounds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 xml:space="preserve">log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PS</w:t>
            </w:r>
            <w:r>
              <w:rPr>
                <w:rFonts w:ascii="Times New Roman" w:hAnsi="Times New Roman"/>
                <w:i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6D0" w:rsidRPr="00D804B8" w:rsidRDefault="00D804B8">
            <w:pPr>
              <w:jc w:val="center"/>
              <w:rPr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 xml:space="preserve">log (PS x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val="de-DE"/>
              </w:rPr>
              <w:t>f</w:t>
            </w:r>
            <w:r>
              <w:rPr>
                <w:rFonts w:ascii="Times New Roman" w:hAnsi="Times New Roman"/>
                <w:b/>
                <w:color w:val="000000"/>
                <w:vertAlign w:val="subscript"/>
                <w:lang w:val="de-DE"/>
              </w:rPr>
              <w:t>u,brain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de-DE"/>
              </w:rPr>
              <w:t>)</w:t>
            </w:r>
            <w:r>
              <w:rPr>
                <w:rFonts w:ascii="Times New Roman" w:hAnsi="Times New Roman"/>
                <w:i/>
                <w:color w:val="000000"/>
                <w:vertAlign w:val="superscript"/>
                <w:lang w:val="de-DE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F</w:t>
            </w:r>
            <w:r>
              <w:rPr>
                <w:rFonts w:ascii="Times New Roman" w:hAnsi="Times New Roman"/>
                <w:b/>
                <w:color w:val="000000"/>
                <w:vertAlign w:val="subscript"/>
              </w:rPr>
              <w:t>u</w:t>
            </w:r>
            <w:r>
              <w:rPr>
                <w:rFonts w:ascii="Times New Roman" w:hAnsi="Times New Roman"/>
                <w:i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P-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substrate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specificity</w:t>
            </w:r>
            <w:r>
              <w:rPr>
                <w:rFonts w:ascii="Times New Roman" w:hAnsi="Times New Roman"/>
                <w:i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7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S+P-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gp</w:t>
            </w:r>
            <w:proofErr w:type="spellEnd"/>
          </w:p>
          <w:p w:rsidR="00A426D0" w:rsidRDefault="00D804B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ADMET</w:t>
            </w:r>
            <w:r>
              <w:rPr>
                <w:rFonts w:ascii="Times New Roman" w:hAnsi="Times New Roman"/>
                <w:i/>
                <w:color w:val="000000"/>
                <w:vertAlign w:val="superscript"/>
              </w:rPr>
              <w:t>e</w:t>
            </w:r>
            <w:proofErr w:type="spellEnd"/>
          </w:p>
          <w:p w:rsidR="00A426D0" w:rsidRDefault="00A426D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A426D0">
        <w:tc>
          <w:tcPr>
            <w:tcW w:w="198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Amiloride</w:t>
            </w:r>
            <w:proofErr w:type="spellEnd"/>
          </w:p>
        </w:tc>
        <w:tc>
          <w:tcPr>
            <w:tcW w:w="107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19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56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8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Brimonidine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Probably 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Bromazepam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Carbamazepine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Citalopram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Clonazepam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Clonidine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Clozapine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Efaroxan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Fluoxetine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Guanabenz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Guanfacine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Harmane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Harmine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Idazoxan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Lamotrigine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Lorazepam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Mianserin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Moxonidine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Naphazoline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Olanzapine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Oxazepam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Prazepam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Rilmenidine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Risperidone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Tetrahydrozoline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Tizanidine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Probably 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Trimazoline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Viloxazine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D0">
        <w:tc>
          <w:tcPr>
            <w:tcW w:w="198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Xylometazoline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Non-substrate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A426D0">
        <w:tc>
          <w:tcPr>
            <w:tcW w:w="198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Ziprasidone</w:t>
            </w:r>
          </w:p>
        </w:tc>
        <w:tc>
          <w:tcPr>
            <w:tcW w:w="107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D804B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83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A426D0" w:rsidRDefault="00A426D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26D0" w:rsidRDefault="00D804B8">
      <w:pPr>
        <w:jc w:val="both"/>
      </w:pP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Rate of brain penetration</w:t>
      </w:r>
    </w:p>
    <w:p w:rsidR="00A426D0" w:rsidRDefault="00D804B8">
      <w:pPr>
        <w:jc w:val="both"/>
      </w:pP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 xml:space="preserve"> Brain/plasma equilibration rate</w:t>
      </w:r>
    </w:p>
    <w:p w:rsidR="00A426D0" w:rsidRDefault="00D804B8">
      <w:pPr>
        <w:jc w:val="both"/>
      </w:pP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 Fraction unbound in plasma </w:t>
      </w:r>
    </w:p>
    <w:sectPr w:rsidR="00A426D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D0"/>
    <w:rsid w:val="00A426D0"/>
    <w:rsid w:val="00D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2017-03-01T05:21:00Z</dcterms:created>
  <dcterms:modified xsi:type="dcterms:W3CDTF">2017-03-01T05:21:00Z</dcterms:modified>
  <dc:language>en-US</dc:language>
</cp:coreProperties>
</file>