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D9" w:rsidRDefault="000660D9" w:rsidP="000660D9">
      <w:pPr>
        <w:pStyle w:val="Title"/>
        <w:rPr>
          <w:rFonts w:ascii="Arial" w:hAnsi="Arial" w:cs="Arial"/>
          <w:b/>
          <w:sz w:val="40"/>
          <w:szCs w:val="40"/>
        </w:rPr>
      </w:pPr>
      <w:r w:rsidRPr="004819F9">
        <w:rPr>
          <w:rFonts w:ascii="Arial" w:hAnsi="Arial" w:cs="Arial"/>
          <w:b/>
          <w:sz w:val="40"/>
          <w:szCs w:val="40"/>
        </w:rPr>
        <w:t>Delivering the 2 degree global climate change target using a flexible ratchet framework</w:t>
      </w:r>
    </w:p>
    <w:p w:rsidR="00024DD0" w:rsidRDefault="00024DD0" w:rsidP="00024DD0"/>
    <w:p w:rsidR="009738C7" w:rsidRPr="00813913" w:rsidRDefault="004C4C8B" w:rsidP="000277CF">
      <w:pPr>
        <w:pStyle w:val="Title"/>
        <w:rPr>
          <w:rFonts w:ascii="Arial" w:hAnsi="Arial" w:cs="Arial"/>
          <w:b/>
          <w:sz w:val="32"/>
          <w:szCs w:val="32"/>
        </w:rPr>
      </w:pPr>
      <w:r w:rsidRPr="00813913">
        <w:rPr>
          <w:rFonts w:ascii="Arial" w:hAnsi="Arial" w:cs="Arial"/>
          <w:b/>
          <w:sz w:val="32"/>
          <w:szCs w:val="32"/>
        </w:rPr>
        <w:t>Supplementary Information</w:t>
      </w:r>
    </w:p>
    <w:p w:rsidR="000277CF" w:rsidRPr="00813913" w:rsidRDefault="000277CF" w:rsidP="00DE691D">
      <w:pPr>
        <w:ind w:left="-284"/>
        <w:rPr>
          <w:rFonts w:ascii="Arial" w:hAnsi="Arial" w:cs="Arial"/>
          <w:b/>
          <w:sz w:val="28"/>
          <w:szCs w:val="28"/>
        </w:rPr>
      </w:pPr>
    </w:p>
    <w:p w:rsidR="004C4C8B" w:rsidRPr="00AF5560" w:rsidRDefault="004C4C8B" w:rsidP="004C4C8B">
      <w:pPr>
        <w:pStyle w:val="ListParagraph"/>
        <w:numPr>
          <w:ilvl w:val="0"/>
          <w:numId w:val="1"/>
        </w:numPr>
        <w:rPr>
          <w:rFonts w:ascii="Arial" w:hAnsi="Arial" w:cs="Arial"/>
          <w:b/>
          <w:sz w:val="24"/>
          <w:szCs w:val="24"/>
          <w:u w:val="single"/>
        </w:rPr>
      </w:pPr>
      <w:r w:rsidRPr="00813913">
        <w:rPr>
          <w:rFonts w:ascii="Arial" w:hAnsi="Arial" w:cs="Arial"/>
          <w:b/>
          <w:sz w:val="24"/>
          <w:szCs w:val="24"/>
        </w:rPr>
        <w:t>IPCC RCP scenarios normalised to per capita equity</w:t>
      </w:r>
    </w:p>
    <w:p w:rsidR="00AF5560" w:rsidRPr="00813913" w:rsidRDefault="00AF5560" w:rsidP="00AF5560">
      <w:pPr>
        <w:pStyle w:val="ListParagraph"/>
        <w:rPr>
          <w:rFonts w:ascii="Arial" w:hAnsi="Arial" w:cs="Arial"/>
          <w:b/>
          <w:sz w:val="24"/>
          <w:szCs w:val="24"/>
          <w:u w:val="single"/>
        </w:rPr>
      </w:pPr>
    </w:p>
    <w:p w:rsidR="004C4C8B" w:rsidRPr="00813913" w:rsidRDefault="004C4C8B" w:rsidP="00DE691D">
      <w:pPr>
        <w:pStyle w:val="ListParagraph"/>
        <w:spacing w:after="0" w:line="480" w:lineRule="auto"/>
        <w:rPr>
          <w:rFonts w:ascii="Arial" w:hAnsi="Arial" w:cs="Arial"/>
        </w:rPr>
      </w:pPr>
      <w:r w:rsidRPr="00813913">
        <w:rPr>
          <w:rFonts w:ascii="Arial" w:hAnsi="Arial" w:cs="Arial"/>
        </w:rPr>
        <w:t>Each of the four IPCC 5</w:t>
      </w:r>
      <w:r w:rsidRPr="00813913">
        <w:rPr>
          <w:rFonts w:ascii="Arial" w:hAnsi="Arial" w:cs="Arial"/>
          <w:vertAlign w:val="superscript"/>
        </w:rPr>
        <w:t>th</w:t>
      </w:r>
      <w:r w:rsidRPr="00813913">
        <w:rPr>
          <w:rFonts w:ascii="Arial" w:hAnsi="Arial" w:cs="Arial"/>
        </w:rPr>
        <w:t xml:space="preserve"> Assessment Report (AR5) Relative Concentration Pathways (RCPs) have been normalised into per capita equity/average metrics by using IPCC total GHG annual emissions (GtCO</w:t>
      </w:r>
      <w:r w:rsidRPr="00813913">
        <w:rPr>
          <w:rFonts w:ascii="Arial" w:hAnsi="Arial" w:cs="Arial"/>
          <w:vertAlign w:val="subscript"/>
        </w:rPr>
        <w:t>2</w:t>
      </w:r>
      <w:r w:rsidRPr="00813913">
        <w:rPr>
          <w:rFonts w:ascii="Arial" w:hAnsi="Arial" w:cs="Arial"/>
        </w:rPr>
        <w:t>e), and UN World Prospects historic and projected population data (see Methods). The resultant per capita pathways are shown in Figure S1. As noted, the RCP4.5 scenario results in a stabilisation of per capita emissions at 6.0 tCO</w:t>
      </w:r>
      <w:r w:rsidRPr="00813913">
        <w:rPr>
          <w:rFonts w:ascii="Arial" w:hAnsi="Arial" w:cs="Arial"/>
          <w:vertAlign w:val="subscript"/>
        </w:rPr>
        <w:t>2</w:t>
      </w:r>
      <w:r w:rsidRPr="00813913">
        <w:rPr>
          <w:rFonts w:ascii="Arial" w:hAnsi="Arial" w:cs="Arial"/>
        </w:rPr>
        <w:t>ecapita</w:t>
      </w:r>
      <w:r w:rsidRPr="00813913">
        <w:rPr>
          <w:rFonts w:ascii="Arial" w:hAnsi="Arial" w:cs="Arial"/>
          <w:vertAlign w:val="superscript"/>
        </w:rPr>
        <w:t>-1</w:t>
      </w:r>
      <w:r w:rsidRPr="00813913">
        <w:rPr>
          <w:rFonts w:ascii="Arial" w:hAnsi="Arial" w:cs="Arial"/>
        </w:rPr>
        <w:t xml:space="preserve"> in approximately 2040 before a steep contraction profile to 2.2 tCO</w:t>
      </w:r>
      <w:r w:rsidRPr="00813913">
        <w:rPr>
          <w:rFonts w:ascii="Arial" w:hAnsi="Arial" w:cs="Arial"/>
          <w:vertAlign w:val="subscript"/>
        </w:rPr>
        <w:t>2</w:t>
      </w:r>
      <w:r w:rsidRPr="00813913">
        <w:rPr>
          <w:rFonts w:ascii="Arial" w:hAnsi="Arial" w:cs="Arial"/>
        </w:rPr>
        <w:t>ecapita</w:t>
      </w:r>
      <w:r w:rsidRPr="00813913">
        <w:rPr>
          <w:rFonts w:ascii="Arial" w:hAnsi="Arial" w:cs="Arial"/>
          <w:vertAlign w:val="superscript"/>
        </w:rPr>
        <w:t>-1</w:t>
      </w:r>
      <w:r w:rsidRPr="00813913">
        <w:rPr>
          <w:rFonts w:ascii="Arial" w:hAnsi="Arial" w:cs="Arial"/>
        </w:rPr>
        <w:t xml:space="preserve"> in 2080.</w:t>
      </w:r>
    </w:p>
    <w:p w:rsidR="004C4C8B" w:rsidRPr="00813913" w:rsidRDefault="004C4C8B" w:rsidP="00DE691D">
      <w:pPr>
        <w:pStyle w:val="ListParagraph"/>
        <w:spacing w:after="0" w:line="480" w:lineRule="auto"/>
        <w:rPr>
          <w:rFonts w:ascii="Arial" w:hAnsi="Arial" w:cs="Arial"/>
        </w:rPr>
      </w:pPr>
    </w:p>
    <w:p w:rsidR="004C4C8B" w:rsidRPr="00813913" w:rsidRDefault="004C4C8B" w:rsidP="00DE691D">
      <w:pPr>
        <w:pStyle w:val="ListParagraph"/>
        <w:spacing w:after="0" w:line="480" w:lineRule="auto"/>
        <w:rPr>
          <w:rFonts w:ascii="Arial" w:hAnsi="Arial" w:cs="Arial"/>
        </w:rPr>
      </w:pPr>
    </w:p>
    <w:p w:rsidR="004C4C8B" w:rsidRPr="00813913" w:rsidRDefault="004A7AC5" w:rsidP="00DE691D">
      <w:pPr>
        <w:pStyle w:val="ListParagraph"/>
        <w:numPr>
          <w:ilvl w:val="0"/>
          <w:numId w:val="1"/>
        </w:numPr>
        <w:spacing w:after="0" w:line="480" w:lineRule="auto"/>
        <w:rPr>
          <w:rFonts w:ascii="Arial" w:hAnsi="Arial" w:cs="Arial"/>
          <w:b/>
          <w:sz w:val="24"/>
          <w:szCs w:val="24"/>
        </w:rPr>
      </w:pPr>
      <w:r w:rsidRPr="00813913">
        <w:rPr>
          <w:rFonts w:ascii="Arial" w:hAnsi="Arial" w:cs="Arial"/>
          <w:b/>
          <w:sz w:val="24"/>
          <w:szCs w:val="24"/>
        </w:rPr>
        <w:t>Selection of RCP4.5: Comparison of INDCs and RCP temperature targets</w:t>
      </w:r>
    </w:p>
    <w:p w:rsidR="00B243BD" w:rsidRPr="00813913" w:rsidRDefault="004A7AC5" w:rsidP="00DE691D">
      <w:pPr>
        <w:pStyle w:val="ListParagraph"/>
        <w:spacing w:after="0" w:line="480" w:lineRule="auto"/>
        <w:rPr>
          <w:rFonts w:ascii="Arial" w:hAnsi="Arial" w:cs="Arial"/>
        </w:rPr>
      </w:pPr>
      <w:r w:rsidRPr="00813913">
        <w:rPr>
          <w:rFonts w:ascii="Arial" w:hAnsi="Arial" w:cs="Arial"/>
        </w:rPr>
        <w:t xml:space="preserve">Selected modelling of the RCP4.5 scenario was chosen as the example iteration of the framework </w:t>
      </w:r>
      <w:r w:rsidR="00667A3B" w:rsidRPr="00813913">
        <w:rPr>
          <w:rFonts w:ascii="Arial" w:hAnsi="Arial" w:cs="Arial"/>
        </w:rPr>
        <w:t xml:space="preserve">as a stepwise increase in ambition from </w:t>
      </w:r>
      <w:r w:rsidRPr="00813913">
        <w:rPr>
          <w:rFonts w:ascii="Arial" w:hAnsi="Arial" w:cs="Arial"/>
        </w:rPr>
        <w:t xml:space="preserve">submitted INDCs. </w:t>
      </w:r>
      <w:r w:rsidR="00B243BD" w:rsidRPr="00813913">
        <w:rPr>
          <w:rFonts w:ascii="Arial" w:hAnsi="Arial" w:cs="Arial"/>
        </w:rPr>
        <w:t>It’s estimated that current INDC submissions will fail to produce the level of commitment needed to limit average global temperature rise to 2°C. Best estimates project this action to limit warming to approximately 2.7°C, with a 66% likelihood of limiting below 3°C (</w:t>
      </w:r>
      <w:hyperlink r:id="rId8" w:history="1">
        <w:r w:rsidR="00B243BD" w:rsidRPr="00813913">
          <w:rPr>
            <w:rStyle w:val="Hyperlink"/>
            <w:rFonts w:ascii="Arial" w:hAnsi="Arial" w:cs="Arial"/>
          </w:rPr>
          <w:t>http://climateactiontracker.org/news/224/indcs-lower-projected-warming-to-2.7c-significant-progress-but-still-above-2c-.html</w:t>
        </w:r>
      </w:hyperlink>
      <w:r w:rsidR="00B243BD" w:rsidRPr="00813913">
        <w:rPr>
          <w:rFonts w:ascii="Arial" w:hAnsi="Arial" w:cs="Arial"/>
        </w:rPr>
        <w:t>).</w:t>
      </w:r>
    </w:p>
    <w:p w:rsidR="00B243BD" w:rsidRPr="00813913" w:rsidRDefault="00B243BD" w:rsidP="00DE691D">
      <w:pPr>
        <w:pStyle w:val="ListParagraph"/>
        <w:spacing w:after="0" w:line="480" w:lineRule="auto"/>
        <w:rPr>
          <w:rFonts w:ascii="Arial" w:hAnsi="Arial" w:cs="Arial"/>
        </w:rPr>
      </w:pPr>
    </w:p>
    <w:p w:rsidR="00B243BD" w:rsidRPr="00813913" w:rsidRDefault="006907CA" w:rsidP="00DE691D">
      <w:pPr>
        <w:pStyle w:val="ListParagraph"/>
        <w:spacing w:after="0" w:line="480" w:lineRule="auto"/>
        <w:rPr>
          <w:rFonts w:ascii="Arial" w:hAnsi="Arial" w:cs="Arial"/>
        </w:rPr>
      </w:pPr>
      <w:r w:rsidRPr="00813913">
        <w:rPr>
          <w:rFonts w:ascii="Arial" w:hAnsi="Arial" w:cs="Arial"/>
        </w:rPr>
        <w:t>Table S1</w:t>
      </w:r>
      <w:r w:rsidR="00B243BD" w:rsidRPr="00813913">
        <w:rPr>
          <w:rFonts w:ascii="Arial" w:hAnsi="Arial" w:cs="Arial"/>
        </w:rPr>
        <w:t xml:space="preserve"> details the expected average temperature increases for each of the IPCC AR5 RCP scenarios. Temperatures are provided as the level of increase above </w:t>
      </w:r>
      <w:r w:rsidR="002E13B1" w:rsidRPr="00813913">
        <w:rPr>
          <w:rFonts w:ascii="Arial" w:hAnsi="Arial" w:cs="Arial"/>
        </w:rPr>
        <w:t xml:space="preserve">the reference period 1986-2005. </w:t>
      </w:r>
      <w:r w:rsidR="00667A3B" w:rsidRPr="00813913">
        <w:rPr>
          <w:rFonts w:ascii="Arial" w:hAnsi="Arial" w:cs="Arial"/>
        </w:rPr>
        <w:t>As shown, RCP4.5 projects a mean surface temperature increase of 1.8°C by 2100. Assuming an average pre-industrial temperature increase of 0.6°C prior to the reference period</w:t>
      </w:r>
      <w:r w:rsidR="00AF5560">
        <w:rPr>
          <w:rFonts w:ascii="Arial" w:hAnsi="Arial" w:cs="Arial"/>
        </w:rPr>
        <w:t xml:space="preserve"> </w:t>
      </w:r>
      <w:r w:rsidR="00667A3B" w:rsidRPr="00813913">
        <w:rPr>
          <w:rFonts w:ascii="Arial" w:hAnsi="Arial" w:cs="Arial"/>
        </w:rPr>
        <w:fldChar w:fldCharType="begin" w:fldLock="1"/>
      </w:r>
      <w:r w:rsidR="00AF5560">
        <w:rPr>
          <w:rFonts w:ascii="Arial" w:hAnsi="Arial" w:cs="Arial"/>
        </w:rPr>
        <w:instrText>ADDIN CSL_CITATION { "citationItems" : [ { "id" : "ITEM-1", "itemData" : { "DOI" : "10.1017/CBO9781107415324", "ISBN" : "9781107661820", "ISSN" : "1476-4687", "PMID" : "17429376", "abstract" : "This Synthesis Report is based on the reports of the three Working Groups of the Intergovernmental Panel on Climate Change (IPCC), including relevant Special Reports. It provides an integrated view of climate change as the final part of the IPCC\u2019s Fifth Assessment Report (AR5). This summary follows the structure of the longer report which addresses the following topics: Observed changes and their causes; Future climate change, risks and impacts; Future pathways for adaptation, mitigation and sustainable development; Adaptation and mitigation. In the Synthesis Report, the certainty in key assessment findings is communicated as in the Working Group Reports and Special Reports. It is based on the author teams\u2019 evaluations of underlying scientific understanding and is expressed as a qualitative level of confidence (from very low to very high) and, when possible, probabilistically with a quantified likelihood (from exceptionally unlikely to virtually certain)1 . Where appropriate, findings are also formulated as statements of fact with- out using uncertainty qualifiers. This report includes information relevant to Article 2 of the United Nations Framework Convention on Climate Change (UNFCCC)", "author" : [ { "dropping-particle" : "", "family" : "IPCC", "given" : "", "non-dropping-particle" : "", "parse-names" : false, "suffix" : "" } ], "container-title" : "Ipcc", "id" : "ITEM-1", "issued" : { "date-parts" : [ [ "2014" ] ] }, "page" : "31", "title" : "Climate Change 2014 Synthesis Report Summary Chapter for Policymakers", "type" : "article-journal" }, "uris" : [ "http://www.mendeley.com/documents/?uuid=ab043ca6-0114-46bf-a998-ee7cc1a24fa6" ] } ], "mendeley" : { "formattedCitation" : "(IPCC 2014)", "manualFormatting" : "(IPCC, 2014)", "plainTextFormattedCitation" : "(IPCC 2014)", "previouslyFormattedCitation" : "(IPCC 2014)" }, "properties" : { "noteIndex" : 0 }, "schema" : "https://github.com/citation-style-language/schema/raw/master/csl-citation.json" }</w:instrText>
      </w:r>
      <w:r w:rsidR="00667A3B" w:rsidRPr="00813913">
        <w:rPr>
          <w:rFonts w:ascii="Arial" w:hAnsi="Arial" w:cs="Arial"/>
        </w:rPr>
        <w:fldChar w:fldCharType="separate"/>
      </w:r>
      <w:r w:rsidR="00AF5560" w:rsidRPr="00AF5560">
        <w:rPr>
          <w:rFonts w:ascii="Arial" w:hAnsi="Arial" w:cs="Arial"/>
          <w:noProof/>
        </w:rPr>
        <w:t>(IPCC</w:t>
      </w:r>
      <w:r w:rsidR="00AF5560">
        <w:rPr>
          <w:rFonts w:ascii="Arial" w:hAnsi="Arial" w:cs="Arial"/>
          <w:noProof/>
        </w:rPr>
        <w:t>,</w:t>
      </w:r>
      <w:r w:rsidR="00AF5560" w:rsidRPr="00AF5560">
        <w:rPr>
          <w:rFonts w:ascii="Arial" w:hAnsi="Arial" w:cs="Arial"/>
          <w:noProof/>
        </w:rPr>
        <w:t xml:space="preserve"> 2014)</w:t>
      </w:r>
      <w:r w:rsidR="00667A3B" w:rsidRPr="00813913">
        <w:rPr>
          <w:rFonts w:ascii="Arial" w:hAnsi="Arial" w:cs="Arial"/>
        </w:rPr>
        <w:fldChar w:fldCharType="end"/>
      </w:r>
      <w:r w:rsidR="00667A3B" w:rsidRPr="00813913">
        <w:rPr>
          <w:rFonts w:ascii="Arial" w:hAnsi="Arial" w:cs="Arial"/>
        </w:rPr>
        <w:t xml:space="preserve">, RCP4.5 will result in an average temperature increase of 2.4°C (likely range 1.7-3.2°C). </w:t>
      </w:r>
    </w:p>
    <w:p w:rsidR="00667A3B" w:rsidRPr="00813913" w:rsidRDefault="00667A3B" w:rsidP="00DE691D">
      <w:pPr>
        <w:pStyle w:val="ListParagraph"/>
        <w:spacing w:after="0" w:line="480" w:lineRule="auto"/>
        <w:rPr>
          <w:rFonts w:ascii="Arial" w:hAnsi="Arial" w:cs="Arial"/>
        </w:rPr>
      </w:pPr>
    </w:p>
    <w:p w:rsidR="00667A3B" w:rsidRDefault="00667A3B" w:rsidP="00DE691D">
      <w:pPr>
        <w:pStyle w:val="ListParagraph"/>
        <w:spacing w:after="0" w:line="480" w:lineRule="auto"/>
        <w:rPr>
          <w:rFonts w:ascii="Arial" w:hAnsi="Arial" w:cs="Arial"/>
        </w:rPr>
      </w:pPr>
      <w:r w:rsidRPr="00813913">
        <w:rPr>
          <w:rFonts w:ascii="Arial" w:hAnsi="Arial" w:cs="Arial"/>
        </w:rPr>
        <w:t>The RCP4.5 pathway was therefore selected as a bridging stepwise increase in ambition from current INDC proposals. However, it is acknowledged that such a pat</w:t>
      </w:r>
      <w:r w:rsidR="003D5D29" w:rsidRPr="00813913">
        <w:rPr>
          <w:rFonts w:ascii="Arial" w:hAnsi="Arial" w:cs="Arial"/>
        </w:rPr>
        <w:t>hway would be unlikely to limit mean temperature increases to 2°C.</w:t>
      </w:r>
    </w:p>
    <w:p w:rsidR="000660D9" w:rsidRPr="00813913" w:rsidRDefault="000660D9" w:rsidP="00DE691D">
      <w:pPr>
        <w:pStyle w:val="ListParagraph"/>
        <w:spacing w:after="0" w:line="480" w:lineRule="auto"/>
        <w:rPr>
          <w:rFonts w:ascii="Arial" w:hAnsi="Arial" w:cs="Arial"/>
        </w:rPr>
      </w:pPr>
    </w:p>
    <w:p w:rsidR="003D5D29" w:rsidRPr="00813913" w:rsidRDefault="003D5D29" w:rsidP="00DE691D">
      <w:pPr>
        <w:pStyle w:val="ListParagraph"/>
        <w:numPr>
          <w:ilvl w:val="0"/>
          <w:numId w:val="1"/>
        </w:numPr>
        <w:spacing w:after="0" w:line="480" w:lineRule="auto"/>
        <w:rPr>
          <w:rFonts w:ascii="Arial" w:hAnsi="Arial" w:cs="Arial"/>
          <w:b/>
          <w:sz w:val="24"/>
          <w:szCs w:val="24"/>
        </w:rPr>
      </w:pPr>
      <w:r w:rsidRPr="00813913">
        <w:rPr>
          <w:rFonts w:ascii="Arial" w:hAnsi="Arial" w:cs="Arial"/>
          <w:b/>
          <w:sz w:val="24"/>
          <w:szCs w:val="24"/>
        </w:rPr>
        <w:t>Comparison of framework targets to INDCs of key emitting parties</w:t>
      </w:r>
    </w:p>
    <w:p w:rsidR="00E455EE" w:rsidRPr="00813913" w:rsidRDefault="00634772" w:rsidP="00DE691D">
      <w:pPr>
        <w:pStyle w:val="ListParagraph"/>
        <w:spacing w:after="0" w:line="480" w:lineRule="auto"/>
        <w:rPr>
          <w:rFonts w:ascii="Arial" w:hAnsi="Arial" w:cs="Arial"/>
        </w:rPr>
      </w:pPr>
      <w:r w:rsidRPr="00813913">
        <w:rPr>
          <w:rFonts w:ascii="Arial" w:hAnsi="Arial" w:cs="Arial"/>
        </w:rPr>
        <w:t xml:space="preserve">Approximately 70% of global GHG emissions are produced by the top 10 emitting parties (WRI figures: </w:t>
      </w:r>
      <w:hyperlink r:id="rId9" w:history="1">
        <w:r w:rsidRPr="00813913">
          <w:rPr>
            <w:rStyle w:val="Hyperlink"/>
            <w:rFonts w:ascii="Arial" w:hAnsi="Arial" w:cs="Arial"/>
          </w:rPr>
          <w:t>http://www.wri.org/blog/2014/11/6-graphs-explain-world%E2%80%99s-top-10-emitters</w:t>
        </w:r>
      </w:hyperlink>
      <w:r w:rsidRPr="00813913">
        <w:rPr>
          <w:rFonts w:ascii="Arial" w:hAnsi="Arial" w:cs="Arial"/>
        </w:rPr>
        <w:t>), making the inclusion of the major emitters imperative for an effective agreement. To promote the support of major emitters, framework targets were developed and compared to the INDCs</w:t>
      </w:r>
      <w:r w:rsidR="00E455EE" w:rsidRPr="00813913">
        <w:rPr>
          <w:rFonts w:ascii="Arial" w:hAnsi="Arial" w:cs="Arial"/>
        </w:rPr>
        <w:t xml:space="preserve"> (</w:t>
      </w:r>
      <w:hyperlink r:id="rId10" w:history="1">
        <w:r w:rsidR="00E455EE" w:rsidRPr="00813913">
          <w:rPr>
            <w:rStyle w:val="Hyperlink"/>
            <w:rFonts w:ascii="Arial" w:hAnsi="Arial" w:cs="Arial"/>
          </w:rPr>
          <w:t>http://www4.unfccc.int/submissions/INDC/Submission%20Pages/submissions.aspx</w:t>
        </w:r>
      </w:hyperlink>
      <w:r w:rsidR="00E455EE" w:rsidRPr="00813913">
        <w:rPr>
          <w:rFonts w:ascii="Arial" w:hAnsi="Arial" w:cs="Arial"/>
        </w:rPr>
        <w:t>)</w:t>
      </w:r>
    </w:p>
    <w:p w:rsidR="002E13B1" w:rsidRPr="00813913" w:rsidRDefault="00634772" w:rsidP="00DE691D">
      <w:pPr>
        <w:pStyle w:val="ListParagraph"/>
        <w:spacing w:after="0" w:line="480" w:lineRule="auto"/>
        <w:rPr>
          <w:rFonts w:ascii="Arial" w:hAnsi="Arial" w:cs="Arial"/>
        </w:rPr>
      </w:pPr>
      <w:r w:rsidRPr="00813913">
        <w:rPr>
          <w:rFonts w:ascii="Arial" w:hAnsi="Arial" w:cs="Arial"/>
        </w:rPr>
        <w:t xml:space="preserve">- </w:t>
      </w:r>
      <w:proofErr w:type="gramStart"/>
      <w:r w:rsidRPr="00813913">
        <w:rPr>
          <w:rFonts w:ascii="Arial" w:hAnsi="Arial" w:cs="Arial"/>
        </w:rPr>
        <w:t>most</w:t>
      </w:r>
      <w:proofErr w:type="gramEnd"/>
      <w:r w:rsidRPr="00813913">
        <w:rPr>
          <w:rFonts w:ascii="Arial" w:hAnsi="Arial" w:cs="Arial"/>
        </w:rPr>
        <w:t xml:space="preserve"> notably the USA due to its omission from Kyoto- and cross-compared for the EU28, China and India. </w:t>
      </w:r>
    </w:p>
    <w:p w:rsidR="00222AFE" w:rsidRPr="00813913" w:rsidRDefault="00222AFE" w:rsidP="00DE691D">
      <w:pPr>
        <w:pStyle w:val="ListParagraph"/>
        <w:spacing w:after="0" w:line="480" w:lineRule="auto"/>
        <w:rPr>
          <w:rFonts w:ascii="Arial" w:hAnsi="Arial" w:cs="Arial"/>
        </w:rPr>
      </w:pPr>
    </w:p>
    <w:p w:rsidR="00222AFE" w:rsidRPr="00024DD0" w:rsidRDefault="00222AFE" w:rsidP="00024DD0">
      <w:pPr>
        <w:pStyle w:val="ListParagraph"/>
        <w:spacing w:after="0" w:line="480" w:lineRule="auto"/>
        <w:rPr>
          <w:rStyle w:val="Strong"/>
          <w:rFonts w:ascii="Arial" w:hAnsi="Arial" w:cs="Arial"/>
          <w:b w:val="0"/>
        </w:rPr>
      </w:pPr>
      <w:r w:rsidRPr="00813913">
        <w:rPr>
          <w:rFonts w:ascii="Arial" w:hAnsi="Arial" w:cs="Arial"/>
        </w:rPr>
        <w:t>Table S</w:t>
      </w:r>
      <w:r w:rsidR="006907CA" w:rsidRPr="00813913">
        <w:rPr>
          <w:rFonts w:ascii="Arial" w:hAnsi="Arial" w:cs="Arial"/>
        </w:rPr>
        <w:t>2</w:t>
      </w:r>
      <w:r w:rsidRPr="00813913">
        <w:rPr>
          <w:rFonts w:ascii="Arial" w:hAnsi="Arial" w:cs="Arial"/>
        </w:rPr>
        <w:t xml:space="preserve"> details the comparison of framework targets for the USA with its submitted INDCs. </w:t>
      </w:r>
      <w:r w:rsidRPr="00813913">
        <w:rPr>
          <w:rStyle w:val="Strong"/>
          <w:rFonts w:ascii="Arial" w:hAnsi="Arial" w:cs="Arial"/>
          <w:b w:val="0"/>
        </w:rPr>
        <w:t>Despite the lack of a defined 2040 INDC target, this analysis has assumed an approximate reduction goal of 60% (from its 2005 baseline) based on extrapolation of its stated interim target of 28% by 2025 and long-term economy-wide reduction of 80%. As shown, once normalised on a per capita basis using UN population projections, the USA’s pledged reductions result in a 7.7 tCO</w:t>
      </w:r>
      <w:r w:rsidRPr="00813913">
        <w:rPr>
          <w:rStyle w:val="Strong"/>
          <w:rFonts w:ascii="Arial" w:hAnsi="Arial" w:cs="Arial"/>
          <w:b w:val="0"/>
          <w:vertAlign w:val="subscript"/>
        </w:rPr>
        <w:t>2</w:t>
      </w:r>
      <w:r w:rsidRPr="00813913">
        <w:rPr>
          <w:rStyle w:val="Strong"/>
          <w:rFonts w:ascii="Arial" w:hAnsi="Arial" w:cs="Arial"/>
          <w:b w:val="0"/>
        </w:rPr>
        <w:t>ecapita</w:t>
      </w:r>
      <w:r w:rsidRPr="00813913">
        <w:rPr>
          <w:rStyle w:val="Strong"/>
          <w:rFonts w:ascii="Arial" w:hAnsi="Arial" w:cs="Arial"/>
          <w:b w:val="0"/>
          <w:vertAlign w:val="superscript"/>
        </w:rPr>
        <w:t>-1</w:t>
      </w:r>
      <w:r w:rsidRPr="00813913">
        <w:rPr>
          <w:rStyle w:val="Strong"/>
          <w:rFonts w:ascii="Arial" w:hAnsi="Arial" w:cs="Arial"/>
          <w:b w:val="0"/>
        </w:rPr>
        <w:t xml:space="preserve"> level. This falls closely in line with its targets within the framework of </w:t>
      </w:r>
      <w:r w:rsidRPr="00024DD0">
        <w:rPr>
          <w:rStyle w:val="Strong"/>
          <w:rFonts w:ascii="Arial" w:hAnsi="Arial" w:cs="Arial"/>
          <w:b w:val="0"/>
        </w:rPr>
        <w:t>8.1 tCO</w:t>
      </w:r>
      <w:r w:rsidRPr="00024DD0">
        <w:rPr>
          <w:rStyle w:val="Strong"/>
          <w:rFonts w:ascii="Arial" w:hAnsi="Arial" w:cs="Arial"/>
          <w:b w:val="0"/>
          <w:vertAlign w:val="subscript"/>
        </w:rPr>
        <w:t>2</w:t>
      </w:r>
      <w:r w:rsidRPr="00024DD0">
        <w:rPr>
          <w:rStyle w:val="Strong"/>
          <w:rFonts w:ascii="Arial" w:hAnsi="Arial" w:cs="Arial"/>
          <w:b w:val="0"/>
        </w:rPr>
        <w:t>ecapita</w:t>
      </w:r>
      <w:r w:rsidRPr="00024DD0">
        <w:rPr>
          <w:rStyle w:val="Strong"/>
          <w:rFonts w:ascii="Arial" w:hAnsi="Arial" w:cs="Arial"/>
          <w:b w:val="0"/>
          <w:vertAlign w:val="superscript"/>
        </w:rPr>
        <w:t>-1</w:t>
      </w:r>
      <w:r w:rsidRPr="00024DD0">
        <w:rPr>
          <w:rStyle w:val="Strong"/>
          <w:rFonts w:ascii="Arial" w:hAnsi="Arial" w:cs="Arial"/>
          <w:b w:val="0"/>
        </w:rPr>
        <w:t>.</w:t>
      </w:r>
    </w:p>
    <w:p w:rsidR="00E455EE" w:rsidRPr="00813913" w:rsidRDefault="00E455EE" w:rsidP="00DE691D">
      <w:pPr>
        <w:pStyle w:val="ListParagraph"/>
        <w:spacing w:after="0" w:line="480" w:lineRule="auto"/>
        <w:rPr>
          <w:rStyle w:val="Strong"/>
          <w:rFonts w:ascii="Arial" w:hAnsi="Arial" w:cs="Arial"/>
          <w:b w:val="0"/>
        </w:rPr>
      </w:pPr>
    </w:p>
    <w:p w:rsidR="00F570ED" w:rsidRPr="00813913" w:rsidRDefault="00E455EE" w:rsidP="00DE691D">
      <w:pPr>
        <w:pStyle w:val="ListParagraph"/>
        <w:spacing w:after="0" w:line="480" w:lineRule="auto"/>
        <w:rPr>
          <w:rStyle w:val="Strong"/>
          <w:rFonts w:ascii="Arial" w:hAnsi="Arial" w:cs="Arial"/>
          <w:b w:val="0"/>
        </w:rPr>
      </w:pPr>
      <w:r w:rsidRPr="00813913">
        <w:rPr>
          <w:rFonts w:ascii="Arial" w:hAnsi="Arial" w:cs="Arial"/>
        </w:rPr>
        <w:t>Table S</w:t>
      </w:r>
      <w:r w:rsidR="006907CA" w:rsidRPr="00813913">
        <w:rPr>
          <w:rFonts w:ascii="Arial" w:hAnsi="Arial" w:cs="Arial"/>
        </w:rPr>
        <w:t>3</w:t>
      </w:r>
      <w:r w:rsidRPr="00813913">
        <w:rPr>
          <w:rFonts w:ascii="Arial" w:hAnsi="Arial" w:cs="Arial"/>
        </w:rPr>
        <w:t xml:space="preserve"> similarly details framework and INDC requirements for the EU28. An economy-wide absolute reduction of 60% from 1990 b</w:t>
      </w:r>
      <w:r w:rsidR="0066797C" w:rsidRPr="00813913">
        <w:rPr>
          <w:rFonts w:ascii="Arial" w:hAnsi="Arial" w:cs="Arial"/>
        </w:rPr>
        <w:t xml:space="preserve">aseline levels has been similarly assumed as an extrapolation of 40% by 2030 (and previously stated reductions of 80% by 2050). As detailed, the EU’s pledged reductions would result in a population-adjusted per capita level of 3.3 </w:t>
      </w:r>
      <w:r w:rsidR="0066797C" w:rsidRPr="00813913">
        <w:rPr>
          <w:rStyle w:val="Strong"/>
          <w:rFonts w:ascii="Arial" w:hAnsi="Arial" w:cs="Arial"/>
          <w:b w:val="0"/>
        </w:rPr>
        <w:t>tCO</w:t>
      </w:r>
      <w:r w:rsidR="0066797C" w:rsidRPr="00813913">
        <w:rPr>
          <w:rStyle w:val="Strong"/>
          <w:rFonts w:ascii="Arial" w:hAnsi="Arial" w:cs="Arial"/>
          <w:b w:val="0"/>
          <w:vertAlign w:val="subscript"/>
        </w:rPr>
        <w:t>2</w:t>
      </w:r>
      <w:r w:rsidR="0066797C" w:rsidRPr="00813913">
        <w:rPr>
          <w:rStyle w:val="Strong"/>
          <w:rFonts w:ascii="Arial" w:hAnsi="Arial" w:cs="Arial"/>
          <w:b w:val="0"/>
        </w:rPr>
        <w:t>ecapita</w:t>
      </w:r>
      <w:r w:rsidR="0066797C" w:rsidRPr="00813913">
        <w:rPr>
          <w:rStyle w:val="Strong"/>
          <w:rFonts w:ascii="Arial" w:hAnsi="Arial" w:cs="Arial"/>
          <w:b w:val="0"/>
          <w:vertAlign w:val="superscript"/>
        </w:rPr>
        <w:t>-1</w:t>
      </w:r>
      <w:r w:rsidR="0066797C" w:rsidRPr="00813913">
        <w:rPr>
          <w:rStyle w:val="Strong"/>
          <w:rFonts w:ascii="Arial" w:hAnsi="Arial" w:cs="Arial"/>
          <w:b w:val="0"/>
        </w:rPr>
        <w:t>. This is more ambitious than its framework requirement of 6.4 tCO</w:t>
      </w:r>
      <w:r w:rsidR="0066797C" w:rsidRPr="00813913">
        <w:rPr>
          <w:rStyle w:val="Strong"/>
          <w:rFonts w:ascii="Arial" w:hAnsi="Arial" w:cs="Arial"/>
          <w:b w:val="0"/>
          <w:vertAlign w:val="subscript"/>
        </w:rPr>
        <w:t>2</w:t>
      </w:r>
      <w:r w:rsidR="0066797C" w:rsidRPr="00813913">
        <w:rPr>
          <w:rStyle w:val="Strong"/>
          <w:rFonts w:ascii="Arial" w:hAnsi="Arial" w:cs="Arial"/>
          <w:b w:val="0"/>
        </w:rPr>
        <w:t>ecapita</w:t>
      </w:r>
      <w:r w:rsidR="0066797C" w:rsidRPr="00813913">
        <w:rPr>
          <w:rStyle w:val="Strong"/>
          <w:rFonts w:ascii="Arial" w:hAnsi="Arial" w:cs="Arial"/>
          <w:b w:val="0"/>
          <w:vertAlign w:val="superscript"/>
        </w:rPr>
        <w:t>-1</w:t>
      </w:r>
      <w:r w:rsidR="0066797C" w:rsidRPr="00813913">
        <w:rPr>
          <w:rStyle w:val="Strong"/>
          <w:rFonts w:ascii="Arial" w:hAnsi="Arial" w:cs="Arial"/>
          <w:b w:val="0"/>
        </w:rPr>
        <w:t xml:space="preserve">, making the EU-28 one of the key outliers in a current (not historical) equity-based framework. </w:t>
      </w:r>
      <w:r w:rsidR="0066797C" w:rsidRPr="00813913">
        <w:rPr>
          <w:rStyle w:val="Strong"/>
          <w:rFonts w:ascii="Arial" w:hAnsi="Arial" w:cs="Arial"/>
          <w:b w:val="0"/>
        </w:rPr>
        <w:lastRenderedPageBreak/>
        <w:t>We suggest, however, that based on its previous proactive stance within international climate agreement, the EU-28 would still be likely to aim beyond its framework requirements</w:t>
      </w:r>
      <w:r w:rsidR="00F570ED" w:rsidRPr="00813913">
        <w:rPr>
          <w:rStyle w:val="Strong"/>
          <w:rFonts w:ascii="Arial" w:hAnsi="Arial" w:cs="Arial"/>
          <w:b w:val="0"/>
        </w:rPr>
        <w:t xml:space="preserve">. </w:t>
      </w:r>
    </w:p>
    <w:p w:rsidR="00F570ED" w:rsidRPr="00813913" w:rsidRDefault="00F570ED" w:rsidP="00DE691D">
      <w:pPr>
        <w:pStyle w:val="ListParagraph"/>
        <w:spacing w:after="0" w:line="480" w:lineRule="auto"/>
        <w:rPr>
          <w:rStyle w:val="Strong"/>
          <w:rFonts w:ascii="Arial" w:hAnsi="Arial" w:cs="Arial"/>
          <w:b w:val="0"/>
        </w:rPr>
      </w:pPr>
    </w:p>
    <w:p w:rsidR="00690417" w:rsidRPr="00813913" w:rsidRDefault="00F570ED" w:rsidP="00DE691D">
      <w:pPr>
        <w:pStyle w:val="ListParagraph"/>
        <w:spacing w:after="0" w:line="480" w:lineRule="auto"/>
        <w:rPr>
          <w:rStyle w:val="Strong"/>
          <w:rFonts w:ascii="Arial" w:hAnsi="Arial" w:cs="Arial"/>
          <w:b w:val="0"/>
        </w:rPr>
      </w:pPr>
      <w:r w:rsidRPr="00813913">
        <w:rPr>
          <w:rStyle w:val="Strong"/>
          <w:rFonts w:ascii="Arial" w:hAnsi="Arial" w:cs="Arial"/>
          <w:b w:val="0"/>
        </w:rPr>
        <w:t>China’s 2040 framework target of 6.1 tCO</w:t>
      </w:r>
      <w:r w:rsidRPr="00813913">
        <w:rPr>
          <w:rStyle w:val="Strong"/>
          <w:rFonts w:ascii="Arial" w:hAnsi="Arial" w:cs="Arial"/>
          <w:b w:val="0"/>
          <w:vertAlign w:val="subscript"/>
        </w:rPr>
        <w:t>2</w:t>
      </w:r>
      <w:r w:rsidRPr="00813913">
        <w:rPr>
          <w:rStyle w:val="Strong"/>
          <w:rFonts w:ascii="Arial" w:hAnsi="Arial" w:cs="Arial"/>
          <w:b w:val="0"/>
        </w:rPr>
        <w:t>ecapita</w:t>
      </w:r>
      <w:r w:rsidRPr="00813913">
        <w:rPr>
          <w:rStyle w:val="Strong"/>
          <w:rFonts w:ascii="Arial" w:hAnsi="Arial" w:cs="Arial"/>
          <w:b w:val="0"/>
          <w:vertAlign w:val="superscript"/>
        </w:rPr>
        <w:t xml:space="preserve">-1 </w:t>
      </w:r>
      <w:r w:rsidRPr="00813913">
        <w:rPr>
          <w:rStyle w:val="Strong"/>
          <w:rFonts w:ascii="Arial" w:hAnsi="Arial" w:cs="Arial"/>
          <w:b w:val="0"/>
        </w:rPr>
        <w:t>does not entail a significant reduction from its 2010 baseline level of 6.9 tCO</w:t>
      </w:r>
      <w:r w:rsidRPr="00813913">
        <w:rPr>
          <w:rStyle w:val="Strong"/>
          <w:rFonts w:ascii="Arial" w:hAnsi="Arial" w:cs="Arial"/>
          <w:b w:val="0"/>
          <w:vertAlign w:val="subscript"/>
        </w:rPr>
        <w:t>2</w:t>
      </w:r>
      <w:r w:rsidRPr="00813913">
        <w:rPr>
          <w:rStyle w:val="Strong"/>
          <w:rFonts w:ascii="Arial" w:hAnsi="Arial" w:cs="Arial"/>
          <w:b w:val="0"/>
        </w:rPr>
        <w:t>ecapita</w:t>
      </w:r>
      <w:r w:rsidRPr="00813913">
        <w:rPr>
          <w:rStyle w:val="Strong"/>
          <w:rFonts w:ascii="Arial" w:hAnsi="Arial" w:cs="Arial"/>
          <w:b w:val="0"/>
          <w:vertAlign w:val="superscript"/>
        </w:rPr>
        <w:t xml:space="preserve">-1 </w:t>
      </w:r>
      <w:r w:rsidRPr="00813913">
        <w:rPr>
          <w:rStyle w:val="Strong"/>
          <w:rFonts w:ascii="Arial" w:hAnsi="Arial" w:cs="Arial"/>
          <w:b w:val="0"/>
        </w:rPr>
        <w:t>–this could be achieve through a largely symmetrical growth-peak-decline trajectory. In order to do so at a constant rate, we calculated it would need to achieve a 2%yr</w:t>
      </w:r>
      <w:r w:rsidRPr="00813913">
        <w:rPr>
          <w:rStyle w:val="Strong"/>
          <w:rFonts w:ascii="Arial" w:hAnsi="Arial" w:cs="Arial"/>
          <w:b w:val="0"/>
          <w:vertAlign w:val="superscript"/>
        </w:rPr>
        <w:t>-1</w:t>
      </w:r>
      <w:r w:rsidRPr="00813913">
        <w:rPr>
          <w:rStyle w:val="Strong"/>
          <w:rFonts w:ascii="Arial" w:hAnsi="Arial" w:cs="Arial"/>
          <w:b w:val="0"/>
        </w:rPr>
        <w:t xml:space="preserve"> Rate of Growth Return (ROGR). This would result in a 2025 peak year</w:t>
      </w:r>
      <w:r w:rsidR="00690417" w:rsidRPr="00813913">
        <w:rPr>
          <w:rStyle w:val="Strong"/>
          <w:rFonts w:ascii="Arial" w:hAnsi="Arial" w:cs="Arial"/>
          <w:b w:val="0"/>
        </w:rPr>
        <w:t>, not largely dissimilar to C</w:t>
      </w:r>
      <w:r w:rsidRPr="00813913">
        <w:rPr>
          <w:rStyle w:val="Strong"/>
          <w:rFonts w:ascii="Arial" w:hAnsi="Arial" w:cs="Arial"/>
          <w:b w:val="0"/>
        </w:rPr>
        <w:t xml:space="preserve">hina’s INDC </w:t>
      </w:r>
      <w:r w:rsidR="00690417" w:rsidRPr="00813913">
        <w:rPr>
          <w:rStyle w:val="Strong"/>
          <w:rFonts w:ascii="Arial" w:hAnsi="Arial" w:cs="Arial"/>
          <w:b w:val="0"/>
        </w:rPr>
        <w:t>pledge of a 2030 peak in absolute emissions (with best efforts to do so earlier). China could still achieve its framework target with a delayed 2030 peak with deeper ROGR reductions of greater than 2% post-2030 (especially considering carbon intensity reduction targets of 60-65% from 2005 levels).</w:t>
      </w:r>
    </w:p>
    <w:p w:rsidR="00690417" w:rsidRPr="00813913" w:rsidRDefault="00690417" w:rsidP="00DE691D">
      <w:pPr>
        <w:pStyle w:val="ListParagraph"/>
        <w:spacing w:after="0" w:line="480" w:lineRule="auto"/>
        <w:rPr>
          <w:rStyle w:val="Strong"/>
          <w:rFonts w:ascii="Arial" w:hAnsi="Arial" w:cs="Arial"/>
          <w:b w:val="0"/>
        </w:rPr>
      </w:pPr>
    </w:p>
    <w:p w:rsidR="008E322E" w:rsidRPr="00813913" w:rsidRDefault="00690417" w:rsidP="00DE691D">
      <w:pPr>
        <w:pStyle w:val="ListParagraph"/>
        <w:spacing w:after="0" w:line="480" w:lineRule="auto"/>
        <w:rPr>
          <w:rStyle w:val="Strong"/>
          <w:rFonts w:ascii="Arial" w:hAnsi="Arial" w:cs="Arial"/>
          <w:b w:val="0"/>
        </w:rPr>
      </w:pPr>
      <w:r w:rsidRPr="00813913">
        <w:rPr>
          <w:rStyle w:val="Strong"/>
          <w:rFonts w:ascii="Arial" w:hAnsi="Arial" w:cs="Arial"/>
          <w:b w:val="0"/>
        </w:rPr>
        <w:t xml:space="preserve">India’s INDC has been focused on carbon intensity reduction targets rather than absolute reductions, with a stated focus on development and economic growth. </w:t>
      </w:r>
      <w:r w:rsidR="00844DEB" w:rsidRPr="00813913">
        <w:rPr>
          <w:rStyle w:val="Strong"/>
          <w:rFonts w:ascii="Arial" w:hAnsi="Arial" w:cs="Arial"/>
          <w:b w:val="0"/>
        </w:rPr>
        <w:t>Its INDC states a target of 33-35% CO</w:t>
      </w:r>
      <w:r w:rsidR="00844DEB" w:rsidRPr="00813913">
        <w:rPr>
          <w:rStyle w:val="Strong"/>
          <w:rFonts w:ascii="Arial" w:hAnsi="Arial" w:cs="Arial"/>
          <w:b w:val="0"/>
          <w:vertAlign w:val="subscript"/>
        </w:rPr>
        <w:t>2</w:t>
      </w:r>
      <w:r w:rsidR="00844DEB" w:rsidRPr="00813913">
        <w:rPr>
          <w:rStyle w:val="Strong"/>
          <w:rFonts w:ascii="Arial" w:hAnsi="Arial" w:cs="Arial"/>
          <w:b w:val="0"/>
        </w:rPr>
        <w:t xml:space="preserve">e/GDP reduction by 2030 (from 2005 levels). The model has therefore applied a carbon intensity reduction </w:t>
      </w:r>
      <w:r w:rsidR="002A3FFB" w:rsidRPr="00813913">
        <w:rPr>
          <w:rStyle w:val="Strong"/>
          <w:rFonts w:ascii="Arial" w:hAnsi="Arial" w:cs="Arial"/>
          <w:b w:val="0"/>
        </w:rPr>
        <w:t>assumption</w:t>
      </w:r>
      <w:r w:rsidR="00844DEB" w:rsidRPr="00813913">
        <w:rPr>
          <w:rStyle w:val="Strong"/>
          <w:rFonts w:ascii="Arial" w:hAnsi="Arial" w:cs="Arial"/>
          <w:b w:val="0"/>
        </w:rPr>
        <w:t xml:space="preserve"> of 1.5%yr</w:t>
      </w:r>
      <w:r w:rsidR="00844DEB" w:rsidRPr="00813913">
        <w:rPr>
          <w:rStyle w:val="Strong"/>
          <w:rFonts w:ascii="Arial" w:hAnsi="Arial" w:cs="Arial"/>
          <w:b w:val="0"/>
          <w:vertAlign w:val="superscript"/>
        </w:rPr>
        <w:t>-1</w:t>
      </w:r>
      <w:r w:rsidR="00844DEB" w:rsidRPr="00813913">
        <w:rPr>
          <w:rStyle w:val="Strong"/>
          <w:rFonts w:ascii="Arial" w:hAnsi="Arial" w:cs="Arial"/>
          <w:b w:val="0"/>
        </w:rPr>
        <w:t xml:space="preserve">. </w:t>
      </w:r>
      <w:r w:rsidRPr="00813913">
        <w:rPr>
          <w:rStyle w:val="Strong"/>
          <w:rFonts w:ascii="Arial" w:hAnsi="Arial" w:cs="Arial"/>
          <w:b w:val="0"/>
        </w:rPr>
        <w:t>Within the framework, India has been given no other target than a 2040 peak stabilisation at 6.0 tCO</w:t>
      </w:r>
      <w:r w:rsidRPr="00813913">
        <w:rPr>
          <w:rStyle w:val="Strong"/>
          <w:rFonts w:ascii="Arial" w:hAnsi="Arial" w:cs="Arial"/>
          <w:b w:val="0"/>
          <w:vertAlign w:val="subscript"/>
        </w:rPr>
        <w:t>2</w:t>
      </w:r>
      <w:r w:rsidRPr="00813913">
        <w:rPr>
          <w:rStyle w:val="Strong"/>
          <w:rFonts w:ascii="Arial" w:hAnsi="Arial" w:cs="Arial"/>
          <w:b w:val="0"/>
        </w:rPr>
        <w:t>ecapita</w:t>
      </w:r>
      <w:r w:rsidRPr="00813913">
        <w:rPr>
          <w:rStyle w:val="Strong"/>
          <w:rFonts w:ascii="Arial" w:hAnsi="Arial" w:cs="Arial"/>
          <w:b w:val="0"/>
          <w:vertAlign w:val="superscript"/>
        </w:rPr>
        <w:t>-1</w:t>
      </w:r>
      <w:r w:rsidR="00844DEB" w:rsidRPr="00813913">
        <w:rPr>
          <w:rStyle w:val="Strong"/>
          <w:rFonts w:ascii="Arial" w:hAnsi="Arial" w:cs="Arial"/>
          <w:b w:val="0"/>
          <w:vertAlign w:val="superscript"/>
        </w:rPr>
        <w:t xml:space="preserve"> </w:t>
      </w:r>
      <w:r w:rsidR="00844DEB" w:rsidRPr="00813913">
        <w:rPr>
          <w:rStyle w:val="Strong"/>
          <w:rFonts w:ascii="Arial" w:hAnsi="Arial" w:cs="Arial"/>
          <w:b w:val="0"/>
        </w:rPr>
        <w:t>(equity)</w:t>
      </w:r>
      <w:r w:rsidRPr="00813913">
        <w:rPr>
          <w:rStyle w:val="Strong"/>
          <w:rFonts w:ascii="Arial" w:hAnsi="Arial" w:cs="Arial"/>
          <w:b w:val="0"/>
        </w:rPr>
        <w:t>.</w:t>
      </w:r>
      <w:r w:rsidR="00844DEB" w:rsidRPr="00813913">
        <w:rPr>
          <w:rStyle w:val="Strong"/>
          <w:rFonts w:ascii="Arial" w:hAnsi="Arial" w:cs="Arial"/>
          <w:b w:val="0"/>
        </w:rPr>
        <w:t xml:space="preserve"> As modelled within the framework, India could sustain a constant economic growth rate of 7%yr</w:t>
      </w:r>
      <w:r w:rsidR="00844DEB" w:rsidRPr="00813913">
        <w:rPr>
          <w:rStyle w:val="Strong"/>
          <w:rFonts w:ascii="Arial" w:hAnsi="Arial" w:cs="Arial"/>
          <w:b w:val="0"/>
          <w:vertAlign w:val="superscript"/>
        </w:rPr>
        <w:t>-1</w:t>
      </w:r>
      <w:r w:rsidR="00844DEB" w:rsidRPr="00813913">
        <w:rPr>
          <w:rStyle w:val="Strong"/>
          <w:rFonts w:ascii="Arial" w:hAnsi="Arial" w:cs="Arial"/>
          <w:b w:val="0"/>
        </w:rPr>
        <w:t>, and peak at close to 6.0 tCO</w:t>
      </w:r>
      <w:r w:rsidR="00844DEB" w:rsidRPr="00813913">
        <w:rPr>
          <w:rStyle w:val="Strong"/>
          <w:rFonts w:ascii="Arial" w:hAnsi="Arial" w:cs="Arial"/>
          <w:b w:val="0"/>
          <w:vertAlign w:val="subscript"/>
        </w:rPr>
        <w:t>2</w:t>
      </w:r>
      <w:r w:rsidR="00844DEB" w:rsidRPr="00813913">
        <w:rPr>
          <w:rStyle w:val="Strong"/>
          <w:rFonts w:ascii="Arial" w:hAnsi="Arial" w:cs="Arial"/>
          <w:b w:val="0"/>
        </w:rPr>
        <w:t>ecapita</w:t>
      </w:r>
      <w:r w:rsidR="00844DEB" w:rsidRPr="00813913">
        <w:rPr>
          <w:rStyle w:val="Strong"/>
          <w:rFonts w:ascii="Arial" w:hAnsi="Arial" w:cs="Arial"/>
          <w:b w:val="0"/>
          <w:vertAlign w:val="superscript"/>
        </w:rPr>
        <w:t xml:space="preserve">-1 </w:t>
      </w:r>
      <w:r w:rsidR="00844DEB" w:rsidRPr="00813913">
        <w:rPr>
          <w:rStyle w:val="Strong"/>
          <w:rFonts w:ascii="Arial" w:hAnsi="Arial" w:cs="Arial"/>
          <w:b w:val="0"/>
        </w:rPr>
        <w:t>(6.3 tCO</w:t>
      </w:r>
      <w:r w:rsidR="00844DEB" w:rsidRPr="00813913">
        <w:rPr>
          <w:rStyle w:val="Strong"/>
          <w:rFonts w:ascii="Arial" w:hAnsi="Arial" w:cs="Arial"/>
          <w:b w:val="0"/>
          <w:vertAlign w:val="subscript"/>
        </w:rPr>
        <w:t>2</w:t>
      </w:r>
      <w:r w:rsidR="00844DEB" w:rsidRPr="00813913">
        <w:rPr>
          <w:rStyle w:val="Strong"/>
          <w:rFonts w:ascii="Arial" w:hAnsi="Arial" w:cs="Arial"/>
          <w:b w:val="0"/>
        </w:rPr>
        <w:t>ecapita</w:t>
      </w:r>
      <w:r w:rsidR="00844DEB" w:rsidRPr="00813913">
        <w:rPr>
          <w:rStyle w:val="Strong"/>
          <w:rFonts w:ascii="Arial" w:hAnsi="Arial" w:cs="Arial"/>
          <w:b w:val="0"/>
          <w:vertAlign w:val="superscript"/>
        </w:rPr>
        <w:t>-1</w:t>
      </w:r>
      <w:r w:rsidR="00844DEB" w:rsidRPr="00813913">
        <w:rPr>
          <w:rStyle w:val="Strong"/>
          <w:rFonts w:ascii="Arial" w:hAnsi="Arial" w:cs="Arial"/>
          <w:b w:val="0"/>
        </w:rPr>
        <w:t xml:space="preserve">). </w:t>
      </w:r>
      <w:r w:rsidR="008E322E" w:rsidRPr="00813913">
        <w:rPr>
          <w:rStyle w:val="Strong"/>
          <w:rFonts w:ascii="Arial" w:hAnsi="Arial" w:cs="Arial"/>
          <w:b w:val="0"/>
        </w:rPr>
        <w:t>A</w:t>
      </w:r>
      <w:r w:rsidR="00844DEB" w:rsidRPr="00813913">
        <w:rPr>
          <w:rStyle w:val="Strong"/>
          <w:rFonts w:ascii="Arial" w:hAnsi="Arial" w:cs="Arial"/>
          <w:b w:val="0"/>
        </w:rPr>
        <w:t xml:space="preserve">nalysis on India’s growth trends highlights how </w:t>
      </w:r>
      <w:r w:rsidR="008E322E" w:rsidRPr="00813913">
        <w:rPr>
          <w:rStyle w:val="Strong"/>
          <w:rFonts w:ascii="Arial" w:hAnsi="Arial" w:cs="Arial"/>
          <w:b w:val="0"/>
        </w:rPr>
        <w:t>sensitive its projections are to its economic or carbon intensity rates: if a constant GDP growth rate of 7% is applied, its per capita emissions in 2040 are calculated to be 7.3 tCO</w:t>
      </w:r>
      <w:r w:rsidR="008E322E" w:rsidRPr="00813913">
        <w:rPr>
          <w:rStyle w:val="Strong"/>
          <w:rFonts w:ascii="Arial" w:hAnsi="Arial" w:cs="Arial"/>
          <w:b w:val="0"/>
          <w:vertAlign w:val="subscript"/>
        </w:rPr>
        <w:t>2</w:t>
      </w:r>
      <w:r w:rsidR="008E322E" w:rsidRPr="00813913">
        <w:rPr>
          <w:rStyle w:val="Strong"/>
          <w:rFonts w:ascii="Arial" w:hAnsi="Arial" w:cs="Arial"/>
          <w:b w:val="0"/>
        </w:rPr>
        <w:t>ecapita</w:t>
      </w:r>
      <w:r w:rsidR="008E322E" w:rsidRPr="00813913">
        <w:rPr>
          <w:rStyle w:val="Strong"/>
          <w:rFonts w:ascii="Arial" w:hAnsi="Arial" w:cs="Arial"/>
          <w:b w:val="0"/>
          <w:vertAlign w:val="superscript"/>
        </w:rPr>
        <w:t>-1</w:t>
      </w:r>
      <w:r w:rsidR="008E322E" w:rsidRPr="00813913">
        <w:rPr>
          <w:rStyle w:val="Strong"/>
          <w:rFonts w:ascii="Arial" w:hAnsi="Arial" w:cs="Arial"/>
          <w:b w:val="0"/>
        </w:rPr>
        <w:t>; at a 6% GDP growth rate, results would be below equity at 5.5 tCO</w:t>
      </w:r>
      <w:r w:rsidR="008E322E" w:rsidRPr="00813913">
        <w:rPr>
          <w:rStyle w:val="Strong"/>
          <w:rFonts w:ascii="Arial" w:hAnsi="Arial" w:cs="Arial"/>
          <w:b w:val="0"/>
          <w:vertAlign w:val="subscript"/>
        </w:rPr>
        <w:t>2</w:t>
      </w:r>
      <w:r w:rsidR="008E322E" w:rsidRPr="00813913">
        <w:rPr>
          <w:rStyle w:val="Strong"/>
          <w:rFonts w:ascii="Arial" w:hAnsi="Arial" w:cs="Arial"/>
          <w:b w:val="0"/>
        </w:rPr>
        <w:t>ecapita</w:t>
      </w:r>
      <w:r w:rsidR="008E322E" w:rsidRPr="00813913">
        <w:rPr>
          <w:rStyle w:val="Strong"/>
          <w:rFonts w:ascii="Arial" w:hAnsi="Arial" w:cs="Arial"/>
          <w:b w:val="0"/>
          <w:vertAlign w:val="superscript"/>
        </w:rPr>
        <w:t>-1</w:t>
      </w:r>
      <w:r w:rsidR="008E322E" w:rsidRPr="00813913">
        <w:rPr>
          <w:rStyle w:val="Strong"/>
          <w:rFonts w:ascii="Arial" w:hAnsi="Arial" w:cs="Arial"/>
          <w:b w:val="0"/>
        </w:rPr>
        <w:t xml:space="preserve">. India’s challenge would therefore be to balance growth and carbon intensity reduction rates to aim to peak below equity by the target year. </w:t>
      </w:r>
    </w:p>
    <w:p w:rsidR="00780746" w:rsidRDefault="008E322E" w:rsidP="00DE691D">
      <w:pPr>
        <w:pStyle w:val="ListParagraph"/>
        <w:spacing w:after="0" w:line="480" w:lineRule="auto"/>
        <w:rPr>
          <w:rStyle w:val="Strong"/>
          <w:rFonts w:ascii="Arial" w:hAnsi="Arial" w:cs="Arial"/>
          <w:b w:val="0"/>
        </w:rPr>
      </w:pPr>
      <w:r w:rsidRPr="00813913">
        <w:rPr>
          <w:rStyle w:val="Strong"/>
          <w:rFonts w:ascii="Arial" w:hAnsi="Arial" w:cs="Arial"/>
          <w:b w:val="0"/>
        </w:rPr>
        <w:t xml:space="preserve"> </w:t>
      </w:r>
    </w:p>
    <w:p w:rsidR="00780746" w:rsidRDefault="00780746" w:rsidP="00780746">
      <w:pPr>
        <w:rPr>
          <w:rStyle w:val="Strong"/>
          <w:rFonts w:ascii="Arial" w:hAnsi="Arial" w:cs="Arial"/>
          <w:b w:val="0"/>
        </w:rPr>
      </w:pPr>
      <w:r>
        <w:rPr>
          <w:rStyle w:val="Strong"/>
          <w:rFonts w:ascii="Arial" w:hAnsi="Arial" w:cs="Arial"/>
          <w:b w:val="0"/>
        </w:rPr>
        <w:br w:type="page"/>
      </w:r>
    </w:p>
    <w:p w:rsidR="00E455EE" w:rsidRPr="00813913" w:rsidRDefault="008E322E" w:rsidP="00DE691D">
      <w:pPr>
        <w:pStyle w:val="ListParagraph"/>
        <w:numPr>
          <w:ilvl w:val="0"/>
          <w:numId w:val="1"/>
        </w:numPr>
        <w:spacing w:after="0" w:line="480" w:lineRule="auto"/>
        <w:rPr>
          <w:rFonts w:ascii="Arial" w:hAnsi="Arial" w:cs="Arial"/>
          <w:sz w:val="24"/>
          <w:szCs w:val="24"/>
        </w:rPr>
      </w:pPr>
      <w:r w:rsidRPr="00813913">
        <w:rPr>
          <w:rStyle w:val="Strong"/>
          <w:rFonts w:ascii="Arial" w:hAnsi="Arial" w:cs="Arial"/>
          <w:sz w:val="24"/>
          <w:szCs w:val="24"/>
        </w:rPr>
        <w:lastRenderedPageBreak/>
        <w:t>Assumptions on Pool 2 Growth Rates</w:t>
      </w:r>
    </w:p>
    <w:p w:rsidR="002E13B1" w:rsidRPr="00813913" w:rsidRDefault="008E322E" w:rsidP="00DE691D">
      <w:pPr>
        <w:pStyle w:val="ListParagraph"/>
        <w:spacing w:after="0" w:line="480" w:lineRule="auto"/>
        <w:rPr>
          <w:rFonts w:ascii="Arial" w:hAnsi="Arial" w:cs="Arial"/>
        </w:rPr>
      </w:pPr>
      <w:r w:rsidRPr="00813913">
        <w:rPr>
          <w:rFonts w:ascii="Arial" w:hAnsi="Arial" w:cs="Arial"/>
        </w:rPr>
        <w:t xml:space="preserve">Despite being free to do so, it’s expected that not all Pool 2 nations will reach per capita equity emission levels by 2040 based on realistic growth trends. To account for this </w:t>
      </w:r>
      <w:r w:rsidR="000105B7" w:rsidRPr="00813913">
        <w:rPr>
          <w:rFonts w:ascii="Arial" w:hAnsi="Arial" w:cs="Arial"/>
        </w:rPr>
        <w:t>within the overall global carbon budget, the model estimated 2040 national emissions for Pool 2 nations based on regional economic growth and carbon intensity assumptions. Table S</w:t>
      </w:r>
      <w:r w:rsidR="006907CA" w:rsidRPr="00813913">
        <w:rPr>
          <w:rFonts w:ascii="Arial" w:hAnsi="Arial" w:cs="Arial"/>
        </w:rPr>
        <w:t>4</w:t>
      </w:r>
      <w:r w:rsidR="000105B7" w:rsidRPr="00813913">
        <w:rPr>
          <w:rFonts w:ascii="Arial" w:hAnsi="Arial" w:cs="Arial"/>
        </w:rPr>
        <w:t xml:space="preserve"> details the regional assumptions which have been applied</w:t>
      </w:r>
      <w:r w:rsidR="00DF7F7B" w:rsidRPr="00813913">
        <w:rPr>
          <w:rFonts w:ascii="Arial" w:hAnsi="Arial" w:cs="Arial"/>
        </w:rPr>
        <w:t xml:space="preserve"> [India has been allocated an individual grouping based on the sensitivity of its projections on the overall global budget]</w:t>
      </w:r>
      <w:r w:rsidR="000105B7" w:rsidRPr="00813913">
        <w:rPr>
          <w:rFonts w:ascii="Arial" w:hAnsi="Arial" w:cs="Arial"/>
        </w:rPr>
        <w:t xml:space="preserve">. </w:t>
      </w:r>
    </w:p>
    <w:p w:rsidR="000105B7" w:rsidRPr="00813913" w:rsidRDefault="000105B7" w:rsidP="00DE691D">
      <w:pPr>
        <w:pStyle w:val="ListParagraph"/>
        <w:spacing w:after="0" w:line="480" w:lineRule="auto"/>
        <w:rPr>
          <w:rFonts w:ascii="Arial" w:hAnsi="Arial" w:cs="Arial"/>
        </w:rPr>
      </w:pPr>
    </w:p>
    <w:p w:rsidR="000105B7" w:rsidRPr="00813913" w:rsidRDefault="000105B7" w:rsidP="00DE691D">
      <w:pPr>
        <w:pStyle w:val="ListParagraph"/>
        <w:spacing w:after="0" w:line="480" w:lineRule="auto"/>
        <w:rPr>
          <w:rFonts w:ascii="Arial" w:hAnsi="Arial" w:cs="Arial"/>
          <w:noProof/>
        </w:rPr>
      </w:pPr>
      <w:r w:rsidRPr="00813913">
        <w:rPr>
          <w:rFonts w:ascii="Arial" w:hAnsi="Arial" w:cs="Arial"/>
        </w:rPr>
        <w:t>Economic growth rates were selected based on regional average current and projected growth rates from the World Bank Global Economic Prospects Database (</w:t>
      </w:r>
      <w:hyperlink r:id="rId11" w:anchor="s_e" w:history="1">
        <w:r w:rsidRPr="00813913">
          <w:rPr>
            <w:rStyle w:val="Hyperlink"/>
            <w:rFonts w:ascii="Arial" w:hAnsi="Arial" w:cs="Arial"/>
            <w:noProof/>
          </w:rPr>
          <w:t>http://databank.worldbank.org/data/views/variableselection/selectvariables.aspx?source=world-development-indicators#s_e</w:t>
        </w:r>
      </w:hyperlink>
      <w:r w:rsidRPr="00813913">
        <w:rPr>
          <w:rFonts w:ascii="Arial" w:hAnsi="Arial" w:cs="Arial"/>
          <w:noProof/>
        </w:rPr>
        <w:t xml:space="preserve">). It is acknowledged that regional assumptions will have resulted in a loss in resolution of growth extrapolation and could be improved through better national-level growth estimations through to 2040. </w:t>
      </w:r>
    </w:p>
    <w:p w:rsidR="000105B7" w:rsidRPr="00813913" w:rsidRDefault="000105B7" w:rsidP="00DE691D">
      <w:pPr>
        <w:pStyle w:val="ListParagraph"/>
        <w:spacing w:after="0" w:line="480" w:lineRule="auto"/>
        <w:rPr>
          <w:rFonts w:ascii="Arial" w:hAnsi="Arial" w:cs="Arial"/>
          <w:noProof/>
        </w:rPr>
      </w:pPr>
    </w:p>
    <w:p w:rsidR="000105B7" w:rsidRPr="00813913" w:rsidRDefault="000105B7" w:rsidP="00DE691D">
      <w:pPr>
        <w:pStyle w:val="ListParagraph"/>
        <w:spacing w:after="0" w:line="480" w:lineRule="auto"/>
        <w:rPr>
          <w:rFonts w:ascii="Arial" w:hAnsi="Arial" w:cs="Arial"/>
        </w:rPr>
      </w:pPr>
      <w:r w:rsidRPr="00813913">
        <w:rPr>
          <w:rFonts w:ascii="Arial" w:hAnsi="Arial" w:cs="Arial"/>
          <w:noProof/>
        </w:rPr>
        <w:t>Carbon intensity reduction assumptions</w:t>
      </w:r>
      <w:r w:rsidR="00DF7F7B" w:rsidRPr="00813913">
        <w:rPr>
          <w:rFonts w:ascii="Arial" w:hAnsi="Arial" w:cs="Arial"/>
          <w:noProof/>
        </w:rPr>
        <w:t xml:space="preserve"> of averaging 1.5%yr</w:t>
      </w:r>
      <w:r w:rsidR="00DF7F7B" w:rsidRPr="00813913">
        <w:rPr>
          <w:rFonts w:ascii="Arial" w:hAnsi="Arial" w:cs="Arial"/>
          <w:noProof/>
          <w:vertAlign w:val="superscript"/>
        </w:rPr>
        <w:t>-1</w:t>
      </w:r>
      <w:r w:rsidRPr="00813913">
        <w:rPr>
          <w:rFonts w:ascii="Arial" w:hAnsi="Arial" w:cs="Arial"/>
          <w:noProof/>
        </w:rPr>
        <w:t xml:space="preserve"> have been applied based on </w:t>
      </w:r>
      <w:r w:rsidR="00DF7F7B" w:rsidRPr="00813913">
        <w:rPr>
          <w:rFonts w:ascii="Arial" w:hAnsi="Arial" w:cs="Arial"/>
          <w:noProof/>
        </w:rPr>
        <w:t xml:space="preserve">submitted intensity-based INDCs (such as India, Malaysia, Tunisia). </w:t>
      </w:r>
    </w:p>
    <w:p w:rsidR="008E322E" w:rsidRPr="00813913" w:rsidRDefault="008E322E" w:rsidP="00DE691D">
      <w:pPr>
        <w:pStyle w:val="ListParagraph"/>
        <w:spacing w:after="0" w:line="480" w:lineRule="auto"/>
        <w:rPr>
          <w:rFonts w:ascii="Arial" w:hAnsi="Arial" w:cs="Arial"/>
        </w:rPr>
      </w:pPr>
    </w:p>
    <w:p w:rsidR="008E322E" w:rsidRPr="00813913" w:rsidRDefault="008E322E" w:rsidP="00DE691D">
      <w:pPr>
        <w:pStyle w:val="ListParagraph"/>
        <w:spacing w:after="0" w:line="480" w:lineRule="auto"/>
        <w:rPr>
          <w:rFonts w:ascii="Arial" w:hAnsi="Arial" w:cs="Arial"/>
        </w:rPr>
      </w:pPr>
    </w:p>
    <w:p w:rsidR="008E322E" w:rsidRPr="00813913" w:rsidRDefault="00C266F8" w:rsidP="00DE691D">
      <w:pPr>
        <w:pStyle w:val="ListParagraph"/>
        <w:numPr>
          <w:ilvl w:val="0"/>
          <w:numId w:val="1"/>
        </w:numPr>
        <w:spacing w:after="0" w:line="480" w:lineRule="auto"/>
        <w:rPr>
          <w:rFonts w:ascii="Arial" w:hAnsi="Arial" w:cs="Arial"/>
          <w:b/>
          <w:sz w:val="24"/>
          <w:szCs w:val="24"/>
        </w:rPr>
      </w:pPr>
      <w:r w:rsidRPr="00813913">
        <w:rPr>
          <w:rFonts w:ascii="Arial" w:hAnsi="Arial" w:cs="Arial"/>
          <w:b/>
          <w:sz w:val="24"/>
          <w:szCs w:val="24"/>
        </w:rPr>
        <w:t>Baseline and Framework Target Datasets for all Nations</w:t>
      </w:r>
    </w:p>
    <w:p w:rsidR="00C266F8" w:rsidRPr="00813913" w:rsidRDefault="00C266F8" w:rsidP="00DE691D">
      <w:pPr>
        <w:pStyle w:val="ListParagraph"/>
        <w:spacing w:after="0" w:line="480" w:lineRule="auto"/>
        <w:rPr>
          <w:rFonts w:ascii="Arial" w:hAnsi="Arial" w:cs="Arial"/>
        </w:rPr>
      </w:pPr>
      <w:r w:rsidRPr="00813913">
        <w:rPr>
          <w:rFonts w:ascii="Arial" w:hAnsi="Arial" w:cs="Arial"/>
        </w:rPr>
        <w:t>Table S</w:t>
      </w:r>
      <w:r w:rsidR="006907CA" w:rsidRPr="00813913">
        <w:rPr>
          <w:rFonts w:ascii="Arial" w:hAnsi="Arial" w:cs="Arial"/>
        </w:rPr>
        <w:t>5</w:t>
      </w:r>
      <w:r w:rsidRPr="00813913">
        <w:rPr>
          <w:rFonts w:ascii="Arial" w:hAnsi="Arial" w:cs="Arial"/>
        </w:rPr>
        <w:t xml:space="preserve"> and S</w:t>
      </w:r>
      <w:r w:rsidR="006907CA" w:rsidRPr="00813913">
        <w:rPr>
          <w:rFonts w:ascii="Arial" w:hAnsi="Arial" w:cs="Arial"/>
        </w:rPr>
        <w:t>6</w:t>
      </w:r>
      <w:r w:rsidRPr="00813913">
        <w:rPr>
          <w:rFonts w:ascii="Arial" w:hAnsi="Arial" w:cs="Arial"/>
        </w:rPr>
        <w:t xml:space="preserve"> detail the </w:t>
      </w:r>
      <w:r w:rsidR="008100DB" w:rsidRPr="00813913">
        <w:rPr>
          <w:rFonts w:ascii="Arial" w:hAnsi="Arial" w:cs="Arial"/>
        </w:rPr>
        <w:t>emissions, population, and 2040 target metadata for Pool 1 and Pool 2 nations respectively.</w:t>
      </w:r>
    </w:p>
    <w:p w:rsidR="008100DB" w:rsidRPr="00813913" w:rsidRDefault="008100DB" w:rsidP="00C266F8">
      <w:pPr>
        <w:pStyle w:val="ListParagraph"/>
        <w:rPr>
          <w:rFonts w:ascii="Arial" w:hAnsi="Arial" w:cs="Arial"/>
        </w:rPr>
      </w:pPr>
    </w:p>
    <w:p w:rsidR="00DE691D" w:rsidRDefault="00DE691D">
      <w:pPr>
        <w:rPr>
          <w:rFonts w:ascii="Arial" w:hAnsi="Arial" w:cs="Arial"/>
          <w:b/>
          <w:sz w:val="28"/>
          <w:szCs w:val="28"/>
        </w:rPr>
      </w:pPr>
      <w:r>
        <w:rPr>
          <w:rFonts w:ascii="Arial" w:hAnsi="Arial" w:cs="Arial"/>
          <w:b/>
          <w:sz w:val="28"/>
          <w:szCs w:val="28"/>
        </w:rPr>
        <w:br w:type="page"/>
      </w:r>
    </w:p>
    <w:p w:rsidR="006907CA" w:rsidRPr="00813913" w:rsidRDefault="00AE7949" w:rsidP="006907CA">
      <w:pPr>
        <w:rPr>
          <w:rFonts w:ascii="Arial" w:hAnsi="Arial" w:cs="Arial"/>
          <w:b/>
          <w:sz w:val="28"/>
          <w:szCs w:val="28"/>
        </w:rPr>
      </w:pPr>
      <w:r w:rsidRPr="00813913">
        <w:rPr>
          <w:rFonts w:ascii="Arial" w:hAnsi="Arial" w:cs="Arial"/>
          <w:noProof/>
          <w:lang w:eastAsia="en-GB"/>
        </w:rPr>
        <w:lastRenderedPageBreak/>
        <mc:AlternateContent>
          <mc:Choice Requires="wps">
            <w:drawing>
              <wp:anchor distT="45720" distB="45720" distL="114300" distR="114300" simplePos="0" relativeHeight="251675648" behindDoc="0" locked="0" layoutInCell="1" allowOverlap="1" wp14:anchorId="1A389E24" wp14:editId="09179868">
                <wp:simplePos x="0" y="0"/>
                <wp:positionH relativeFrom="margin">
                  <wp:align>left</wp:align>
                </wp:positionH>
                <wp:positionV relativeFrom="paragraph">
                  <wp:posOffset>3424213</wp:posOffset>
                </wp:positionV>
                <wp:extent cx="5786120" cy="463550"/>
                <wp:effectExtent l="0" t="0" r="508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63550"/>
                        </a:xfrm>
                        <a:prstGeom prst="rect">
                          <a:avLst/>
                        </a:prstGeom>
                        <a:solidFill>
                          <a:srgbClr val="FFFFFF"/>
                        </a:solidFill>
                        <a:ln w="9525">
                          <a:noFill/>
                          <a:miter lim="800000"/>
                          <a:headEnd/>
                          <a:tailEnd/>
                        </a:ln>
                      </wps:spPr>
                      <wps:txbx>
                        <w:txbxContent>
                          <w:p w:rsidR="000277CF" w:rsidRPr="006907CA" w:rsidRDefault="000277CF" w:rsidP="000277CF">
                            <w:r>
                              <w:rPr>
                                <w:b/>
                              </w:rPr>
                              <w:t>Figure S1: IPCC AR5 Relative Concentration Pathways (RCP) scenarios normalised to average per capita emissions based on UN medium fertility projections from 2010-2100.</w:t>
                            </w:r>
                          </w:p>
                          <w:p w:rsidR="000277CF" w:rsidRPr="006907CA" w:rsidRDefault="000277CF" w:rsidP="00027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5867A" id="_x0000_t202" coordsize="21600,21600" o:spt="202" path="m,l,21600r21600,l21600,xe">
                <v:stroke joinstyle="miter"/>
                <v:path gradientshapeok="t" o:connecttype="rect"/>
              </v:shapetype>
              <v:shape id="Text Box 2" o:spid="_x0000_s1026" type="#_x0000_t202" style="position:absolute;margin-left:0;margin-top:269.6pt;width:455.6pt;height:3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" stroked="f">
                <v:textbox>
                  <w:txbxContent>
                    <w:p w:rsidR="000277CF" w:rsidRPr="006907CA" w:rsidRDefault="000277CF" w:rsidP="000277CF">
                      <w:r>
                        <w:rPr>
                          <w:b/>
                        </w:rPr>
                        <w:t>Figure S1: IPCC AR5 Relative Concentration Pathways (RCP) scenarios normalised to average per capita emissions based on UN medium fertility projections from 2010-2100.</w:t>
                      </w:r>
                    </w:p>
                    <w:p w:rsidR="000277CF" w:rsidRPr="006907CA" w:rsidRDefault="000277CF" w:rsidP="000277CF"/>
                  </w:txbxContent>
                </v:textbox>
                <w10:wrap type="square" anchorx="margin"/>
              </v:shape>
            </w:pict>
          </mc:Fallback>
        </mc:AlternateContent>
      </w:r>
      <w:r w:rsidR="00EE733C" w:rsidRPr="00813913">
        <w:rPr>
          <w:rFonts w:ascii="Arial" w:hAnsi="Arial" w:cs="Arial"/>
          <w:b/>
          <w:noProof/>
          <w:sz w:val="28"/>
          <w:szCs w:val="28"/>
          <w:lang w:eastAsia="en-GB"/>
        </w:rPr>
        <w:drawing>
          <wp:anchor distT="0" distB="0" distL="114300" distR="114300" simplePos="0" relativeHeight="251673600" behindDoc="0" locked="0" layoutInCell="1" allowOverlap="1" wp14:anchorId="693E92A3" wp14:editId="208C74A6">
            <wp:simplePos x="0" y="0"/>
            <wp:positionH relativeFrom="margin">
              <wp:posOffset>-80000</wp:posOffset>
            </wp:positionH>
            <wp:positionV relativeFrom="paragraph">
              <wp:posOffset>357173</wp:posOffset>
            </wp:positionV>
            <wp:extent cx="6002655" cy="30156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1 - IPCC Per Capita Profi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2655" cy="3015615"/>
                    </a:xfrm>
                    <a:prstGeom prst="rect">
                      <a:avLst/>
                    </a:prstGeom>
                  </pic:spPr>
                </pic:pic>
              </a:graphicData>
            </a:graphic>
            <wp14:sizeRelH relativeFrom="page">
              <wp14:pctWidth>0</wp14:pctWidth>
            </wp14:sizeRelH>
            <wp14:sizeRelV relativeFrom="page">
              <wp14:pctHeight>0</wp14:pctHeight>
            </wp14:sizeRelV>
          </wp:anchor>
        </w:drawing>
      </w:r>
      <w:r w:rsidR="006907CA" w:rsidRPr="00813913">
        <w:rPr>
          <w:rFonts w:ascii="Arial" w:hAnsi="Arial" w:cs="Arial"/>
          <w:b/>
          <w:sz w:val="28"/>
          <w:szCs w:val="28"/>
        </w:rPr>
        <w:t>Supplementary Figures</w:t>
      </w:r>
    </w:p>
    <w:p w:rsidR="000277CF" w:rsidRPr="00813913" w:rsidRDefault="000277CF"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DE691D" w:rsidRDefault="00DE691D" w:rsidP="006907CA">
      <w:pPr>
        <w:rPr>
          <w:rFonts w:ascii="Arial" w:hAnsi="Arial" w:cs="Arial"/>
          <w:b/>
          <w:sz w:val="28"/>
          <w:szCs w:val="28"/>
        </w:rPr>
      </w:pPr>
    </w:p>
    <w:p w:rsidR="006907CA" w:rsidRPr="00813913" w:rsidRDefault="006907CA" w:rsidP="006907CA">
      <w:pPr>
        <w:rPr>
          <w:rFonts w:ascii="Arial" w:hAnsi="Arial" w:cs="Arial"/>
          <w:b/>
          <w:sz w:val="28"/>
          <w:szCs w:val="28"/>
        </w:rPr>
      </w:pPr>
      <w:r w:rsidRPr="00813913">
        <w:rPr>
          <w:rFonts w:ascii="Arial" w:hAnsi="Arial" w:cs="Arial"/>
          <w:b/>
          <w:sz w:val="28"/>
          <w:szCs w:val="28"/>
        </w:rPr>
        <w:t>Supplementary Tables</w:t>
      </w:r>
    </w:p>
    <w:p w:rsidR="008D62C5" w:rsidRPr="00813913" w:rsidRDefault="00DE691D" w:rsidP="00C266F8">
      <w:pPr>
        <w:pStyle w:val="ListParagraph"/>
        <w:rPr>
          <w:rFonts w:ascii="Arial" w:hAnsi="Arial" w:cs="Arial"/>
        </w:rPr>
      </w:pPr>
      <w:r w:rsidRPr="00813913">
        <w:rPr>
          <w:rFonts w:ascii="Arial" w:hAnsi="Arial" w:cs="Arial"/>
          <w:noProof/>
          <w:lang w:eastAsia="en-GB"/>
        </w:rPr>
        <w:drawing>
          <wp:anchor distT="0" distB="0" distL="114300" distR="114300" simplePos="0" relativeHeight="251658240" behindDoc="0" locked="0" layoutInCell="1" allowOverlap="1" wp14:anchorId="4763BA54" wp14:editId="57F000EE">
            <wp:simplePos x="0" y="0"/>
            <wp:positionH relativeFrom="margin">
              <wp:posOffset>278815</wp:posOffset>
            </wp:positionH>
            <wp:positionV relativeFrom="paragraph">
              <wp:posOffset>60960</wp:posOffset>
            </wp:positionV>
            <wp:extent cx="5339715" cy="2142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371"/>
                    <a:stretch/>
                  </pic:blipFill>
                  <pic:spPr bwMode="auto">
                    <a:xfrm>
                      <a:off x="0" y="0"/>
                      <a:ext cx="5339715" cy="214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07CA" w:rsidRPr="00813913" w:rsidRDefault="006907CA" w:rsidP="00C266F8">
      <w:pPr>
        <w:pStyle w:val="ListParagraph"/>
        <w:rPr>
          <w:rFonts w:ascii="Arial" w:hAnsi="Arial" w:cs="Arial"/>
          <w:noProof/>
          <w:lang w:eastAsia="en-GB"/>
        </w:rPr>
      </w:pPr>
    </w:p>
    <w:p w:rsidR="00634772" w:rsidRPr="00813913" w:rsidRDefault="00634772" w:rsidP="00B243BD">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r w:rsidRPr="00813913">
        <w:rPr>
          <w:rFonts w:ascii="Arial" w:hAnsi="Arial" w:cs="Arial"/>
          <w:noProof/>
          <w:lang w:eastAsia="en-GB"/>
        </w:rPr>
        <mc:AlternateContent>
          <mc:Choice Requires="wps">
            <w:drawing>
              <wp:anchor distT="45720" distB="45720" distL="114300" distR="114300" simplePos="0" relativeHeight="251662336" behindDoc="0" locked="0" layoutInCell="1" allowOverlap="1" wp14:anchorId="2D609130" wp14:editId="6CAEB966">
                <wp:simplePos x="0" y="0"/>
                <wp:positionH relativeFrom="margin">
                  <wp:posOffset>-64135</wp:posOffset>
                </wp:positionH>
                <wp:positionV relativeFrom="paragraph">
                  <wp:posOffset>156845</wp:posOffset>
                </wp:positionV>
                <wp:extent cx="5991225" cy="7505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50570"/>
                        </a:xfrm>
                        <a:prstGeom prst="rect">
                          <a:avLst/>
                        </a:prstGeom>
                        <a:solidFill>
                          <a:srgbClr val="FFFFFF"/>
                        </a:solidFill>
                        <a:ln w="9525">
                          <a:noFill/>
                          <a:miter lim="800000"/>
                          <a:headEnd/>
                          <a:tailEnd/>
                        </a:ln>
                      </wps:spPr>
                      <wps:txbx>
                        <w:txbxContent>
                          <w:p w:rsidR="006907CA" w:rsidRDefault="006907CA">
                            <w:pPr>
                              <w:rPr>
                                <w:b/>
                              </w:rPr>
                            </w:pPr>
                            <w:r w:rsidRPr="006907CA">
                              <w:rPr>
                                <w:b/>
                              </w:rPr>
                              <w:t>Table S1: Projected change in global mean surface temperature and global mean sea level rise for the mid- and late 21</w:t>
                            </w:r>
                            <w:r w:rsidRPr="006907CA">
                              <w:rPr>
                                <w:b/>
                                <w:vertAlign w:val="superscript"/>
                              </w:rPr>
                              <w:t>st</w:t>
                            </w:r>
                            <w:r w:rsidRPr="006907CA">
                              <w:rPr>
                                <w:b/>
                              </w:rPr>
                              <w:t xml:space="preserve"> century relative to the reference period of 1986-2005</w:t>
                            </w:r>
                            <w:r>
                              <w:rPr>
                                <w:b/>
                              </w:rPr>
                              <w:t>.</w:t>
                            </w:r>
                          </w:p>
                          <w:p w:rsidR="006907CA" w:rsidRPr="006907CA" w:rsidRDefault="006907CA">
                            <w:r w:rsidRPr="006907CA">
                              <w:t xml:space="preserve">Source: </w:t>
                            </w:r>
                            <w:r w:rsidRPr="006907CA">
                              <w:rPr>
                                <w:rFonts w:ascii="Calibri" w:hAnsi="Calibri" w:cs="Times New Roman"/>
                                <w:noProof/>
                              </w:rPr>
                              <w:t>IPCC. Climate Change 2014 Synthesis Report Summary Chapter for Policymakers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49CD" id="_x0000_s1027" type="#_x0000_t202" style="position:absolute;left:0;text-align:left;margin-left:-5.05pt;margin-top:12.35pt;width:471.75pt;height:59.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Cn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" stroked="f">
                <v:textbox>
                  <w:txbxContent>
                    <w:p w:rsidR="006907CA" w:rsidRDefault="006907CA">
                      <w:pPr>
                        <w:rPr>
                          <w:b/>
                        </w:rPr>
                      </w:pPr>
                      <w:r w:rsidRPr="006907CA">
                        <w:rPr>
                          <w:b/>
                        </w:rPr>
                        <w:t>Table S1: Projected change in global mean surface temperature and global mean sea level rise for the mid- and late 21</w:t>
                      </w:r>
                      <w:r w:rsidRPr="006907CA">
                        <w:rPr>
                          <w:b/>
                          <w:vertAlign w:val="superscript"/>
                        </w:rPr>
                        <w:t>st</w:t>
                      </w:r>
                      <w:r w:rsidRPr="006907CA">
                        <w:rPr>
                          <w:b/>
                        </w:rPr>
                        <w:t xml:space="preserve"> century relative to the reference period of 1986-2005</w:t>
                      </w:r>
                      <w:r>
                        <w:rPr>
                          <w:b/>
                        </w:rPr>
                        <w:t>.</w:t>
                      </w:r>
                    </w:p>
                    <w:p w:rsidR="006907CA" w:rsidRPr="006907CA" w:rsidRDefault="006907CA">
                      <w:r w:rsidRPr="006907CA">
                        <w:t xml:space="preserve">Source: </w:t>
                      </w:r>
                      <w:r w:rsidRPr="006907CA">
                        <w:rPr>
                          <w:rFonts w:ascii="Calibri" w:hAnsi="Calibri" w:cs="Times New Roman"/>
                          <w:noProof/>
                        </w:rPr>
                        <w:t>IPCC. Climate Change 2014 Synthesis Report Summary Chapter for Policymakers</w:t>
                      </w:r>
                    </w:p>
                  </w:txbxContent>
                </v:textbox>
                <w10:wrap type="square" anchorx="margin"/>
              </v:shape>
            </w:pict>
          </mc:Fallback>
        </mc:AlternateContent>
      </w: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p w:rsidR="00DE691D" w:rsidRDefault="00DE691D" w:rsidP="004A7AC5">
      <w:pPr>
        <w:pStyle w:val="ListParagraph"/>
        <w:rPr>
          <w:rFonts w:ascii="Arial" w:hAnsi="Arial" w:cs="Arial"/>
        </w:rPr>
      </w:pPr>
    </w:p>
    <w:tbl>
      <w:tblPr>
        <w:tblStyle w:val="TableGrid"/>
        <w:tblpPr w:leftFromText="180" w:rightFromText="180" w:vertAnchor="text" w:horzAnchor="margin" w:tblpXSpec="center" w:tblpY="29"/>
        <w:tblW w:w="11052" w:type="dxa"/>
        <w:tblLayout w:type="fixed"/>
        <w:tblLook w:val="04A0" w:firstRow="1" w:lastRow="0" w:firstColumn="1" w:lastColumn="0" w:noHBand="0" w:noVBand="1"/>
      </w:tblPr>
      <w:tblGrid>
        <w:gridCol w:w="1413"/>
        <w:gridCol w:w="1276"/>
        <w:gridCol w:w="1275"/>
        <w:gridCol w:w="1276"/>
        <w:gridCol w:w="1701"/>
        <w:gridCol w:w="1134"/>
        <w:gridCol w:w="1276"/>
        <w:gridCol w:w="1701"/>
      </w:tblGrid>
      <w:tr w:rsidR="00DE691D" w:rsidRPr="00813913" w:rsidTr="00DE691D">
        <w:trPr>
          <w:trHeight w:val="594"/>
        </w:trPr>
        <w:tc>
          <w:tcPr>
            <w:tcW w:w="1413" w:type="dxa"/>
            <w:noWrap/>
            <w:hideMark/>
          </w:tcPr>
          <w:p w:rsidR="00DE691D" w:rsidRPr="00DE691D" w:rsidRDefault="00DE691D" w:rsidP="00DE691D">
            <w:pPr>
              <w:jc w:val="center"/>
              <w:rPr>
                <w:rFonts w:ascii="Arial" w:eastAsia="Times New Roman" w:hAnsi="Arial" w:cs="Arial"/>
                <w:b/>
                <w:bCs/>
                <w:color w:val="000000"/>
                <w:sz w:val="20"/>
                <w:szCs w:val="20"/>
                <w:lang w:eastAsia="en-GB"/>
              </w:rPr>
            </w:pPr>
          </w:p>
          <w:p w:rsidR="00DE691D" w:rsidRPr="00DE691D" w:rsidRDefault="00DE691D" w:rsidP="00DE691D">
            <w:pPr>
              <w:jc w:val="center"/>
              <w:rPr>
                <w:rFonts w:ascii="Arial" w:eastAsia="Times New Roman" w:hAnsi="Arial" w:cs="Arial"/>
                <w:sz w:val="20"/>
                <w:szCs w:val="20"/>
                <w:lang w:eastAsia="en-GB"/>
              </w:rPr>
            </w:pPr>
            <w:r w:rsidRPr="00DE691D">
              <w:rPr>
                <w:rFonts w:ascii="Arial" w:eastAsia="Times New Roman" w:hAnsi="Arial" w:cs="Arial"/>
                <w:b/>
                <w:bCs/>
                <w:color w:val="000000"/>
                <w:sz w:val="20"/>
                <w:szCs w:val="20"/>
                <w:lang w:eastAsia="en-GB"/>
              </w:rPr>
              <w:t>USA</w:t>
            </w:r>
          </w:p>
        </w:tc>
        <w:tc>
          <w:tcPr>
            <w:tcW w:w="1276"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Year</w:t>
            </w:r>
          </w:p>
        </w:tc>
        <w:tc>
          <w:tcPr>
            <w:tcW w:w="1275"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Emissions (MtCO2e)</w:t>
            </w:r>
          </w:p>
        </w:tc>
        <w:tc>
          <w:tcPr>
            <w:tcW w:w="1276"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Population (millions)</w:t>
            </w:r>
          </w:p>
        </w:tc>
        <w:tc>
          <w:tcPr>
            <w:tcW w:w="1701"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Per Capita Baseline Emissions (tCO2e/capita)</w:t>
            </w:r>
          </w:p>
        </w:tc>
        <w:tc>
          <w:tcPr>
            <w:tcW w:w="1134"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2040 Absolute Target (MtCO2e)</w:t>
            </w:r>
          </w:p>
        </w:tc>
        <w:tc>
          <w:tcPr>
            <w:tcW w:w="1276"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2040 Population (millions)</w:t>
            </w:r>
          </w:p>
        </w:tc>
        <w:tc>
          <w:tcPr>
            <w:tcW w:w="1701" w:type="dxa"/>
            <w:hideMark/>
          </w:tcPr>
          <w:p w:rsidR="00DE691D" w:rsidRPr="00DE691D" w:rsidRDefault="00DE691D" w:rsidP="00DE691D">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Per Capita 2040 (tCO2e/capita)</w:t>
            </w:r>
          </w:p>
        </w:tc>
      </w:tr>
      <w:tr w:rsidR="00DE691D" w:rsidRPr="00813913" w:rsidTr="00DE691D">
        <w:trPr>
          <w:trHeight w:val="300"/>
        </w:trPr>
        <w:tc>
          <w:tcPr>
            <w:tcW w:w="1413" w:type="dxa"/>
            <w:noWrap/>
            <w:hideMark/>
          </w:tcPr>
          <w:p w:rsidR="00DE691D" w:rsidRPr="00813913" w:rsidRDefault="00DE691D" w:rsidP="00DE691D">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INDC</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2005</w:t>
            </w:r>
          </w:p>
        </w:tc>
        <w:tc>
          <w:tcPr>
            <w:tcW w:w="1275"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7350</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296</w:t>
            </w:r>
          </w:p>
        </w:tc>
        <w:tc>
          <w:tcPr>
            <w:tcW w:w="1701"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24.8</w:t>
            </w:r>
          </w:p>
        </w:tc>
        <w:tc>
          <w:tcPr>
            <w:tcW w:w="1134"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2940</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383</w:t>
            </w:r>
          </w:p>
        </w:tc>
        <w:tc>
          <w:tcPr>
            <w:tcW w:w="1701" w:type="dxa"/>
            <w:noWrap/>
            <w:hideMark/>
          </w:tcPr>
          <w:p w:rsidR="00DE691D" w:rsidRPr="00813913" w:rsidRDefault="00DE691D" w:rsidP="00DE691D">
            <w:pPr>
              <w:jc w:val="center"/>
              <w:rPr>
                <w:rFonts w:ascii="Arial" w:eastAsia="Times New Roman" w:hAnsi="Arial" w:cs="Arial"/>
                <w:b/>
                <w:color w:val="000000"/>
                <w:lang w:eastAsia="en-GB"/>
              </w:rPr>
            </w:pPr>
            <w:r w:rsidRPr="00813913">
              <w:rPr>
                <w:rFonts w:ascii="Arial" w:eastAsia="Times New Roman" w:hAnsi="Arial" w:cs="Arial"/>
                <w:b/>
                <w:color w:val="000000"/>
                <w:lang w:eastAsia="en-GB"/>
              </w:rPr>
              <w:t>7.7</w:t>
            </w:r>
          </w:p>
        </w:tc>
      </w:tr>
      <w:tr w:rsidR="00DE691D" w:rsidRPr="00813913" w:rsidTr="00DE691D">
        <w:trPr>
          <w:trHeight w:val="300"/>
        </w:trPr>
        <w:tc>
          <w:tcPr>
            <w:tcW w:w="1413" w:type="dxa"/>
            <w:noWrap/>
            <w:hideMark/>
          </w:tcPr>
          <w:p w:rsidR="00DE691D" w:rsidRPr="00813913" w:rsidRDefault="00DE691D" w:rsidP="00DE691D">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Framework</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2010</w:t>
            </w:r>
          </w:p>
        </w:tc>
        <w:tc>
          <w:tcPr>
            <w:tcW w:w="1275"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6254</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312</w:t>
            </w:r>
          </w:p>
        </w:tc>
        <w:tc>
          <w:tcPr>
            <w:tcW w:w="1701"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20.0</w:t>
            </w:r>
          </w:p>
        </w:tc>
        <w:tc>
          <w:tcPr>
            <w:tcW w:w="1134"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w:t>
            </w:r>
          </w:p>
        </w:tc>
        <w:tc>
          <w:tcPr>
            <w:tcW w:w="1276" w:type="dxa"/>
            <w:noWrap/>
            <w:hideMark/>
          </w:tcPr>
          <w:p w:rsidR="00DE691D" w:rsidRPr="00813913" w:rsidRDefault="00DE691D" w:rsidP="00DE691D">
            <w:pPr>
              <w:jc w:val="center"/>
              <w:rPr>
                <w:rFonts w:ascii="Arial" w:eastAsia="Times New Roman" w:hAnsi="Arial" w:cs="Arial"/>
                <w:color w:val="000000"/>
                <w:lang w:eastAsia="en-GB"/>
              </w:rPr>
            </w:pPr>
            <w:r w:rsidRPr="00813913">
              <w:rPr>
                <w:rFonts w:ascii="Arial" w:eastAsia="Times New Roman" w:hAnsi="Arial" w:cs="Arial"/>
                <w:color w:val="000000"/>
                <w:lang w:eastAsia="en-GB"/>
              </w:rPr>
              <w:t>383</w:t>
            </w:r>
          </w:p>
        </w:tc>
        <w:tc>
          <w:tcPr>
            <w:tcW w:w="1701" w:type="dxa"/>
            <w:noWrap/>
            <w:hideMark/>
          </w:tcPr>
          <w:p w:rsidR="00DE691D" w:rsidRPr="00813913" w:rsidRDefault="00DE691D" w:rsidP="00DE691D">
            <w:pPr>
              <w:jc w:val="center"/>
              <w:rPr>
                <w:rFonts w:ascii="Arial" w:eastAsia="Times New Roman" w:hAnsi="Arial" w:cs="Arial"/>
                <w:b/>
                <w:color w:val="000000"/>
                <w:lang w:eastAsia="en-GB"/>
              </w:rPr>
            </w:pPr>
            <w:r w:rsidRPr="00813913">
              <w:rPr>
                <w:rFonts w:ascii="Arial" w:eastAsia="Times New Roman" w:hAnsi="Arial" w:cs="Arial"/>
                <w:b/>
                <w:color w:val="000000"/>
                <w:lang w:eastAsia="en-GB"/>
              </w:rPr>
              <w:t>8.1</w:t>
            </w:r>
          </w:p>
        </w:tc>
      </w:tr>
    </w:tbl>
    <w:p w:rsidR="00DE691D" w:rsidRDefault="00DE691D" w:rsidP="004A7AC5">
      <w:pPr>
        <w:pStyle w:val="ListParagraph"/>
        <w:rPr>
          <w:rFonts w:ascii="Arial" w:hAnsi="Arial" w:cs="Arial"/>
        </w:rPr>
      </w:pPr>
      <w:r w:rsidRPr="00813913">
        <w:rPr>
          <w:rFonts w:ascii="Arial" w:hAnsi="Arial" w:cs="Arial"/>
          <w:noProof/>
          <w:lang w:eastAsia="en-GB"/>
        </w:rPr>
        <mc:AlternateContent>
          <mc:Choice Requires="wps">
            <w:drawing>
              <wp:anchor distT="45720" distB="45720" distL="114300" distR="114300" simplePos="0" relativeHeight="251664384" behindDoc="0" locked="0" layoutInCell="1" allowOverlap="1" wp14:anchorId="060B6B87" wp14:editId="7F28DC0D">
                <wp:simplePos x="0" y="0"/>
                <wp:positionH relativeFrom="margin">
                  <wp:posOffset>221186</wp:posOffset>
                </wp:positionH>
                <wp:positionV relativeFrom="paragraph">
                  <wp:posOffset>1079706</wp:posOffset>
                </wp:positionV>
                <wp:extent cx="6304915" cy="47752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77520"/>
                        </a:xfrm>
                        <a:prstGeom prst="rect">
                          <a:avLst/>
                        </a:prstGeom>
                        <a:solidFill>
                          <a:srgbClr val="FFFFFF"/>
                        </a:solidFill>
                        <a:ln w="9525">
                          <a:noFill/>
                          <a:miter lim="800000"/>
                          <a:headEnd/>
                          <a:tailEnd/>
                        </a:ln>
                      </wps:spPr>
                      <wps:txbx>
                        <w:txbxContent>
                          <w:p w:rsidR="006907CA" w:rsidRPr="006907CA" w:rsidRDefault="006907CA" w:rsidP="006907CA">
                            <w:r w:rsidRPr="006907CA">
                              <w:rPr>
                                <w:b/>
                              </w:rPr>
                              <w:t>Table S</w:t>
                            </w:r>
                            <w:r>
                              <w:rPr>
                                <w:b/>
                              </w:rPr>
                              <w:t>2</w:t>
                            </w:r>
                            <w:r w:rsidRPr="006907CA">
                              <w:rPr>
                                <w:b/>
                              </w:rPr>
                              <w:t xml:space="preserve">: </w:t>
                            </w:r>
                            <w:r>
                              <w:rPr>
                                <w:b/>
                              </w:rPr>
                              <w:t>Comparison of USA extrapolated INDC pledged targets versus requirements within the exemplar convergence framework.</w:t>
                            </w:r>
                          </w:p>
                          <w:p w:rsidR="006907CA" w:rsidRPr="006907CA" w:rsidRDefault="006907CA" w:rsidP="006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68E10" id="_x0000_s1028" type="#_x0000_t202" style="position:absolute;left:0;text-align:left;margin-left:17.4pt;margin-top:85pt;width:496.45pt;height:37.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" stroked="f">
                <v:textbox>
                  <w:txbxContent>
                    <w:p w:rsidR="006907CA" w:rsidRPr="006907CA" w:rsidRDefault="006907CA" w:rsidP="006907CA">
                      <w:r w:rsidRPr="006907CA">
                        <w:rPr>
                          <w:b/>
                        </w:rPr>
                        <w:t>Table S</w:t>
                      </w:r>
                      <w:r>
                        <w:rPr>
                          <w:b/>
                        </w:rPr>
                        <w:t>2</w:t>
                      </w:r>
                      <w:r w:rsidRPr="006907CA">
                        <w:rPr>
                          <w:b/>
                        </w:rPr>
                        <w:t xml:space="preserve">: </w:t>
                      </w:r>
                      <w:r>
                        <w:rPr>
                          <w:b/>
                        </w:rPr>
                        <w:t>Comparison of USA extrapolated INDC pledged targets versus requirements within the exemplar convergence framework.</w:t>
                      </w:r>
                    </w:p>
                    <w:p w:rsidR="006907CA" w:rsidRPr="006907CA" w:rsidRDefault="006907CA" w:rsidP="006907CA"/>
                  </w:txbxContent>
                </v:textbox>
                <w10:wrap type="square" anchorx="margin"/>
              </v:shape>
            </w:pict>
          </mc:Fallback>
        </mc:AlternateContent>
      </w:r>
    </w:p>
    <w:p w:rsidR="00DE691D" w:rsidRDefault="00DE691D" w:rsidP="004A7AC5">
      <w:pPr>
        <w:pStyle w:val="ListParagraph"/>
        <w:rPr>
          <w:rFonts w:ascii="Arial" w:hAnsi="Arial" w:cs="Arial"/>
        </w:rPr>
      </w:pPr>
    </w:p>
    <w:p w:rsidR="004A7AC5" w:rsidRPr="00813913" w:rsidRDefault="000277CF" w:rsidP="004A7AC5">
      <w:pPr>
        <w:pStyle w:val="ListParagraph"/>
        <w:rPr>
          <w:rFonts w:ascii="Arial" w:hAnsi="Arial" w:cs="Arial"/>
        </w:rPr>
      </w:pPr>
      <w:r w:rsidRPr="00813913">
        <w:rPr>
          <w:rFonts w:ascii="Arial" w:hAnsi="Arial" w:cs="Arial"/>
          <w:noProof/>
          <w:lang w:eastAsia="en-GB"/>
        </w:rPr>
        <mc:AlternateContent>
          <mc:Choice Requires="wps">
            <w:drawing>
              <wp:anchor distT="45720" distB="45720" distL="114300" distR="114300" simplePos="0" relativeHeight="251666432" behindDoc="0" locked="0" layoutInCell="1" allowOverlap="1" wp14:anchorId="5D8EDFE6" wp14:editId="4D305A16">
                <wp:simplePos x="0" y="0"/>
                <wp:positionH relativeFrom="margin">
                  <wp:posOffset>-314051</wp:posOffset>
                </wp:positionH>
                <wp:positionV relativeFrom="paragraph">
                  <wp:posOffset>1421812</wp:posOffset>
                </wp:positionV>
                <wp:extent cx="6304915" cy="477520"/>
                <wp:effectExtent l="0" t="0" r="63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77520"/>
                        </a:xfrm>
                        <a:prstGeom prst="rect">
                          <a:avLst/>
                        </a:prstGeom>
                        <a:solidFill>
                          <a:srgbClr val="FFFFFF"/>
                        </a:solidFill>
                        <a:ln w="9525">
                          <a:noFill/>
                          <a:miter lim="800000"/>
                          <a:headEnd/>
                          <a:tailEnd/>
                        </a:ln>
                      </wps:spPr>
                      <wps:txbx>
                        <w:txbxContent>
                          <w:p w:rsidR="006907CA" w:rsidRPr="006907CA" w:rsidRDefault="006907CA" w:rsidP="006907CA">
                            <w:r w:rsidRPr="006907CA">
                              <w:rPr>
                                <w:b/>
                              </w:rPr>
                              <w:t>Table S</w:t>
                            </w:r>
                            <w:r w:rsidR="000277CF">
                              <w:rPr>
                                <w:b/>
                              </w:rPr>
                              <w:t>3</w:t>
                            </w:r>
                            <w:r w:rsidRPr="006907CA">
                              <w:rPr>
                                <w:b/>
                              </w:rPr>
                              <w:t xml:space="preserve">: </w:t>
                            </w:r>
                            <w:r>
                              <w:rPr>
                                <w:b/>
                              </w:rPr>
                              <w:t>Comparison of the EU-28 extrapolated INDC pledged targets versus requirements within the exemplar convergence framework.</w:t>
                            </w:r>
                          </w:p>
                          <w:p w:rsidR="006907CA" w:rsidRPr="006907CA" w:rsidRDefault="006907CA" w:rsidP="006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CD7FF" id="_x0000_s1029" type="#_x0000_t202" style="position:absolute;left:0;text-align:left;margin-left:-24.75pt;margin-top:111.95pt;width:496.45pt;height:37.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" stroked="f">
                <v:textbox>
                  <w:txbxContent>
                    <w:p w:rsidR="006907CA" w:rsidRPr="006907CA" w:rsidRDefault="006907CA" w:rsidP="006907CA">
                      <w:r w:rsidRPr="006907CA">
                        <w:rPr>
                          <w:b/>
                        </w:rPr>
                        <w:t>Table S</w:t>
                      </w:r>
                      <w:r w:rsidR="000277CF">
                        <w:rPr>
                          <w:b/>
                        </w:rPr>
                        <w:t>3</w:t>
                      </w:r>
                      <w:r w:rsidRPr="006907CA">
                        <w:rPr>
                          <w:b/>
                        </w:rPr>
                        <w:t xml:space="preserve">: </w:t>
                      </w:r>
                      <w:r>
                        <w:rPr>
                          <w:b/>
                        </w:rPr>
                        <w:t>Comparison of the EU-28 extrapolated INDC pledged targets versus requirements within the exemplar convergence framework.</w:t>
                      </w:r>
                    </w:p>
                    <w:p w:rsidR="006907CA" w:rsidRPr="006907CA" w:rsidRDefault="006907CA" w:rsidP="006907CA"/>
                  </w:txbxContent>
                </v:textbox>
                <w10:wrap type="square" anchorx="margin"/>
              </v:shape>
            </w:pict>
          </mc:Fallback>
        </mc:AlternateContent>
      </w:r>
    </w:p>
    <w:tbl>
      <w:tblPr>
        <w:tblStyle w:val="TableGrid"/>
        <w:tblW w:w="11008" w:type="dxa"/>
        <w:tblInd w:w="-572" w:type="dxa"/>
        <w:tblLook w:val="04A0" w:firstRow="1" w:lastRow="0" w:firstColumn="1" w:lastColumn="0" w:noHBand="0" w:noVBand="1"/>
      </w:tblPr>
      <w:tblGrid>
        <w:gridCol w:w="1390"/>
        <w:gridCol w:w="1121"/>
        <w:gridCol w:w="1317"/>
        <w:gridCol w:w="1353"/>
        <w:gridCol w:w="1708"/>
        <w:gridCol w:w="1194"/>
        <w:gridCol w:w="1353"/>
        <w:gridCol w:w="1572"/>
      </w:tblGrid>
      <w:tr w:rsidR="0066797C" w:rsidRPr="00813913" w:rsidTr="00DE691D">
        <w:trPr>
          <w:trHeight w:val="917"/>
        </w:trPr>
        <w:tc>
          <w:tcPr>
            <w:tcW w:w="1390" w:type="dxa"/>
            <w:noWrap/>
            <w:hideMark/>
          </w:tcPr>
          <w:p w:rsidR="00813913" w:rsidRDefault="00813913" w:rsidP="00077A98">
            <w:pPr>
              <w:jc w:val="center"/>
              <w:rPr>
                <w:rFonts w:ascii="Arial" w:eastAsia="Times New Roman" w:hAnsi="Arial" w:cs="Arial"/>
                <w:b/>
                <w:bCs/>
                <w:color w:val="000000"/>
                <w:sz w:val="24"/>
                <w:szCs w:val="24"/>
                <w:lang w:eastAsia="en-GB"/>
              </w:rPr>
            </w:pPr>
          </w:p>
          <w:p w:rsidR="0066797C" w:rsidRPr="00813913" w:rsidRDefault="0066797C" w:rsidP="00077A98">
            <w:pPr>
              <w:jc w:val="center"/>
              <w:rPr>
                <w:rFonts w:ascii="Arial" w:eastAsia="Times New Roman" w:hAnsi="Arial" w:cs="Arial"/>
                <w:sz w:val="24"/>
                <w:szCs w:val="24"/>
                <w:lang w:eastAsia="en-GB"/>
              </w:rPr>
            </w:pPr>
            <w:r w:rsidRPr="00813913">
              <w:rPr>
                <w:rFonts w:ascii="Arial" w:eastAsia="Times New Roman" w:hAnsi="Arial" w:cs="Arial"/>
                <w:b/>
                <w:bCs/>
                <w:color w:val="000000"/>
                <w:sz w:val="24"/>
                <w:szCs w:val="24"/>
                <w:lang w:eastAsia="en-GB"/>
              </w:rPr>
              <w:t>EU-28</w:t>
            </w:r>
          </w:p>
        </w:tc>
        <w:tc>
          <w:tcPr>
            <w:tcW w:w="1121"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Year</w:t>
            </w:r>
          </w:p>
        </w:tc>
        <w:tc>
          <w:tcPr>
            <w:tcW w:w="1317"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Emissions (MtCO2e)</w:t>
            </w:r>
          </w:p>
        </w:tc>
        <w:tc>
          <w:tcPr>
            <w:tcW w:w="1353"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Baseline Population (millions)</w:t>
            </w:r>
          </w:p>
        </w:tc>
        <w:tc>
          <w:tcPr>
            <w:tcW w:w="1708"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Per Capita Baseline Emissions (tCO2e/capita)</w:t>
            </w:r>
          </w:p>
        </w:tc>
        <w:tc>
          <w:tcPr>
            <w:tcW w:w="1194"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2040 Absolute Target (MtCO2e)</w:t>
            </w:r>
          </w:p>
        </w:tc>
        <w:tc>
          <w:tcPr>
            <w:tcW w:w="1353"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2040 Population (millions)</w:t>
            </w:r>
          </w:p>
        </w:tc>
        <w:tc>
          <w:tcPr>
            <w:tcW w:w="1572" w:type="dxa"/>
            <w:hideMark/>
          </w:tcPr>
          <w:p w:rsidR="0066797C" w:rsidRPr="00DE691D" w:rsidRDefault="0066797C" w:rsidP="00077A98">
            <w:pPr>
              <w:jc w:val="center"/>
              <w:rPr>
                <w:rFonts w:ascii="Arial" w:eastAsia="Times New Roman" w:hAnsi="Arial" w:cs="Arial"/>
                <w:b/>
                <w:bCs/>
                <w:color w:val="000000"/>
                <w:sz w:val="20"/>
                <w:szCs w:val="20"/>
                <w:lang w:eastAsia="en-GB"/>
              </w:rPr>
            </w:pPr>
            <w:r w:rsidRPr="00DE691D">
              <w:rPr>
                <w:rFonts w:ascii="Arial" w:eastAsia="Times New Roman" w:hAnsi="Arial" w:cs="Arial"/>
                <w:b/>
                <w:bCs/>
                <w:color w:val="000000"/>
                <w:sz w:val="20"/>
                <w:szCs w:val="20"/>
                <w:lang w:eastAsia="en-GB"/>
              </w:rPr>
              <w:t>Per Capita 2040 (tCO2e/capita)</w:t>
            </w:r>
          </w:p>
        </w:tc>
      </w:tr>
      <w:tr w:rsidR="0066797C" w:rsidRPr="00813913" w:rsidTr="00DE691D">
        <w:trPr>
          <w:trHeight w:val="300"/>
        </w:trPr>
        <w:tc>
          <w:tcPr>
            <w:tcW w:w="1390" w:type="dxa"/>
            <w:noWrap/>
            <w:hideMark/>
          </w:tcPr>
          <w:p w:rsidR="0066797C" w:rsidRPr="00813913" w:rsidRDefault="0066797C" w:rsidP="0066797C">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INDC</w:t>
            </w:r>
          </w:p>
        </w:tc>
        <w:tc>
          <w:tcPr>
            <w:tcW w:w="1121"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1990</w:t>
            </w:r>
          </w:p>
        </w:tc>
        <w:tc>
          <w:tcPr>
            <w:tcW w:w="1317"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4266</w:t>
            </w:r>
          </w:p>
        </w:tc>
        <w:tc>
          <w:tcPr>
            <w:tcW w:w="1353"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470</w:t>
            </w:r>
          </w:p>
        </w:tc>
        <w:tc>
          <w:tcPr>
            <w:tcW w:w="1708"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9.1</w:t>
            </w:r>
          </w:p>
        </w:tc>
        <w:tc>
          <w:tcPr>
            <w:tcW w:w="1194"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1706</w:t>
            </w:r>
          </w:p>
        </w:tc>
        <w:tc>
          <w:tcPr>
            <w:tcW w:w="1353"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523</w:t>
            </w:r>
          </w:p>
        </w:tc>
        <w:tc>
          <w:tcPr>
            <w:tcW w:w="1572" w:type="dxa"/>
            <w:noWrap/>
            <w:vAlign w:val="bottom"/>
            <w:hideMark/>
          </w:tcPr>
          <w:p w:rsidR="0066797C" w:rsidRPr="00813913" w:rsidRDefault="0066797C" w:rsidP="0066797C">
            <w:pPr>
              <w:jc w:val="center"/>
              <w:rPr>
                <w:rFonts w:ascii="Arial" w:hAnsi="Arial" w:cs="Arial"/>
                <w:b/>
                <w:color w:val="000000"/>
              </w:rPr>
            </w:pPr>
            <w:r w:rsidRPr="00813913">
              <w:rPr>
                <w:rFonts w:ascii="Arial" w:hAnsi="Arial" w:cs="Arial"/>
                <w:b/>
                <w:color w:val="000000"/>
              </w:rPr>
              <w:t>3.3</w:t>
            </w:r>
          </w:p>
        </w:tc>
      </w:tr>
      <w:tr w:rsidR="0066797C" w:rsidRPr="00813913" w:rsidTr="00DE691D">
        <w:trPr>
          <w:trHeight w:val="300"/>
        </w:trPr>
        <w:tc>
          <w:tcPr>
            <w:tcW w:w="1390" w:type="dxa"/>
            <w:noWrap/>
            <w:hideMark/>
          </w:tcPr>
          <w:p w:rsidR="0066797C" w:rsidRPr="00813913" w:rsidRDefault="0066797C" w:rsidP="0066797C">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Framework</w:t>
            </w:r>
          </w:p>
        </w:tc>
        <w:tc>
          <w:tcPr>
            <w:tcW w:w="1121"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2010</w:t>
            </w:r>
          </w:p>
        </w:tc>
        <w:tc>
          <w:tcPr>
            <w:tcW w:w="1317"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4413</w:t>
            </w:r>
          </w:p>
        </w:tc>
        <w:tc>
          <w:tcPr>
            <w:tcW w:w="1353"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511</w:t>
            </w:r>
          </w:p>
        </w:tc>
        <w:tc>
          <w:tcPr>
            <w:tcW w:w="1708"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8.6</w:t>
            </w:r>
          </w:p>
        </w:tc>
        <w:tc>
          <w:tcPr>
            <w:tcW w:w="1194"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w:t>
            </w:r>
          </w:p>
        </w:tc>
        <w:tc>
          <w:tcPr>
            <w:tcW w:w="1353" w:type="dxa"/>
            <w:noWrap/>
            <w:vAlign w:val="bottom"/>
            <w:hideMark/>
          </w:tcPr>
          <w:p w:rsidR="0066797C" w:rsidRPr="00813913" w:rsidRDefault="0066797C" w:rsidP="0066797C">
            <w:pPr>
              <w:jc w:val="center"/>
              <w:rPr>
                <w:rFonts w:ascii="Arial" w:hAnsi="Arial" w:cs="Arial"/>
                <w:color w:val="000000"/>
              </w:rPr>
            </w:pPr>
            <w:r w:rsidRPr="00813913">
              <w:rPr>
                <w:rFonts w:ascii="Arial" w:hAnsi="Arial" w:cs="Arial"/>
                <w:color w:val="000000"/>
              </w:rPr>
              <w:t>523</w:t>
            </w:r>
          </w:p>
        </w:tc>
        <w:tc>
          <w:tcPr>
            <w:tcW w:w="1572" w:type="dxa"/>
            <w:noWrap/>
            <w:vAlign w:val="bottom"/>
            <w:hideMark/>
          </w:tcPr>
          <w:p w:rsidR="0066797C" w:rsidRPr="00813913" w:rsidRDefault="0066797C" w:rsidP="0066797C">
            <w:pPr>
              <w:jc w:val="center"/>
              <w:rPr>
                <w:rFonts w:ascii="Arial" w:hAnsi="Arial" w:cs="Arial"/>
                <w:b/>
                <w:color w:val="000000"/>
              </w:rPr>
            </w:pPr>
            <w:r w:rsidRPr="00813913">
              <w:rPr>
                <w:rFonts w:ascii="Arial" w:hAnsi="Arial" w:cs="Arial"/>
                <w:b/>
                <w:color w:val="000000"/>
              </w:rPr>
              <w:t>6.4</w:t>
            </w:r>
          </w:p>
        </w:tc>
      </w:tr>
    </w:tbl>
    <w:p w:rsidR="004C4C8B" w:rsidRPr="00813913" w:rsidRDefault="004C4C8B" w:rsidP="004C4C8B">
      <w:pPr>
        <w:pStyle w:val="ListParagraph"/>
        <w:rPr>
          <w:rFonts w:ascii="Arial" w:hAnsi="Arial" w:cs="Arial"/>
          <w:u w:val="single"/>
        </w:rPr>
      </w:pPr>
    </w:p>
    <w:p w:rsidR="00DF7F7B" w:rsidRPr="00813913" w:rsidRDefault="00DE691D" w:rsidP="004C4C8B">
      <w:pPr>
        <w:pStyle w:val="ListParagraph"/>
        <w:rPr>
          <w:rFonts w:ascii="Arial" w:hAnsi="Arial" w:cs="Arial"/>
          <w:u w:val="single"/>
        </w:rPr>
      </w:pPr>
      <w:r w:rsidRPr="00813913">
        <w:rPr>
          <w:rFonts w:ascii="Arial" w:hAnsi="Arial" w:cs="Arial"/>
          <w:noProof/>
          <w:lang w:eastAsia="en-GB"/>
        </w:rPr>
        <mc:AlternateContent>
          <mc:Choice Requires="wps">
            <w:drawing>
              <wp:anchor distT="45720" distB="45720" distL="114300" distR="114300" simplePos="0" relativeHeight="251668480" behindDoc="0" locked="0" layoutInCell="1" allowOverlap="1" wp14:anchorId="52FCEE89" wp14:editId="4C57D0DD">
                <wp:simplePos x="0" y="0"/>
                <wp:positionH relativeFrom="margin">
                  <wp:align>right</wp:align>
                </wp:positionH>
                <wp:positionV relativeFrom="paragraph">
                  <wp:posOffset>1773728</wp:posOffset>
                </wp:positionV>
                <wp:extent cx="6304915" cy="477520"/>
                <wp:effectExtent l="0" t="0" r="63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77520"/>
                        </a:xfrm>
                        <a:prstGeom prst="rect">
                          <a:avLst/>
                        </a:prstGeom>
                        <a:solidFill>
                          <a:srgbClr val="FFFFFF"/>
                        </a:solidFill>
                        <a:ln w="9525">
                          <a:noFill/>
                          <a:miter lim="800000"/>
                          <a:headEnd/>
                          <a:tailEnd/>
                        </a:ln>
                      </wps:spPr>
                      <wps:txbx>
                        <w:txbxContent>
                          <w:p w:rsidR="006907CA" w:rsidRPr="006907CA" w:rsidRDefault="006907CA" w:rsidP="006907CA">
                            <w:r w:rsidRPr="006907CA">
                              <w:rPr>
                                <w:b/>
                              </w:rPr>
                              <w:t>Table S</w:t>
                            </w:r>
                            <w:r w:rsidR="000277CF">
                              <w:rPr>
                                <w:b/>
                              </w:rPr>
                              <w:t>4</w:t>
                            </w:r>
                            <w:r w:rsidRPr="006907CA">
                              <w:rPr>
                                <w:b/>
                              </w:rPr>
                              <w:t xml:space="preserve">: </w:t>
                            </w:r>
                            <w:r>
                              <w:rPr>
                                <w:b/>
                              </w:rPr>
                              <w:t>Regional economic growth, carbon intensity and GHG growth rates applied to Pool 2 nations for 2040 per capita emission estimates</w:t>
                            </w:r>
                            <w:r w:rsidR="00EE733C">
                              <w:rPr>
                                <w:b/>
                              </w:rPr>
                              <w:t>.</w:t>
                            </w:r>
                          </w:p>
                          <w:p w:rsidR="006907CA" w:rsidRPr="006907CA" w:rsidRDefault="006907CA" w:rsidP="00690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7FDB5" id="_x0000_s1030" type="#_x0000_t202" style="position:absolute;left:0;text-align:left;margin-left:445.25pt;margin-top:139.65pt;width:496.45pt;height:37.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" stroked="f">
                <v:textbox>
                  <w:txbxContent>
                    <w:p w:rsidR="006907CA" w:rsidRPr="006907CA" w:rsidRDefault="006907CA" w:rsidP="006907CA">
                      <w:r w:rsidRPr="006907CA">
                        <w:rPr>
                          <w:b/>
                        </w:rPr>
                        <w:t>Table S</w:t>
                      </w:r>
                      <w:r w:rsidR="000277CF">
                        <w:rPr>
                          <w:b/>
                        </w:rPr>
                        <w:t>4</w:t>
                      </w:r>
                      <w:r w:rsidRPr="006907CA">
                        <w:rPr>
                          <w:b/>
                        </w:rPr>
                        <w:t xml:space="preserve">: </w:t>
                      </w:r>
                      <w:r>
                        <w:rPr>
                          <w:b/>
                        </w:rPr>
                        <w:t>Regional economic growth, carbon intensity and GHG growth rates applied to Pool 2 nations for 2040 per capita emission estimates</w:t>
                      </w:r>
                      <w:r w:rsidR="00EE733C">
                        <w:rPr>
                          <w:b/>
                        </w:rPr>
                        <w:t>.</w:t>
                      </w:r>
                    </w:p>
                    <w:p w:rsidR="006907CA" w:rsidRPr="006907CA" w:rsidRDefault="006907CA" w:rsidP="006907CA"/>
                  </w:txbxContent>
                </v:textbox>
                <w10:wrap type="square" anchorx="margin"/>
              </v:shape>
            </w:pict>
          </mc:Fallback>
        </mc:AlternateContent>
      </w:r>
    </w:p>
    <w:tbl>
      <w:tblPr>
        <w:tblStyle w:val="TableGrid"/>
        <w:tblW w:w="10915" w:type="dxa"/>
        <w:tblInd w:w="-572" w:type="dxa"/>
        <w:tblLook w:val="04A0" w:firstRow="1" w:lastRow="0" w:firstColumn="1" w:lastColumn="0" w:noHBand="0" w:noVBand="1"/>
      </w:tblPr>
      <w:tblGrid>
        <w:gridCol w:w="2410"/>
        <w:gridCol w:w="1166"/>
        <w:gridCol w:w="1503"/>
        <w:gridCol w:w="1442"/>
        <w:gridCol w:w="2126"/>
        <w:gridCol w:w="2268"/>
      </w:tblGrid>
      <w:tr w:rsidR="00DF7F7B" w:rsidRPr="00813913" w:rsidTr="00DE691D">
        <w:trPr>
          <w:trHeight w:val="570"/>
        </w:trPr>
        <w:tc>
          <w:tcPr>
            <w:tcW w:w="2410" w:type="dxa"/>
            <w:noWrap/>
            <w:hideMark/>
          </w:tcPr>
          <w:p w:rsidR="00DF7F7B" w:rsidRPr="00813913" w:rsidRDefault="00DF7F7B" w:rsidP="00DF7F7B">
            <w:pPr>
              <w:rPr>
                <w:rFonts w:ascii="Arial" w:eastAsia="Times New Roman" w:hAnsi="Arial" w:cs="Arial"/>
                <w:sz w:val="24"/>
                <w:szCs w:val="24"/>
                <w:lang w:eastAsia="en-GB"/>
              </w:rPr>
            </w:pPr>
          </w:p>
        </w:tc>
        <w:tc>
          <w:tcPr>
            <w:tcW w:w="1166" w:type="dxa"/>
            <w:noWrap/>
            <w:hideMark/>
          </w:tcPr>
          <w:p w:rsidR="00DF7F7B" w:rsidRPr="00813913" w:rsidRDefault="00DF7F7B" w:rsidP="00DF7F7B">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Africa</w:t>
            </w:r>
          </w:p>
        </w:tc>
        <w:tc>
          <w:tcPr>
            <w:tcW w:w="1503" w:type="dxa"/>
            <w:noWrap/>
            <w:hideMark/>
          </w:tcPr>
          <w:p w:rsidR="00DF7F7B" w:rsidRPr="00813913" w:rsidRDefault="00DF7F7B" w:rsidP="00DF7F7B">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Asia-Pacific</w:t>
            </w:r>
          </w:p>
        </w:tc>
        <w:tc>
          <w:tcPr>
            <w:tcW w:w="1442" w:type="dxa"/>
            <w:noWrap/>
            <w:hideMark/>
          </w:tcPr>
          <w:p w:rsidR="00DF7F7B" w:rsidRPr="00813913" w:rsidRDefault="00DF7F7B" w:rsidP="00DF7F7B">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India</w:t>
            </w:r>
          </w:p>
        </w:tc>
        <w:tc>
          <w:tcPr>
            <w:tcW w:w="2126" w:type="dxa"/>
            <w:hideMark/>
          </w:tcPr>
          <w:p w:rsidR="00DF7F7B" w:rsidRPr="00813913" w:rsidRDefault="00DF7F7B" w:rsidP="00DF7F7B">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Latin America and Caribbean</w:t>
            </w:r>
          </w:p>
        </w:tc>
        <w:tc>
          <w:tcPr>
            <w:tcW w:w="2268" w:type="dxa"/>
            <w:noWrap/>
            <w:hideMark/>
          </w:tcPr>
          <w:p w:rsidR="00DF7F7B" w:rsidRPr="00813913" w:rsidRDefault="00DF7F7B" w:rsidP="00DF7F7B">
            <w:pPr>
              <w:jc w:val="center"/>
              <w:rPr>
                <w:rFonts w:ascii="Arial" w:eastAsia="Times New Roman" w:hAnsi="Arial" w:cs="Arial"/>
                <w:b/>
                <w:bCs/>
                <w:color w:val="000000"/>
                <w:lang w:eastAsia="en-GB"/>
              </w:rPr>
            </w:pPr>
            <w:r w:rsidRPr="00813913">
              <w:rPr>
                <w:rFonts w:ascii="Arial" w:eastAsia="Times New Roman" w:hAnsi="Arial" w:cs="Arial"/>
                <w:b/>
                <w:bCs/>
                <w:color w:val="000000"/>
                <w:lang w:eastAsia="en-GB"/>
              </w:rPr>
              <w:t>Europe</w:t>
            </w:r>
          </w:p>
        </w:tc>
      </w:tr>
      <w:tr w:rsidR="000277CF" w:rsidRPr="00813913" w:rsidTr="00DE691D">
        <w:trPr>
          <w:trHeight w:val="448"/>
        </w:trPr>
        <w:tc>
          <w:tcPr>
            <w:tcW w:w="2410" w:type="dxa"/>
            <w:hideMark/>
          </w:tcPr>
          <w:p w:rsidR="00DF7F7B" w:rsidRPr="00813913" w:rsidRDefault="00DF7F7B" w:rsidP="00DF7F7B">
            <w:pPr>
              <w:jc w:val="center"/>
              <w:rPr>
                <w:rFonts w:ascii="Arial" w:eastAsia="Times New Roman" w:hAnsi="Arial" w:cs="Arial"/>
                <w:b/>
                <w:bCs/>
                <w:color w:val="000000"/>
                <w:sz w:val="20"/>
                <w:szCs w:val="20"/>
                <w:lang w:eastAsia="en-GB"/>
              </w:rPr>
            </w:pPr>
            <w:r w:rsidRPr="00813913">
              <w:rPr>
                <w:rFonts w:ascii="Arial" w:eastAsia="Times New Roman" w:hAnsi="Arial" w:cs="Arial"/>
                <w:b/>
                <w:bCs/>
                <w:color w:val="000000"/>
                <w:sz w:val="20"/>
                <w:szCs w:val="20"/>
                <w:lang w:eastAsia="en-GB"/>
              </w:rPr>
              <w:t>GDP Growth Rate (%yr</w:t>
            </w:r>
            <w:r w:rsidRPr="00813913">
              <w:rPr>
                <w:rFonts w:ascii="Arial" w:eastAsia="Times New Roman" w:hAnsi="Arial" w:cs="Arial"/>
                <w:b/>
                <w:bCs/>
                <w:color w:val="000000"/>
                <w:sz w:val="20"/>
                <w:szCs w:val="20"/>
                <w:vertAlign w:val="superscript"/>
                <w:lang w:eastAsia="en-GB"/>
              </w:rPr>
              <w:t>-1</w:t>
            </w:r>
            <w:r w:rsidRPr="00813913">
              <w:rPr>
                <w:rFonts w:ascii="Arial" w:eastAsia="Times New Roman" w:hAnsi="Arial" w:cs="Arial"/>
                <w:b/>
                <w:bCs/>
                <w:color w:val="000000"/>
                <w:sz w:val="20"/>
                <w:szCs w:val="20"/>
                <w:lang w:eastAsia="en-GB"/>
              </w:rPr>
              <w:t>)</w:t>
            </w:r>
          </w:p>
        </w:tc>
        <w:tc>
          <w:tcPr>
            <w:tcW w:w="116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5%</w:t>
            </w:r>
          </w:p>
        </w:tc>
        <w:tc>
          <w:tcPr>
            <w:tcW w:w="1503"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5%</w:t>
            </w:r>
          </w:p>
        </w:tc>
        <w:tc>
          <w:tcPr>
            <w:tcW w:w="1442"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7%</w:t>
            </w:r>
          </w:p>
        </w:tc>
        <w:tc>
          <w:tcPr>
            <w:tcW w:w="212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5%</w:t>
            </w:r>
          </w:p>
        </w:tc>
        <w:tc>
          <w:tcPr>
            <w:tcW w:w="2268"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5%</w:t>
            </w:r>
          </w:p>
        </w:tc>
      </w:tr>
      <w:tr w:rsidR="000277CF" w:rsidRPr="00813913" w:rsidTr="00DE691D">
        <w:trPr>
          <w:trHeight w:val="690"/>
        </w:trPr>
        <w:tc>
          <w:tcPr>
            <w:tcW w:w="2410" w:type="dxa"/>
            <w:hideMark/>
          </w:tcPr>
          <w:p w:rsidR="00DF7F7B" w:rsidRPr="00813913" w:rsidRDefault="00DF7F7B" w:rsidP="00DF7F7B">
            <w:pPr>
              <w:jc w:val="center"/>
              <w:rPr>
                <w:rFonts w:ascii="Arial" w:eastAsia="Times New Roman" w:hAnsi="Arial" w:cs="Arial"/>
                <w:b/>
                <w:bCs/>
                <w:color w:val="000000"/>
                <w:sz w:val="20"/>
                <w:szCs w:val="20"/>
                <w:lang w:eastAsia="en-GB"/>
              </w:rPr>
            </w:pPr>
            <w:r w:rsidRPr="00813913">
              <w:rPr>
                <w:rFonts w:ascii="Arial" w:eastAsia="Times New Roman" w:hAnsi="Arial" w:cs="Arial"/>
                <w:b/>
                <w:bCs/>
                <w:color w:val="000000"/>
                <w:sz w:val="20"/>
                <w:szCs w:val="20"/>
                <w:lang w:eastAsia="en-GB"/>
              </w:rPr>
              <w:t>Carbon Intensity Reduction (%yr</w:t>
            </w:r>
            <w:r w:rsidRPr="00813913">
              <w:rPr>
                <w:rFonts w:ascii="Arial" w:eastAsia="Times New Roman" w:hAnsi="Arial" w:cs="Arial"/>
                <w:b/>
                <w:bCs/>
                <w:color w:val="000000"/>
                <w:sz w:val="20"/>
                <w:szCs w:val="20"/>
                <w:vertAlign w:val="superscript"/>
                <w:lang w:eastAsia="en-GB"/>
              </w:rPr>
              <w:t>-1</w:t>
            </w:r>
            <w:r w:rsidRPr="00813913">
              <w:rPr>
                <w:rFonts w:ascii="Arial" w:eastAsia="Times New Roman" w:hAnsi="Arial" w:cs="Arial"/>
                <w:b/>
                <w:bCs/>
                <w:color w:val="000000"/>
                <w:sz w:val="20"/>
                <w:szCs w:val="20"/>
                <w:lang w:eastAsia="en-GB"/>
              </w:rPr>
              <w:t>)</w:t>
            </w:r>
          </w:p>
        </w:tc>
        <w:tc>
          <w:tcPr>
            <w:tcW w:w="116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1.5%</w:t>
            </w:r>
          </w:p>
        </w:tc>
        <w:tc>
          <w:tcPr>
            <w:tcW w:w="1503"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1.5%</w:t>
            </w:r>
          </w:p>
        </w:tc>
        <w:tc>
          <w:tcPr>
            <w:tcW w:w="1442"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1.5%</w:t>
            </w:r>
          </w:p>
        </w:tc>
        <w:tc>
          <w:tcPr>
            <w:tcW w:w="212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1.5%</w:t>
            </w:r>
          </w:p>
        </w:tc>
        <w:tc>
          <w:tcPr>
            <w:tcW w:w="2268"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1.5%</w:t>
            </w:r>
          </w:p>
        </w:tc>
      </w:tr>
      <w:tr w:rsidR="000277CF" w:rsidRPr="00813913" w:rsidTr="00DE691D">
        <w:trPr>
          <w:trHeight w:val="422"/>
        </w:trPr>
        <w:tc>
          <w:tcPr>
            <w:tcW w:w="2410" w:type="dxa"/>
            <w:hideMark/>
          </w:tcPr>
          <w:p w:rsidR="00DF7F7B" w:rsidRPr="00813913" w:rsidRDefault="00DF7F7B" w:rsidP="00DF7F7B">
            <w:pPr>
              <w:jc w:val="center"/>
              <w:rPr>
                <w:rFonts w:ascii="Arial" w:eastAsia="Times New Roman" w:hAnsi="Arial" w:cs="Arial"/>
                <w:b/>
                <w:bCs/>
                <w:color w:val="000000"/>
                <w:sz w:val="20"/>
                <w:szCs w:val="20"/>
                <w:lang w:eastAsia="en-GB"/>
              </w:rPr>
            </w:pPr>
            <w:r w:rsidRPr="00813913">
              <w:rPr>
                <w:rFonts w:ascii="Arial" w:eastAsia="Times New Roman" w:hAnsi="Arial" w:cs="Arial"/>
                <w:b/>
                <w:bCs/>
                <w:color w:val="000000"/>
                <w:sz w:val="20"/>
                <w:szCs w:val="20"/>
                <w:lang w:eastAsia="en-GB"/>
              </w:rPr>
              <w:t>CO</w:t>
            </w:r>
            <w:r w:rsidRPr="00813913">
              <w:rPr>
                <w:rFonts w:ascii="Arial" w:eastAsia="Times New Roman" w:hAnsi="Arial" w:cs="Arial"/>
                <w:b/>
                <w:bCs/>
                <w:color w:val="000000"/>
                <w:sz w:val="20"/>
                <w:szCs w:val="20"/>
                <w:vertAlign w:val="subscript"/>
                <w:lang w:eastAsia="en-GB"/>
              </w:rPr>
              <w:t>2</w:t>
            </w:r>
            <w:r w:rsidRPr="00813913">
              <w:rPr>
                <w:rFonts w:ascii="Arial" w:eastAsia="Times New Roman" w:hAnsi="Arial" w:cs="Arial"/>
                <w:b/>
                <w:bCs/>
                <w:color w:val="000000"/>
                <w:sz w:val="20"/>
                <w:szCs w:val="20"/>
                <w:lang w:eastAsia="en-GB"/>
              </w:rPr>
              <w:t>e Growth Rate (%yr</w:t>
            </w:r>
            <w:r w:rsidRPr="00813913">
              <w:rPr>
                <w:rFonts w:ascii="Arial" w:eastAsia="Times New Roman" w:hAnsi="Arial" w:cs="Arial"/>
                <w:b/>
                <w:bCs/>
                <w:color w:val="000000"/>
                <w:sz w:val="20"/>
                <w:szCs w:val="20"/>
                <w:vertAlign w:val="superscript"/>
                <w:lang w:eastAsia="en-GB"/>
              </w:rPr>
              <w:t>-1</w:t>
            </w:r>
            <w:r w:rsidRPr="00813913">
              <w:rPr>
                <w:rFonts w:ascii="Arial" w:eastAsia="Times New Roman" w:hAnsi="Arial" w:cs="Arial"/>
                <w:b/>
                <w:bCs/>
                <w:color w:val="000000"/>
                <w:sz w:val="20"/>
                <w:szCs w:val="20"/>
                <w:lang w:eastAsia="en-GB"/>
              </w:rPr>
              <w:t>)</w:t>
            </w:r>
          </w:p>
        </w:tc>
        <w:tc>
          <w:tcPr>
            <w:tcW w:w="116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3.5%</w:t>
            </w:r>
          </w:p>
        </w:tc>
        <w:tc>
          <w:tcPr>
            <w:tcW w:w="1503"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3.5%</w:t>
            </w:r>
          </w:p>
        </w:tc>
        <w:tc>
          <w:tcPr>
            <w:tcW w:w="1442"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5.5%</w:t>
            </w:r>
          </w:p>
        </w:tc>
        <w:tc>
          <w:tcPr>
            <w:tcW w:w="2126"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3.5%</w:t>
            </w:r>
          </w:p>
        </w:tc>
        <w:tc>
          <w:tcPr>
            <w:tcW w:w="2268" w:type="dxa"/>
            <w:noWrap/>
            <w:hideMark/>
          </w:tcPr>
          <w:p w:rsidR="00DF7F7B" w:rsidRPr="00813913" w:rsidRDefault="00DF7F7B" w:rsidP="00DF7F7B">
            <w:pPr>
              <w:jc w:val="center"/>
              <w:rPr>
                <w:rFonts w:ascii="Arial" w:eastAsia="Times New Roman" w:hAnsi="Arial" w:cs="Arial"/>
                <w:color w:val="000000"/>
                <w:lang w:eastAsia="en-GB"/>
              </w:rPr>
            </w:pPr>
            <w:r w:rsidRPr="00813913">
              <w:rPr>
                <w:rFonts w:ascii="Arial" w:eastAsia="Times New Roman" w:hAnsi="Arial" w:cs="Arial"/>
                <w:color w:val="000000"/>
                <w:lang w:eastAsia="en-GB"/>
              </w:rPr>
              <w:t>3.5%</w:t>
            </w:r>
          </w:p>
        </w:tc>
      </w:tr>
    </w:tbl>
    <w:p w:rsidR="008100DB" w:rsidRPr="00813913" w:rsidRDefault="008100DB">
      <w:pPr>
        <w:rPr>
          <w:rFonts w:ascii="Arial" w:hAnsi="Arial" w:cs="Arial"/>
          <w:sz w:val="24"/>
          <w:szCs w:val="24"/>
          <w:u w:val="single"/>
        </w:rPr>
      </w:pPr>
    </w:p>
    <w:p w:rsidR="008100DB" w:rsidRPr="00813913" w:rsidRDefault="008100DB">
      <w:pPr>
        <w:rPr>
          <w:rFonts w:ascii="Arial" w:hAnsi="Arial" w:cs="Arial"/>
          <w:sz w:val="24"/>
          <w:szCs w:val="24"/>
          <w:u w:val="single"/>
        </w:rPr>
      </w:pPr>
      <w:r w:rsidRPr="00813913">
        <w:rPr>
          <w:rFonts w:ascii="Arial" w:hAnsi="Arial" w:cs="Arial"/>
          <w:sz w:val="24"/>
          <w:szCs w:val="24"/>
          <w:u w:val="single"/>
        </w:rPr>
        <w:br w:type="page"/>
      </w:r>
    </w:p>
    <w:p w:rsidR="008D62C5" w:rsidRPr="00813913" w:rsidRDefault="00AE7949">
      <w:pPr>
        <w:rPr>
          <w:rFonts w:ascii="Arial" w:hAnsi="Arial" w:cs="Arial"/>
          <w:sz w:val="24"/>
          <w:szCs w:val="24"/>
          <w:u w:val="single"/>
        </w:rPr>
      </w:pPr>
      <w:r w:rsidRPr="00813913">
        <w:rPr>
          <w:rFonts w:ascii="Arial" w:hAnsi="Arial" w:cs="Arial"/>
          <w:noProof/>
          <w:lang w:eastAsia="en-GB"/>
        </w:rPr>
        <w:lastRenderedPageBreak/>
        <mc:AlternateContent>
          <mc:Choice Requires="wps">
            <w:drawing>
              <wp:anchor distT="45720" distB="45720" distL="114300" distR="114300" simplePos="0" relativeHeight="251670528" behindDoc="0" locked="0" layoutInCell="1" allowOverlap="1" wp14:anchorId="5FF498FB" wp14:editId="459DC833">
                <wp:simplePos x="0" y="0"/>
                <wp:positionH relativeFrom="margin">
                  <wp:align>left</wp:align>
                </wp:positionH>
                <wp:positionV relativeFrom="paragraph">
                  <wp:posOffset>8938895</wp:posOffset>
                </wp:positionV>
                <wp:extent cx="5527040" cy="36766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368135"/>
                        </a:xfrm>
                        <a:prstGeom prst="rect">
                          <a:avLst/>
                        </a:prstGeom>
                        <a:solidFill>
                          <a:srgbClr val="FFFFFF"/>
                        </a:solidFill>
                        <a:ln w="9525">
                          <a:noFill/>
                          <a:miter lim="800000"/>
                          <a:headEnd/>
                          <a:tailEnd/>
                        </a:ln>
                      </wps:spPr>
                      <wps:txbx>
                        <w:txbxContent>
                          <w:p w:rsidR="000277CF" w:rsidRPr="006907CA" w:rsidRDefault="000277CF" w:rsidP="000277CF">
                            <w:r w:rsidRPr="006907CA">
                              <w:rPr>
                                <w:b/>
                              </w:rPr>
                              <w:t>Table S</w:t>
                            </w:r>
                            <w:r>
                              <w:rPr>
                                <w:b/>
                              </w:rPr>
                              <w:t>5</w:t>
                            </w:r>
                            <w:r w:rsidRPr="006907CA">
                              <w:rPr>
                                <w:b/>
                              </w:rPr>
                              <w:t xml:space="preserve">: </w:t>
                            </w:r>
                            <w:r>
                              <w:rPr>
                                <w:b/>
                              </w:rPr>
                              <w:t>Emission, population and target metadata from 2010-2040 for Pool 1 nations</w:t>
                            </w:r>
                            <w:r w:rsidR="00EE733C">
                              <w:rPr>
                                <w:b/>
                              </w:rPr>
                              <w:t>.</w:t>
                            </w:r>
                          </w:p>
                          <w:p w:rsidR="000277CF" w:rsidRPr="006907CA" w:rsidRDefault="000277CF" w:rsidP="00027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30162" id="_x0000_s1031" type="#_x0000_t202" style="position:absolute;margin-left:0;margin-top:703.85pt;width:435.2pt;height:28.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HeIQIAACIEAAAOAAAAZHJzL2Uyb0RvYy54bWysU21v2yAQ/j5p/wHxfbHjx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" stroked="f">
                <v:textbox>
                  <w:txbxContent>
                    <w:p w:rsidR="000277CF" w:rsidRPr="006907CA" w:rsidRDefault="000277CF" w:rsidP="000277CF">
                      <w:r w:rsidRPr="006907CA">
                        <w:rPr>
                          <w:b/>
                        </w:rPr>
                        <w:t>Table S</w:t>
                      </w:r>
                      <w:r>
                        <w:rPr>
                          <w:b/>
                        </w:rPr>
                        <w:t>5</w:t>
                      </w:r>
                      <w:r w:rsidRPr="006907CA">
                        <w:rPr>
                          <w:b/>
                        </w:rPr>
                        <w:t xml:space="preserve">: </w:t>
                      </w:r>
                      <w:r>
                        <w:rPr>
                          <w:b/>
                        </w:rPr>
                        <w:t>Emission, population and target metadata from 2010-2040 for Pool 1 nations</w:t>
                      </w:r>
                      <w:r w:rsidR="00EE733C">
                        <w:rPr>
                          <w:b/>
                        </w:rPr>
                        <w:t>.</w:t>
                      </w:r>
                    </w:p>
                    <w:p w:rsidR="000277CF" w:rsidRPr="006907CA" w:rsidRDefault="000277CF" w:rsidP="000277CF"/>
                  </w:txbxContent>
                </v:textbox>
                <w10:wrap type="square" anchorx="margin"/>
              </v:shape>
            </w:pict>
          </mc:Fallback>
        </mc:AlternateContent>
      </w:r>
      <w:r w:rsidR="000277CF" w:rsidRPr="00813913">
        <w:rPr>
          <w:rFonts w:ascii="Arial" w:hAnsi="Arial" w:cs="Arial"/>
          <w:noProof/>
          <w:lang w:eastAsia="en-GB"/>
        </w:rPr>
        <w:drawing>
          <wp:anchor distT="0" distB="0" distL="114300" distR="114300" simplePos="0" relativeHeight="251660288" behindDoc="0" locked="0" layoutInCell="1" allowOverlap="1" wp14:anchorId="51161F66" wp14:editId="58BF61D9">
            <wp:simplePos x="0" y="0"/>
            <wp:positionH relativeFrom="margin">
              <wp:align>left</wp:align>
            </wp:positionH>
            <wp:positionV relativeFrom="paragraph">
              <wp:posOffset>0</wp:posOffset>
            </wp:positionV>
            <wp:extent cx="5890895" cy="89388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0895" cy="893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C5" w:rsidRPr="00813913">
        <w:rPr>
          <w:rFonts w:ascii="Arial" w:hAnsi="Arial" w:cs="Arial"/>
        </w:rPr>
        <w:t xml:space="preserve"> </w:t>
      </w:r>
      <w:r w:rsidR="008D62C5" w:rsidRPr="00813913">
        <w:rPr>
          <w:rFonts w:ascii="Arial" w:hAnsi="Arial" w:cs="Arial"/>
          <w:sz w:val="24"/>
          <w:szCs w:val="24"/>
          <w:u w:val="single"/>
        </w:rPr>
        <w:br w:type="page"/>
      </w:r>
    </w:p>
    <w:p w:rsidR="006907CA" w:rsidRPr="00813913" w:rsidRDefault="006907CA">
      <w:pPr>
        <w:rPr>
          <w:rFonts w:ascii="Arial" w:hAnsi="Arial" w:cs="Arial"/>
          <w:sz w:val="24"/>
          <w:szCs w:val="24"/>
          <w:u w:val="single"/>
        </w:rPr>
      </w:pPr>
      <w:r w:rsidRPr="00813913">
        <w:rPr>
          <w:rFonts w:ascii="Arial" w:hAnsi="Arial" w:cs="Arial"/>
          <w:noProof/>
          <w:lang w:eastAsia="en-GB"/>
        </w:rPr>
        <w:lastRenderedPageBreak/>
        <w:drawing>
          <wp:anchor distT="0" distB="0" distL="114300" distR="114300" simplePos="0" relativeHeight="251659264" behindDoc="0" locked="0" layoutInCell="1" allowOverlap="1" wp14:anchorId="41199AD9" wp14:editId="0E564895">
            <wp:simplePos x="0" y="0"/>
            <wp:positionH relativeFrom="margin">
              <wp:align>center</wp:align>
            </wp:positionH>
            <wp:positionV relativeFrom="paragraph">
              <wp:posOffset>13648</wp:posOffset>
            </wp:positionV>
            <wp:extent cx="4987925" cy="891032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7925" cy="891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7CF" w:rsidRPr="00813913" w:rsidRDefault="000277CF">
      <w:pPr>
        <w:rPr>
          <w:rFonts w:ascii="Arial" w:hAnsi="Arial" w:cs="Arial"/>
          <w:sz w:val="24"/>
          <w:szCs w:val="24"/>
          <w:u w:val="single"/>
        </w:rPr>
      </w:pPr>
      <w:r w:rsidRPr="00813913">
        <w:rPr>
          <w:rFonts w:ascii="Arial" w:hAnsi="Arial" w:cs="Arial"/>
          <w:noProof/>
          <w:lang w:eastAsia="en-GB"/>
        </w:rPr>
        <mc:AlternateContent>
          <mc:Choice Requires="wps">
            <w:drawing>
              <wp:anchor distT="45720" distB="45720" distL="114300" distR="114300" simplePos="0" relativeHeight="251677696" behindDoc="0" locked="0" layoutInCell="1" allowOverlap="1" wp14:anchorId="1F2B3620" wp14:editId="57C833BA">
                <wp:simplePos x="0" y="0"/>
                <wp:positionH relativeFrom="margin">
                  <wp:posOffset>-122868</wp:posOffset>
                </wp:positionH>
                <wp:positionV relativeFrom="paragraph">
                  <wp:posOffset>8677597</wp:posOffset>
                </wp:positionV>
                <wp:extent cx="6154420" cy="3270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327025"/>
                        </a:xfrm>
                        <a:prstGeom prst="rect">
                          <a:avLst/>
                        </a:prstGeom>
                        <a:solidFill>
                          <a:srgbClr val="FFFFFF"/>
                        </a:solidFill>
                        <a:ln w="9525">
                          <a:noFill/>
                          <a:miter lim="800000"/>
                          <a:headEnd/>
                          <a:tailEnd/>
                        </a:ln>
                      </wps:spPr>
                      <wps:txbx>
                        <w:txbxContent>
                          <w:p w:rsidR="000277CF" w:rsidRPr="006907CA" w:rsidRDefault="000277CF" w:rsidP="000277CF">
                            <w:r w:rsidRPr="006907CA">
                              <w:rPr>
                                <w:b/>
                              </w:rPr>
                              <w:t>Table S</w:t>
                            </w:r>
                            <w:r>
                              <w:rPr>
                                <w:b/>
                              </w:rPr>
                              <w:t>6</w:t>
                            </w:r>
                            <w:r w:rsidRPr="006907CA">
                              <w:rPr>
                                <w:b/>
                              </w:rPr>
                              <w:t xml:space="preserve">: </w:t>
                            </w:r>
                            <w:r>
                              <w:rPr>
                                <w:b/>
                              </w:rPr>
                              <w:t xml:space="preserve">Emission, population and </w:t>
                            </w:r>
                            <w:r w:rsidR="00EE733C">
                              <w:rPr>
                                <w:b/>
                              </w:rPr>
                              <w:t>projected growth</w:t>
                            </w:r>
                            <w:r>
                              <w:rPr>
                                <w:b/>
                              </w:rPr>
                              <w:t xml:space="preserve"> metadata from 2010-2040 for Pool </w:t>
                            </w:r>
                            <w:r w:rsidR="00EE733C">
                              <w:rPr>
                                <w:b/>
                              </w:rPr>
                              <w:t>2</w:t>
                            </w:r>
                            <w:r>
                              <w:rPr>
                                <w:b/>
                              </w:rPr>
                              <w:t xml:space="preserve"> nations</w:t>
                            </w:r>
                            <w:r w:rsidR="00EE733C">
                              <w:rPr>
                                <w:b/>
                              </w:rPr>
                              <w:t>.</w:t>
                            </w:r>
                          </w:p>
                          <w:p w:rsidR="000277CF" w:rsidRPr="006907CA" w:rsidRDefault="000277CF" w:rsidP="00027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2598B" id="_x0000_s1032" type="#_x0000_t202" style="position:absolute;margin-left:-9.65pt;margin-top:683.3pt;width:484.6pt;height:2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" stroked="f">
                <v:textbox>
                  <w:txbxContent>
                    <w:p w:rsidR="000277CF" w:rsidRPr="006907CA" w:rsidRDefault="000277CF" w:rsidP="000277CF">
                      <w:r w:rsidRPr="006907CA">
                        <w:rPr>
                          <w:b/>
                        </w:rPr>
                        <w:t>Table S</w:t>
                      </w:r>
                      <w:r>
                        <w:rPr>
                          <w:b/>
                        </w:rPr>
                        <w:t>6</w:t>
                      </w:r>
                      <w:r w:rsidRPr="006907CA">
                        <w:rPr>
                          <w:b/>
                        </w:rPr>
                        <w:t xml:space="preserve">: </w:t>
                      </w:r>
                      <w:r>
                        <w:rPr>
                          <w:b/>
                        </w:rPr>
                        <w:t xml:space="preserve">Emission, population and </w:t>
                      </w:r>
                      <w:r w:rsidR="00EE733C">
                        <w:rPr>
                          <w:b/>
                        </w:rPr>
                        <w:t>projected growth</w:t>
                      </w:r>
                      <w:r>
                        <w:rPr>
                          <w:b/>
                        </w:rPr>
                        <w:t xml:space="preserve"> metadata from 2010-2040 for Pool </w:t>
                      </w:r>
                      <w:r w:rsidR="00EE733C">
                        <w:rPr>
                          <w:b/>
                        </w:rPr>
                        <w:t>2</w:t>
                      </w:r>
                      <w:r>
                        <w:rPr>
                          <w:b/>
                        </w:rPr>
                        <w:t xml:space="preserve"> nations</w:t>
                      </w:r>
                      <w:r w:rsidR="00EE733C">
                        <w:rPr>
                          <w:b/>
                        </w:rPr>
                        <w:t>.</w:t>
                      </w:r>
                    </w:p>
                    <w:p w:rsidR="000277CF" w:rsidRPr="006907CA" w:rsidRDefault="000277CF" w:rsidP="000277CF"/>
                  </w:txbxContent>
                </v:textbox>
                <w10:wrap type="square" anchorx="margin"/>
              </v:shape>
            </w:pict>
          </mc:Fallback>
        </mc:AlternateContent>
      </w:r>
    </w:p>
    <w:p w:rsidR="000277CF" w:rsidRPr="00813913" w:rsidRDefault="000277CF">
      <w:pPr>
        <w:rPr>
          <w:rFonts w:ascii="Arial" w:hAnsi="Arial" w:cs="Arial"/>
          <w:sz w:val="24"/>
          <w:szCs w:val="24"/>
          <w:u w:val="single"/>
        </w:rPr>
      </w:pPr>
    </w:p>
    <w:p w:rsidR="000277CF" w:rsidRPr="00813913" w:rsidRDefault="000277CF">
      <w:pPr>
        <w:rPr>
          <w:rFonts w:ascii="Arial" w:hAnsi="Arial" w:cs="Arial"/>
          <w:sz w:val="24"/>
          <w:szCs w:val="24"/>
          <w:u w:val="single"/>
        </w:rPr>
      </w:pPr>
    </w:p>
    <w:p w:rsidR="000277CF" w:rsidRPr="00813913" w:rsidRDefault="000277CF">
      <w:pPr>
        <w:rPr>
          <w:rFonts w:ascii="Arial" w:hAnsi="Arial" w:cs="Arial"/>
          <w:sz w:val="24"/>
          <w:szCs w:val="24"/>
          <w:u w:val="single"/>
        </w:rPr>
      </w:pPr>
    </w:p>
    <w:p w:rsidR="000277CF" w:rsidRPr="00813913" w:rsidRDefault="000277CF">
      <w:pPr>
        <w:rPr>
          <w:rFonts w:ascii="Arial" w:hAnsi="Arial" w:cs="Arial"/>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p>
    <w:p w:rsidR="000277CF" w:rsidRDefault="000277CF">
      <w:pPr>
        <w:rPr>
          <w:sz w:val="24"/>
          <w:szCs w:val="24"/>
          <w:u w:val="single"/>
        </w:rPr>
      </w:pPr>
      <w:bookmarkStart w:id="0" w:name="_GoBack"/>
      <w:bookmarkEnd w:id="0"/>
    </w:p>
    <w:sectPr w:rsidR="000277CF" w:rsidSect="00DE691D">
      <w:footerReference w:type="default" r:id="rId16"/>
      <w:pgSz w:w="11906" w:h="16838"/>
      <w:pgMar w:top="709"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52" w:rsidRDefault="00914552" w:rsidP="002B31D7">
      <w:pPr>
        <w:spacing w:after="0" w:line="240" w:lineRule="auto"/>
      </w:pPr>
      <w:r>
        <w:separator/>
      </w:r>
    </w:p>
  </w:endnote>
  <w:endnote w:type="continuationSeparator" w:id="0">
    <w:p w:rsidR="00914552" w:rsidRDefault="00914552" w:rsidP="002B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52" w:rsidRDefault="00914552" w:rsidP="002B31D7">
      <w:pPr>
        <w:spacing w:after="0" w:line="240" w:lineRule="auto"/>
      </w:pPr>
      <w:r>
        <w:separator/>
      </w:r>
    </w:p>
  </w:footnote>
  <w:footnote w:type="continuationSeparator" w:id="0">
    <w:p w:rsidR="00914552" w:rsidRDefault="00914552" w:rsidP="002B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D0782"/>
    <w:multiLevelType w:val="hybridMultilevel"/>
    <w:tmpl w:val="44FE1D18"/>
    <w:lvl w:ilvl="0" w:tplc="6A78F6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8B"/>
    <w:rsid w:val="000105B7"/>
    <w:rsid w:val="00024DD0"/>
    <w:rsid w:val="000277CF"/>
    <w:rsid w:val="000660D9"/>
    <w:rsid w:val="000704AA"/>
    <w:rsid w:val="00135BA9"/>
    <w:rsid w:val="001C5F85"/>
    <w:rsid w:val="00210895"/>
    <w:rsid w:val="00222AFE"/>
    <w:rsid w:val="002A3FFB"/>
    <w:rsid w:val="002B31D7"/>
    <w:rsid w:val="002E13B1"/>
    <w:rsid w:val="003556FA"/>
    <w:rsid w:val="003D5D29"/>
    <w:rsid w:val="004A7AC5"/>
    <w:rsid w:val="004C4C8B"/>
    <w:rsid w:val="005C0DF6"/>
    <w:rsid w:val="005D68DE"/>
    <w:rsid w:val="00634772"/>
    <w:rsid w:val="00662036"/>
    <w:rsid w:val="0066797C"/>
    <w:rsid w:val="00667A3B"/>
    <w:rsid w:val="00690417"/>
    <w:rsid w:val="006907CA"/>
    <w:rsid w:val="00740196"/>
    <w:rsid w:val="00756E41"/>
    <w:rsid w:val="0077652A"/>
    <w:rsid w:val="00780746"/>
    <w:rsid w:val="008100DB"/>
    <w:rsid w:val="00813913"/>
    <w:rsid w:val="00844DEB"/>
    <w:rsid w:val="008D62C5"/>
    <w:rsid w:val="008E322E"/>
    <w:rsid w:val="008E3E1A"/>
    <w:rsid w:val="00914552"/>
    <w:rsid w:val="009738C7"/>
    <w:rsid w:val="00AE7949"/>
    <w:rsid w:val="00AF5560"/>
    <w:rsid w:val="00B243BD"/>
    <w:rsid w:val="00C266F8"/>
    <w:rsid w:val="00C902D0"/>
    <w:rsid w:val="00CB61F5"/>
    <w:rsid w:val="00DE691D"/>
    <w:rsid w:val="00DF7F7B"/>
    <w:rsid w:val="00E455EE"/>
    <w:rsid w:val="00EE733C"/>
    <w:rsid w:val="00F570ED"/>
    <w:rsid w:val="00FA6840"/>
    <w:rsid w:val="00FD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A57B4-189E-4796-AB49-E2D00B5A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8B"/>
    <w:pPr>
      <w:ind w:left="720"/>
      <w:contextualSpacing/>
    </w:pPr>
  </w:style>
  <w:style w:type="character" w:styleId="Hyperlink">
    <w:name w:val="Hyperlink"/>
    <w:basedOn w:val="DefaultParagraphFont"/>
    <w:uiPriority w:val="99"/>
    <w:unhideWhenUsed/>
    <w:rsid w:val="00B243BD"/>
    <w:rPr>
      <w:color w:val="0563C1" w:themeColor="hyperlink"/>
      <w:u w:val="single"/>
    </w:rPr>
  </w:style>
  <w:style w:type="table" w:styleId="TableGrid">
    <w:name w:val="Table Grid"/>
    <w:basedOn w:val="TableNormal"/>
    <w:uiPriority w:val="39"/>
    <w:rsid w:val="0022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2AFE"/>
    <w:rPr>
      <w:b/>
      <w:bCs/>
    </w:rPr>
  </w:style>
  <w:style w:type="paragraph" w:styleId="Title">
    <w:name w:val="Title"/>
    <w:basedOn w:val="Normal"/>
    <w:next w:val="Normal"/>
    <w:link w:val="TitleChar"/>
    <w:uiPriority w:val="10"/>
    <w:qFormat/>
    <w:rsid w:val="000277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7C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85"/>
    <w:rPr>
      <w:rFonts w:ascii="Segoe UI" w:hAnsi="Segoe UI" w:cs="Segoe UI"/>
      <w:sz w:val="18"/>
      <w:szCs w:val="18"/>
    </w:rPr>
  </w:style>
  <w:style w:type="paragraph" w:styleId="Header">
    <w:name w:val="header"/>
    <w:basedOn w:val="Normal"/>
    <w:link w:val="HeaderChar"/>
    <w:uiPriority w:val="99"/>
    <w:unhideWhenUsed/>
    <w:rsid w:val="002B3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1D7"/>
  </w:style>
  <w:style w:type="paragraph" w:styleId="Footer">
    <w:name w:val="footer"/>
    <w:basedOn w:val="Normal"/>
    <w:link w:val="FooterChar"/>
    <w:uiPriority w:val="99"/>
    <w:unhideWhenUsed/>
    <w:rsid w:val="002B3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9543">
      <w:bodyDiv w:val="1"/>
      <w:marLeft w:val="0"/>
      <w:marRight w:val="0"/>
      <w:marTop w:val="0"/>
      <w:marBottom w:val="0"/>
      <w:divBdr>
        <w:top w:val="none" w:sz="0" w:space="0" w:color="auto"/>
        <w:left w:val="none" w:sz="0" w:space="0" w:color="auto"/>
        <w:bottom w:val="none" w:sz="0" w:space="0" w:color="auto"/>
        <w:right w:val="none" w:sz="0" w:space="0" w:color="auto"/>
      </w:divBdr>
    </w:div>
    <w:div w:id="809519712">
      <w:bodyDiv w:val="1"/>
      <w:marLeft w:val="0"/>
      <w:marRight w:val="0"/>
      <w:marTop w:val="0"/>
      <w:marBottom w:val="0"/>
      <w:divBdr>
        <w:top w:val="none" w:sz="0" w:space="0" w:color="auto"/>
        <w:left w:val="none" w:sz="0" w:space="0" w:color="auto"/>
        <w:bottom w:val="none" w:sz="0" w:space="0" w:color="auto"/>
        <w:right w:val="none" w:sz="0" w:space="0" w:color="auto"/>
      </w:divBdr>
    </w:div>
    <w:div w:id="930285668">
      <w:bodyDiv w:val="1"/>
      <w:marLeft w:val="0"/>
      <w:marRight w:val="0"/>
      <w:marTop w:val="0"/>
      <w:marBottom w:val="0"/>
      <w:divBdr>
        <w:top w:val="none" w:sz="0" w:space="0" w:color="auto"/>
        <w:left w:val="none" w:sz="0" w:space="0" w:color="auto"/>
        <w:bottom w:val="none" w:sz="0" w:space="0" w:color="auto"/>
        <w:right w:val="none" w:sz="0" w:space="0" w:color="auto"/>
      </w:divBdr>
    </w:div>
    <w:div w:id="1040282776">
      <w:bodyDiv w:val="1"/>
      <w:marLeft w:val="0"/>
      <w:marRight w:val="0"/>
      <w:marTop w:val="0"/>
      <w:marBottom w:val="0"/>
      <w:divBdr>
        <w:top w:val="none" w:sz="0" w:space="0" w:color="auto"/>
        <w:left w:val="none" w:sz="0" w:space="0" w:color="auto"/>
        <w:bottom w:val="none" w:sz="0" w:space="0" w:color="auto"/>
        <w:right w:val="none" w:sz="0" w:space="0" w:color="auto"/>
      </w:divBdr>
    </w:div>
    <w:div w:id="15513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actiontracker.org/news/224/indcs-lower-projected-warming-to-2.7c-significant-progress-but-still-above-2c-.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ank.worldbank.org/data/views/variableselection/selectvariables.aspx?source=world-development-indicator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4.unfccc.int/submissions/INDC/Submission%20Pages/submissions.aspx" TargetMode="External"/><Relationship Id="rId4" Type="http://schemas.openxmlformats.org/officeDocument/2006/relationships/settings" Target="settings.xml"/><Relationship Id="rId9" Type="http://schemas.openxmlformats.org/officeDocument/2006/relationships/hyperlink" Target="http://www.wri.org/blog/2014/11/6-graphs-explain-world%E2%80%99s-top-10-emitters"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C932-7539-4413-850A-5DF8DDBC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Ritchie</dc:creator>
  <cp:keywords/>
  <dc:description/>
  <cp:lastModifiedBy>RITCHIE Hannah</cp:lastModifiedBy>
  <cp:revision>21</cp:revision>
  <cp:lastPrinted>2016-02-09T16:48:00Z</cp:lastPrinted>
  <dcterms:created xsi:type="dcterms:W3CDTF">2016-01-24T10:37:00Z</dcterms:created>
  <dcterms:modified xsi:type="dcterms:W3CDTF">2016-03-10T09:36:00Z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hannah_1993@hotmail.com@www.mendeley.com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